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FA2AAE">
      <w:pPr>
        <w:widowControl/>
        <w:wordWrap w:val="0"/>
        <w:jc w:val="right"/>
        <w:rPr>
          <w:rFonts w:eastAsia="黑体"/>
          <w:sz w:val="32"/>
        </w:rPr>
      </w:pPr>
      <w:r>
        <w:rPr>
          <w:rFonts w:hint="eastAsia" w:ascii="Times" w:hAnsi="Times" w:eastAsia="方正大标宋简体"/>
          <w:spacing w:val="0"/>
          <w:kern w:val="0"/>
          <w:position w:val="4"/>
          <w:sz w:val="60"/>
        </w:rPr>
        <w:t xml:space="preserve">北京市地方标准  </w:t>
      </w:r>
      <w:r>
        <w:rPr>
          <w:rFonts w:hint="eastAsia" w:ascii="Times" w:hAnsi="Times" w:eastAsia="方正大标宋简体"/>
          <w:spacing w:val="0"/>
          <w:kern w:val="0"/>
          <w:position w:val="4"/>
          <w:sz w:val="60"/>
        </w:rPr>
        <w:drawing>
          <wp:inline distT="0" distB="0" distL="0" distR="0">
            <wp:extent cx="1386840" cy="708660"/>
            <wp:effectExtent l="19050" t="0" r="3810" b="0"/>
            <wp:docPr id="3" name="图片 1" descr="T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TB"/>
                    <pic:cNvPicPr>
                      <a:picLocks noChangeAspect="1" noChangeArrowheads="1"/>
                    </pic:cNvPicPr>
                  </pic:nvPicPr>
                  <pic:blipFill>
                    <a:blip r:embed="rId10" cstate="print"/>
                    <a:srcRect/>
                    <a:stretch>
                      <a:fillRect/>
                    </a:stretch>
                  </pic:blipFill>
                  <pic:spPr>
                    <a:xfrm>
                      <a:off x="0" y="0"/>
                      <a:ext cx="1386840" cy="708660"/>
                    </a:xfrm>
                    <a:prstGeom prst="rect">
                      <a:avLst/>
                    </a:prstGeom>
                    <a:noFill/>
                    <a:ln w="9525">
                      <a:noFill/>
                      <a:miter lim="800000"/>
                      <a:headEnd/>
                      <a:tailEnd/>
                    </a:ln>
                  </pic:spPr>
                </pic:pic>
              </a:graphicData>
            </a:graphic>
          </wp:inline>
        </w:drawing>
      </w:r>
    </w:p>
    <w:p w14:paraId="1B5B6B06">
      <w:pPr>
        <w:widowControl/>
        <w:jc w:val="left"/>
        <w:rPr>
          <w:rFonts w:eastAsia="黑体"/>
          <w:sz w:val="32"/>
        </w:rPr>
      </w:pPr>
    </w:p>
    <w:p w14:paraId="021E956B">
      <w:pPr>
        <w:widowControl/>
        <w:jc w:val="right"/>
        <w:rPr>
          <w:rFonts w:eastAsia="黑体"/>
          <w:sz w:val="32"/>
        </w:rPr>
      </w:pPr>
      <w:r>
        <w:rPr>
          <w:rFonts w:hint="eastAsia" w:eastAsia="黑体"/>
          <w:sz w:val="32"/>
        </w:rPr>
        <w:t>编号：DB11/</w:t>
      </w:r>
      <w:r>
        <w:rPr>
          <w:rFonts w:hint="eastAsia" w:eastAsia="黑体"/>
          <w:color w:val="000000" w:themeColor="text1"/>
          <w:sz w:val="32"/>
          <w14:textFill>
            <w14:solidFill>
              <w14:schemeClr w14:val="tx1"/>
            </w14:solidFill>
          </w14:textFill>
        </w:rPr>
        <w:t>T</w:t>
      </w:r>
      <w:r>
        <w:rPr>
          <w:rFonts w:hint="eastAsia" w:eastAsia="黑体"/>
          <w:sz w:val="32"/>
        </w:rPr>
        <w:t xml:space="preserve">  xxxx—20xx</w:t>
      </w:r>
    </w:p>
    <w:p w14:paraId="37688B35">
      <w:pPr>
        <w:widowControl/>
        <w:wordWrap w:val="0"/>
        <w:jc w:val="right"/>
        <w:rPr>
          <w:rFonts w:eastAsia="黑体"/>
          <w:sz w:val="32"/>
        </w:rPr>
      </w:pPr>
      <w:r>
        <w:rPr>
          <w:rFonts w:hint="eastAsia" w:eastAsia="黑体"/>
          <w:sz w:val="32"/>
        </w:rPr>
        <w:t xml:space="preserve">备案号：                 </w:t>
      </w:r>
    </w:p>
    <w:p w14:paraId="4FDAB655">
      <w:pPr>
        <w:widowControl/>
        <w:jc w:val="left"/>
        <w:rPr>
          <w:rFonts w:eastAsia="黑体"/>
          <w:sz w:val="32"/>
        </w:rPr>
      </w:pPr>
      <w:r>
        <w:rPr>
          <w:rFonts w:eastAsia="黑体"/>
          <w:sz w:val="32"/>
        </w:rPr>
        <mc:AlternateContent>
          <mc:Choice Requires="wps">
            <w:drawing>
              <wp:anchor distT="0" distB="0" distL="114300" distR="114300" simplePos="0" relativeHeight="251659264" behindDoc="0" locked="0" layoutInCell="1" allowOverlap="1">
                <wp:simplePos x="0" y="0"/>
                <wp:positionH relativeFrom="column">
                  <wp:posOffset>-22225</wp:posOffset>
                </wp:positionH>
                <wp:positionV relativeFrom="paragraph">
                  <wp:posOffset>3810</wp:posOffset>
                </wp:positionV>
                <wp:extent cx="5974715" cy="0"/>
                <wp:effectExtent l="6985" t="5080" r="9525" b="13970"/>
                <wp:wrapNone/>
                <wp:docPr id="5" name="AutoShape 2"/>
                <wp:cNvGraphicFramePr/>
                <a:graphic xmlns:a="http://schemas.openxmlformats.org/drawingml/2006/main">
                  <a:graphicData uri="http://schemas.microsoft.com/office/word/2010/wordprocessingShape">
                    <wps:wsp>
                      <wps:cNvCnPr>
                        <a:cxnSpLocks noChangeShapeType="1"/>
                      </wps:cNvCnPr>
                      <wps:spPr bwMode="auto">
                        <a:xfrm>
                          <a:off x="0" y="0"/>
                          <a:ext cx="5974715" cy="0"/>
                        </a:xfrm>
                        <a:prstGeom prst="straightConnector1">
                          <a:avLst/>
                        </a:prstGeom>
                        <a:noFill/>
                        <a:ln w="9525">
                          <a:solidFill>
                            <a:srgbClr val="000000"/>
                          </a:solidFill>
                          <a:round/>
                        </a:ln>
                      </wps:spPr>
                      <wps:bodyPr/>
                    </wps:wsp>
                  </a:graphicData>
                </a:graphic>
              </wp:anchor>
            </w:drawing>
          </mc:Choice>
          <mc:Fallback>
            <w:pict>
              <v:shape id="AutoShape 2" o:spid="_x0000_s1026" o:spt="32" type="#_x0000_t32" style="position:absolute;left:0pt;margin-left:-1.75pt;margin-top:0.3pt;height:0pt;width:470.45pt;z-index:251659264;mso-width-relative:page;mso-height-relative:page;" filled="f" stroked="t" coordsize="21600,21600" o:gfxdata="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x7C/O0wAAAAQBAAAPAAAAAAAAAAEAIAAAACIA&#10;AABkcnMvZG93bnJldi54bWxQSwECFAAUAAAACACHTuJA5HLf59UBAACyAwAADgAAAAAAAAABACAA&#10;AAAiAQAAZHJzL2Uyb0RvYy54bWxQSwUGAAAAAAYABgBZAQAAaQUAAAAA&#10;">
                <v:fill on="f" focussize="0,0"/>
                <v:stroke color="#000000" joinstyle="round"/>
                <v:imagedata o:title=""/>
                <o:lock v:ext="edit" aspectratio="f"/>
              </v:shape>
            </w:pict>
          </mc:Fallback>
        </mc:AlternateContent>
      </w:r>
    </w:p>
    <w:p w14:paraId="73899666">
      <w:pPr>
        <w:widowControl/>
        <w:jc w:val="center"/>
        <w:rPr>
          <w:rFonts w:eastAsia="黑体"/>
          <w:sz w:val="52"/>
        </w:rPr>
      </w:pPr>
      <w:r>
        <w:rPr>
          <w:rFonts w:hint="eastAsia" w:eastAsia="黑体"/>
          <w:sz w:val="52"/>
        </w:rPr>
        <w:t>既有建筑改造工程防火设计标准</w:t>
      </w:r>
    </w:p>
    <w:p w14:paraId="0A23C3DC">
      <w:pPr>
        <w:widowControl/>
        <w:jc w:val="center"/>
        <w:rPr>
          <w:color w:val="000000" w:themeColor="text1"/>
          <w:kern w:val="0"/>
          <w:sz w:val="30"/>
          <w:szCs w:val="30"/>
          <w14:textFill>
            <w14:solidFill>
              <w14:schemeClr w14:val="tx1"/>
            </w14:solidFill>
          </w14:textFill>
        </w:rPr>
      </w:pPr>
      <w:r>
        <w:rPr>
          <w:color w:val="000000" w:themeColor="text1"/>
          <w:kern w:val="0"/>
          <w:sz w:val="30"/>
          <w:szCs w:val="30"/>
          <w14:textFill>
            <w14:solidFill>
              <w14:schemeClr w14:val="tx1"/>
            </w14:solidFill>
          </w14:textFill>
        </w:rPr>
        <w:t xml:space="preserve">Standard for </w:t>
      </w:r>
      <w:r>
        <w:rPr>
          <w:rFonts w:hint="eastAsia"/>
          <w:color w:val="000000" w:themeColor="text1"/>
          <w:kern w:val="0"/>
          <w:sz w:val="30"/>
          <w:szCs w:val="30"/>
          <w14:textFill>
            <w14:solidFill>
              <w14:schemeClr w14:val="tx1"/>
            </w14:solidFill>
          </w14:textFill>
        </w:rPr>
        <w:t>f</w:t>
      </w:r>
      <w:r>
        <w:rPr>
          <w:color w:val="000000" w:themeColor="text1"/>
          <w:kern w:val="0"/>
          <w:sz w:val="30"/>
          <w:szCs w:val="30"/>
          <w14:textFill>
            <w14:solidFill>
              <w14:schemeClr w14:val="tx1"/>
            </w14:solidFill>
          </w14:textFill>
        </w:rPr>
        <w:t xml:space="preserve">ire </w:t>
      </w:r>
      <w:r>
        <w:rPr>
          <w:rFonts w:hint="eastAsia"/>
          <w:color w:val="000000" w:themeColor="text1"/>
          <w:kern w:val="0"/>
          <w:sz w:val="30"/>
          <w:szCs w:val="30"/>
          <w14:textFill>
            <w14:solidFill>
              <w14:schemeClr w14:val="tx1"/>
            </w14:solidFill>
          </w14:textFill>
        </w:rPr>
        <w:t>p</w:t>
      </w:r>
      <w:r>
        <w:rPr>
          <w:color w:val="000000" w:themeColor="text1"/>
          <w:kern w:val="0"/>
          <w:sz w:val="30"/>
          <w:szCs w:val="30"/>
          <w14:textFill>
            <w14:solidFill>
              <w14:schemeClr w14:val="tx1"/>
            </w14:solidFill>
          </w14:textFill>
        </w:rPr>
        <w:t xml:space="preserve">rotection </w:t>
      </w:r>
      <w:r>
        <w:rPr>
          <w:rFonts w:hint="eastAsia"/>
          <w:color w:val="000000" w:themeColor="text1"/>
          <w:kern w:val="0"/>
          <w:sz w:val="30"/>
          <w:szCs w:val="30"/>
          <w14:textFill>
            <w14:solidFill>
              <w14:schemeClr w14:val="tx1"/>
            </w14:solidFill>
          </w14:textFill>
        </w:rPr>
        <w:t>d</w:t>
      </w:r>
      <w:r>
        <w:rPr>
          <w:color w:val="000000" w:themeColor="text1"/>
          <w:kern w:val="0"/>
          <w:sz w:val="30"/>
          <w:szCs w:val="30"/>
          <w14:textFill>
            <w14:solidFill>
              <w14:schemeClr w14:val="tx1"/>
            </w14:solidFill>
          </w14:textFill>
        </w:rPr>
        <w:t xml:space="preserve">esign of </w:t>
      </w:r>
      <w:r>
        <w:rPr>
          <w:rFonts w:hint="eastAsia"/>
          <w:color w:val="000000" w:themeColor="text1"/>
          <w:kern w:val="0"/>
          <w:sz w:val="30"/>
          <w:szCs w:val="30"/>
          <w14:textFill>
            <w14:solidFill>
              <w14:schemeClr w14:val="tx1"/>
            </w14:solidFill>
          </w14:textFill>
        </w:rPr>
        <w:t>e</w:t>
      </w:r>
      <w:r>
        <w:rPr>
          <w:color w:val="000000" w:themeColor="text1"/>
          <w:kern w:val="0"/>
          <w:sz w:val="30"/>
          <w:szCs w:val="30"/>
          <w14:textFill>
            <w14:solidFill>
              <w14:schemeClr w14:val="tx1"/>
            </w14:solidFill>
          </w14:textFill>
        </w:rPr>
        <w:t xml:space="preserve">xisting </w:t>
      </w:r>
      <w:r>
        <w:rPr>
          <w:rFonts w:hint="eastAsia"/>
          <w:color w:val="000000" w:themeColor="text1"/>
          <w:kern w:val="0"/>
          <w:sz w:val="30"/>
          <w:szCs w:val="30"/>
          <w14:textFill>
            <w14:solidFill>
              <w14:schemeClr w14:val="tx1"/>
            </w14:solidFill>
          </w14:textFill>
        </w:rPr>
        <w:t>b</w:t>
      </w:r>
      <w:r>
        <w:rPr>
          <w:color w:val="000000" w:themeColor="text1"/>
          <w:kern w:val="0"/>
          <w:sz w:val="30"/>
          <w:szCs w:val="30"/>
          <w14:textFill>
            <w14:solidFill>
              <w14:schemeClr w14:val="tx1"/>
            </w14:solidFill>
          </w14:textFill>
        </w:rPr>
        <w:t xml:space="preserve">uilding </w:t>
      </w:r>
      <w:r>
        <w:rPr>
          <w:rFonts w:hint="eastAsia"/>
          <w:color w:val="000000" w:themeColor="text1"/>
          <w:kern w:val="0"/>
          <w:sz w:val="30"/>
          <w:szCs w:val="30"/>
          <w14:textFill>
            <w14:solidFill>
              <w14:schemeClr w14:val="tx1"/>
            </w14:solidFill>
          </w14:textFill>
        </w:rPr>
        <w:t>r</w:t>
      </w:r>
      <w:r>
        <w:rPr>
          <w:color w:val="000000" w:themeColor="text1"/>
          <w:kern w:val="0"/>
          <w:sz w:val="30"/>
          <w:szCs w:val="30"/>
          <w14:textFill>
            <w14:solidFill>
              <w14:schemeClr w14:val="tx1"/>
            </w14:solidFill>
          </w14:textFill>
        </w:rPr>
        <w:t xml:space="preserve">enovation </w:t>
      </w:r>
      <w:r>
        <w:rPr>
          <w:rFonts w:hint="eastAsia"/>
          <w:color w:val="000000" w:themeColor="text1"/>
          <w:kern w:val="0"/>
          <w:sz w:val="30"/>
          <w:szCs w:val="30"/>
          <w14:textFill>
            <w14:solidFill>
              <w14:schemeClr w14:val="tx1"/>
            </w14:solidFill>
          </w14:textFill>
        </w:rPr>
        <w:t>p</w:t>
      </w:r>
      <w:r>
        <w:rPr>
          <w:color w:val="000000" w:themeColor="text1"/>
          <w:kern w:val="0"/>
          <w:sz w:val="30"/>
          <w:szCs w:val="30"/>
          <w14:textFill>
            <w14:solidFill>
              <w14:schemeClr w14:val="tx1"/>
            </w14:solidFill>
          </w14:textFill>
        </w:rPr>
        <w:t>rojects</w:t>
      </w:r>
    </w:p>
    <w:p w14:paraId="421001E5">
      <w:pPr>
        <w:widowControl/>
        <w:jc w:val="left"/>
        <w:rPr>
          <w:rFonts w:eastAsia="黑体"/>
          <w:sz w:val="32"/>
        </w:rPr>
      </w:pPr>
    </w:p>
    <w:p w14:paraId="12B52FE4">
      <w:pPr>
        <w:widowControl/>
        <w:jc w:val="center"/>
        <w:rPr>
          <w:rFonts w:eastAsia="黑体"/>
          <w:sz w:val="32"/>
        </w:rPr>
      </w:pPr>
      <w:r>
        <w:rPr>
          <w:rFonts w:hint="eastAsia" w:eastAsia="黑体"/>
          <w:sz w:val="32"/>
        </w:rPr>
        <w:t>（征求意见稿）</w:t>
      </w:r>
    </w:p>
    <w:p w14:paraId="02F9893F">
      <w:pPr>
        <w:widowControl/>
        <w:jc w:val="left"/>
        <w:rPr>
          <w:rFonts w:eastAsia="黑体"/>
          <w:sz w:val="32"/>
        </w:rPr>
      </w:pPr>
    </w:p>
    <w:p w14:paraId="6D514DB8">
      <w:pPr>
        <w:widowControl/>
        <w:jc w:val="left"/>
        <w:rPr>
          <w:rFonts w:eastAsia="黑体"/>
          <w:sz w:val="32"/>
        </w:rPr>
      </w:pPr>
    </w:p>
    <w:p w14:paraId="3C0E3D11">
      <w:pPr>
        <w:widowControl/>
        <w:jc w:val="left"/>
        <w:rPr>
          <w:rFonts w:eastAsia="黑体"/>
          <w:sz w:val="32"/>
        </w:rPr>
      </w:pPr>
    </w:p>
    <w:p w14:paraId="0517804B">
      <w:pPr>
        <w:widowControl/>
        <w:jc w:val="left"/>
        <w:rPr>
          <w:rFonts w:eastAsia="黑体"/>
          <w:sz w:val="32"/>
        </w:rPr>
      </w:pPr>
    </w:p>
    <w:p w14:paraId="0921C7A7">
      <w:pPr>
        <w:widowControl/>
        <w:jc w:val="left"/>
        <w:rPr>
          <w:rFonts w:eastAsia="黑体"/>
          <w:sz w:val="32"/>
        </w:rPr>
      </w:pPr>
    </w:p>
    <w:p w14:paraId="27E7E5A5">
      <w:pPr>
        <w:widowControl/>
        <w:jc w:val="left"/>
        <w:rPr>
          <w:rFonts w:eastAsia="黑体"/>
          <w:sz w:val="32"/>
        </w:rPr>
      </w:pPr>
    </w:p>
    <w:p w14:paraId="1200917F">
      <w:pPr>
        <w:widowControl/>
        <w:jc w:val="left"/>
        <w:rPr>
          <w:rFonts w:ascii="黑体" w:hAnsi="黑体" w:eastAsia="黑体"/>
          <w:sz w:val="32"/>
          <w:szCs w:val="32"/>
        </w:rPr>
      </w:pPr>
      <w:r>
        <w:rPr>
          <w:rFonts w:hint="eastAsia" w:ascii="黑体" w:hAnsi="黑体" w:eastAsia="黑体" w:cs="Arial"/>
          <w:sz w:val="32"/>
          <w:szCs w:val="32"/>
        </w:rPr>
        <w:t>20xx-xx-xx发布                          20xx-xx-xx实施</w:t>
      </w:r>
    </w:p>
    <w:p w14:paraId="0AEC6715">
      <w:pPr>
        <w:widowControl/>
        <w:jc w:val="left"/>
        <w:rPr>
          <w:rFonts w:eastAsia="黑体"/>
          <w:sz w:val="32"/>
        </w:rPr>
      </w:pPr>
      <w:r>
        <w:rPr>
          <w:rFonts w:eastAsia="黑体"/>
          <w:spacing w:val="8"/>
          <w:kern w:val="0"/>
          <w:sz w:val="36"/>
        </w:rPr>
        <mc:AlternateContent>
          <mc:Choice Requires="wps">
            <w:drawing>
              <wp:anchor distT="0" distB="0" distL="114300" distR="114300" simplePos="0" relativeHeight="251661312" behindDoc="0" locked="0" layoutInCell="1" allowOverlap="1">
                <wp:simplePos x="0" y="0"/>
                <wp:positionH relativeFrom="column">
                  <wp:posOffset>4481830</wp:posOffset>
                </wp:positionH>
                <wp:positionV relativeFrom="paragraph">
                  <wp:posOffset>160655</wp:posOffset>
                </wp:positionV>
                <wp:extent cx="1378585" cy="502920"/>
                <wp:effectExtent l="0" t="0" r="0" b="1905"/>
                <wp:wrapNone/>
                <wp:docPr id="2" name="Text Box 5"/>
                <wp:cNvGraphicFramePr/>
                <a:graphic xmlns:a="http://schemas.openxmlformats.org/drawingml/2006/main">
                  <a:graphicData uri="http://schemas.microsoft.com/office/word/2010/wordprocessingShape">
                    <wps:wsp>
                      <wps:cNvSpPr txBox="1">
                        <a:spLocks noChangeArrowheads="1"/>
                      </wps:cNvSpPr>
                      <wps:spPr bwMode="auto">
                        <a:xfrm>
                          <a:off x="0" y="0"/>
                          <a:ext cx="1378585" cy="502920"/>
                        </a:xfrm>
                        <a:prstGeom prst="rect">
                          <a:avLst/>
                        </a:prstGeom>
                        <a:solidFill>
                          <a:srgbClr val="FFFFFF"/>
                        </a:solidFill>
                        <a:ln>
                          <a:noFill/>
                        </a:ln>
                      </wps:spPr>
                      <wps:txbx>
                        <w:txbxContent>
                          <w:p w14:paraId="68FDC73E">
                            <w:pPr>
                              <w:jc w:val="center"/>
                              <w:rPr>
                                <w:rFonts w:ascii="黑体" w:hAnsi="黑体" w:eastAsia="黑体"/>
                                <w:sz w:val="36"/>
                              </w:rPr>
                            </w:pPr>
                            <w:r>
                              <w:rPr>
                                <w:rFonts w:hint="eastAsia" w:ascii="黑体" w:hAnsi="黑体" w:eastAsia="黑体"/>
                                <w:sz w:val="36"/>
                              </w:rPr>
                              <w:t>联合发布</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Text Box 5" o:spid="_x0000_s1026" o:spt="202" type="#_x0000_t202" style="position:absolute;left:0pt;margin-left:352.9pt;margin-top:12.65pt;height:39.6pt;width:108.55pt;z-index:251661312;mso-width-relative:page;mso-height-relative:margin;mso-height-percent:200;" fillcolor="#FFFFFF" filled="t" stroked="f" coordsize="21600,21600" o:gfxdata="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juIdfYAAAACgEA&#10;AA8AAAAAAAAAAQAgAAAAIgAAAGRycy9kb3ducmV2LnhtbFBLAQIUABQAAAAIAIdO4kDdXL0SGgIA&#10;AD0EAAAOAAAAAAAAAAEAIAAAACcBAABkcnMvZTJvRG9jLnhtbFBLBQYAAAAABgAGAFkBAACzBQAA&#10;AAA=&#10;">
                <v:fill on="t" focussize="0,0"/>
                <v:stroke on="f"/>
                <v:imagedata o:title=""/>
                <o:lock v:ext="edit" aspectratio="f"/>
                <v:textbox style="mso-fit-shape-to-text:t;">
                  <w:txbxContent>
                    <w:p w14:paraId="68FDC73E">
                      <w:pPr>
                        <w:jc w:val="center"/>
                        <w:rPr>
                          <w:rFonts w:ascii="黑体" w:hAnsi="黑体" w:eastAsia="黑体"/>
                          <w:sz w:val="36"/>
                        </w:rPr>
                      </w:pPr>
                      <w:r>
                        <w:rPr>
                          <w:rFonts w:hint="eastAsia" w:ascii="黑体" w:hAnsi="黑体" w:eastAsia="黑体"/>
                          <w:sz w:val="36"/>
                        </w:rPr>
                        <w:t>联合发布</w:t>
                      </w:r>
                    </w:p>
                  </w:txbxContent>
                </v:textbox>
              </v:shape>
            </w:pict>
          </mc:Fallback>
        </mc:AlternateContent>
      </w:r>
      <w:r>
        <w:rPr>
          <w:rFonts w:eastAsia="黑体"/>
          <w:sz w:val="32"/>
        </w:rPr>
        <mc:AlternateContent>
          <mc:Choice Requires="wps">
            <w:drawing>
              <wp:anchor distT="0" distB="0" distL="114300" distR="114300" simplePos="0" relativeHeight="251660288" behindDoc="0" locked="0" layoutInCell="1" allowOverlap="1">
                <wp:simplePos x="0" y="0"/>
                <wp:positionH relativeFrom="column">
                  <wp:posOffset>-22225</wp:posOffset>
                </wp:positionH>
                <wp:positionV relativeFrom="paragraph">
                  <wp:posOffset>0</wp:posOffset>
                </wp:positionV>
                <wp:extent cx="5974715" cy="0"/>
                <wp:effectExtent l="6985" t="10795" r="9525" b="8255"/>
                <wp:wrapNone/>
                <wp:docPr id="1" name="AutoShape 3"/>
                <wp:cNvGraphicFramePr/>
                <a:graphic xmlns:a="http://schemas.openxmlformats.org/drawingml/2006/main">
                  <a:graphicData uri="http://schemas.microsoft.com/office/word/2010/wordprocessingShape">
                    <wps:wsp>
                      <wps:cNvCnPr>
                        <a:cxnSpLocks noChangeShapeType="1"/>
                      </wps:cNvCnPr>
                      <wps:spPr bwMode="auto">
                        <a:xfrm>
                          <a:off x="0" y="0"/>
                          <a:ext cx="5974715" cy="0"/>
                        </a:xfrm>
                        <a:prstGeom prst="straightConnector1">
                          <a:avLst/>
                        </a:prstGeom>
                        <a:noFill/>
                        <a:ln w="9525">
                          <a:solidFill>
                            <a:srgbClr val="000000"/>
                          </a:solidFill>
                          <a:round/>
                        </a:ln>
                      </wps:spPr>
                      <wps:bodyPr/>
                    </wps:wsp>
                  </a:graphicData>
                </a:graphic>
              </wp:anchor>
            </w:drawing>
          </mc:Choice>
          <mc:Fallback>
            <w:pict>
              <v:shape id="AutoShape 3" o:spid="_x0000_s1026" o:spt="32" type="#_x0000_t32" style="position:absolute;left:0pt;margin-left:-1.75pt;margin-top:0pt;height:0pt;width:470.45pt;z-index:251660288;mso-width-relative:page;mso-height-relative:page;" filled="f" stroked="t" coordsize="21600,21600" o:gfxdata="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lgH+iNQAAAAEAQAADwAAAAAAAAABACAAAAAi&#10;AAAAZHJzL2Rvd25yZXYueG1sUEsBAhQAFAAAAAgAh07iQFQaN8nVAQAAsgMAAA4AAAAAAAAAAQAg&#10;AAAAIwEAAGRycy9lMm9Eb2MueG1sUEsFBgAAAAAGAAYAWQEAAGoFAAAAAA==&#10;">
                <v:fill on="f" focussize="0,0"/>
                <v:stroke color="#000000" joinstyle="round"/>
                <v:imagedata o:title=""/>
                <o:lock v:ext="edit" aspectratio="f"/>
              </v:shape>
            </w:pict>
          </mc:Fallback>
        </mc:AlternateContent>
      </w:r>
      <w:r>
        <w:rPr>
          <w:rFonts w:hint="eastAsia" w:eastAsia="黑体"/>
          <w:spacing w:val="8"/>
          <w:kern w:val="0"/>
          <w:sz w:val="36"/>
        </w:rPr>
        <w:t>北京市规划和自然资源委员会</w:t>
      </w:r>
    </w:p>
    <w:p w14:paraId="55F1842E">
      <w:pPr>
        <w:widowControl/>
        <w:jc w:val="left"/>
        <w:rPr>
          <w:rFonts w:eastAsia="黑体"/>
          <w:sz w:val="32"/>
        </w:rPr>
      </w:pPr>
      <w:r>
        <w:rPr>
          <w:rFonts w:hint="eastAsia" w:eastAsia="黑体"/>
          <w:spacing w:val="70"/>
          <w:kern w:val="0"/>
          <w:sz w:val="36"/>
          <w:fitText w:val="4860" w:id="2014064897"/>
        </w:rPr>
        <w:t>北京市市场监督管理</w:t>
      </w:r>
      <w:r>
        <w:rPr>
          <w:rFonts w:hint="eastAsia" w:eastAsia="黑体"/>
          <w:spacing w:val="0"/>
          <w:kern w:val="0"/>
          <w:sz w:val="36"/>
          <w:fitText w:val="4860" w:id="2014064897"/>
        </w:rPr>
        <w:t>局</w:t>
      </w:r>
    </w:p>
    <w:p w14:paraId="4CCD8117">
      <w:pPr>
        <w:widowControl/>
        <w:jc w:val="left"/>
        <w:rPr>
          <w:rFonts w:eastAsia="黑体"/>
          <w:sz w:val="32"/>
        </w:rPr>
      </w:pPr>
      <w:r>
        <w:rPr>
          <w:rFonts w:eastAsia="黑体"/>
          <w:sz w:val="32"/>
        </w:rPr>
        <w:br w:type="page"/>
      </w:r>
    </w:p>
    <w:p w14:paraId="4DF1F186">
      <w:pPr>
        <w:widowControl/>
        <w:jc w:val="left"/>
        <w:rPr>
          <w:rFonts w:eastAsia="黑体"/>
          <w:sz w:val="32"/>
        </w:rPr>
      </w:pPr>
    </w:p>
    <w:p w14:paraId="27140FB4">
      <w:pPr>
        <w:widowControl/>
        <w:jc w:val="center"/>
        <w:rPr>
          <w:rFonts w:eastAsia="黑体"/>
          <w:sz w:val="32"/>
        </w:rPr>
      </w:pPr>
      <w:r>
        <w:rPr>
          <w:rFonts w:hint="eastAsia" w:eastAsia="黑体"/>
          <w:sz w:val="32"/>
        </w:rPr>
        <w:t>北 京 市 地 方 标 准</w:t>
      </w:r>
    </w:p>
    <w:p w14:paraId="39EA84A5">
      <w:pPr>
        <w:widowControl/>
        <w:jc w:val="left"/>
        <w:rPr>
          <w:rFonts w:eastAsia="黑体"/>
          <w:sz w:val="32"/>
        </w:rPr>
      </w:pPr>
    </w:p>
    <w:p w14:paraId="2F44E17C">
      <w:pPr>
        <w:widowControl/>
        <w:jc w:val="left"/>
        <w:rPr>
          <w:rFonts w:eastAsia="黑体"/>
          <w:sz w:val="32"/>
        </w:rPr>
      </w:pPr>
    </w:p>
    <w:p w14:paraId="0AFE9E1C">
      <w:pPr>
        <w:widowControl/>
        <w:jc w:val="center"/>
        <w:rPr>
          <w:rFonts w:eastAsia="黑体"/>
          <w:sz w:val="44"/>
          <w:szCs w:val="44"/>
        </w:rPr>
      </w:pPr>
      <w:r>
        <w:rPr>
          <w:rFonts w:hint="eastAsia" w:eastAsia="黑体"/>
          <w:sz w:val="44"/>
          <w:szCs w:val="44"/>
        </w:rPr>
        <w:t>既有建筑改造防火设计标准</w:t>
      </w:r>
    </w:p>
    <w:p w14:paraId="6C4214C5">
      <w:pPr>
        <w:widowControl/>
        <w:jc w:val="center"/>
        <w:rPr>
          <w:color w:val="FF0000"/>
          <w:kern w:val="0"/>
          <w:sz w:val="30"/>
          <w:szCs w:val="30"/>
        </w:rPr>
      </w:pPr>
      <w:r>
        <w:rPr>
          <w:color w:val="000000" w:themeColor="text1"/>
          <w:kern w:val="0"/>
          <w:sz w:val="30"/>
          <w:szCs w:val="30"/>
          <w14:textFill>
            <w14:solidFill>
              <w14:schemeClr w14:val="tx1"/>
            </w14:solidFill>
          </w14:textFill>
        </w:rPr>
        <w:t xml:space="preserve">Standard for </w:t>
      </w:r>
      <w:r>
        <w:rPr>
          <w:rFonts w:hint="eastAsia"/>
          <w:color w:val="000000" w:themeColor="text1"/>
          <w:kern w:val="0"/>
          <w:sz w:val="30"/>
          <w:szCs w:val="30"/>
          <w14:textFill>
            <w14:solidFill>
              <w14:schemeClr w14:val="tx1"/>
            </w14:solidFill>
          </w14:textFill>
        </w:rPr>
        <w:t>f</w:t>
      </w:r>
      <w:r>
        <w:rPr>
          <w:color w:val="000000" w:themeColor="text1"/>
          <w:kern w:val="0"/>
          <w:sz w:val="30"/>
          <w:szCs w:val="30"/>
          <w14:textFill>
            <w14:solidFill>
              <w14:schemeClr w14:val="tx1"/>
            </w14:solidFill>
          </w14:textFill>
        </w:rPr>
        <w:t xml:space="preserve">ire </w:t>
      </w:r>
      <w:r>
        <w:rPr>
          <w:rFonts w:hint="eastAsia"/>
          <w:color w:val="000000" w:themeColor="text1"/>
          <w:kern w:val="0"/>
          <w:sz w:val="30"/>
          <w:szCs w:val="30"/>
          <w14:textFill>
            <w14:solidFill>
              <w14:schemeClr w14:val="tx1"/>
            </w14:solidFill>
          </w14:textFill>
        </w:rPr>
        <w:t>p</w:t>
      </w:r>
      <w:r>
        <w:rPr>
          <w:color w:val="000000" w:themeColor="text1"/>
          <w:kern w:val="0"/>
          <w:sz w:val="30"/>
          <w:szCs w:val="30"/>
          <w14:textFill>
            <w14:solidFill>
              <w14:schemeClr w14:val="tx1"/>
            </w14:solidFill>
          </w14:textFill>
        </w:rPr>
        <w:t xml:space="preserve">rotection </w:t>
      </w:r>
      <w:r>
        <w:rPr>
          <w:rFonts w:hint="eastAsia"/>
          <w:color w:val="000000" w:themeColor="text1"/>
          <w:kern w:val="0"/>
          <w:sz w:val="30"/>
          <w:szCs w:val="30"/>
          <w14:textFill>
            <w14:solidFill>
              <w14:schemeClr w14:val="tx1"/>
            </w14:solidFill>
          </w14:textFill>
        </w:rPr>
        <w:t>d</w:t>
      </w:r>
      <w:r>
        <w:rPr>
          <w:color w:val="000000" w:themeColor="text1"/>
          <w:kern w:val="0"/>
          <w:sz w:val="30"/>
          <w:szCs w:val="30"/>
          <w14:textFill>
            <w14:solidFill>
              <w14:schemeClr w14:val="tx1"/>
            </w14:solidFill>
          </w14:textFill>
        </w:rPr>
        <w:t xml:space="preserve">esign of </w:t>
      </w:r>
      <w:r>
        <w:rPr>
          <w:rFonts w:hint="eastAsia"/>
          <w:color w:val="000000" w:themeColor="text1"/>
          <w:kern w:val="0"/>
          <w:sz w:val="30"/>
          <w:szCs w:val="30"/>
          <w14:textFill>
            <w14:solidFill>
              <w14:schemeClr w14:val="tx1"/>
            </w14:solidFill>
          </w14:textFill>
        </w:rPr>
        <w:t>e</w:t>
      </w:r>
      <w:r>
        <w:rPr>
          <w:color w:val="000000" w:themeColor="text1"/>
          <w:kern w:val="0"/>
          <w:sz w:val="30"/>
          <w:szCs w:val="30"/>
          <w14:textFill>
            <w14:solidFill>
              <w14:schemeClr w14:val="tx1"/>
            </w14:solidFill>
          </w14:textFill>
        </w:rPr>
        <w:t xml:space="preserve">xisting </w:t>
      </w:r>
      <w:r>
        <w:rPr>
          <w:rFonts w:hint="eastAsia"/>
          <w:color w:val="000000" w:themeColor="text1"/>
          <w:kern w:val="0"/>
          <w:sz w:val="30"/>
          <w:szCs w:val="30"/>
          <w14:textFill>
            <w14:solidFill>
              <w14:schemeClr w14:val="tx1"/>
            </w14:solidFill>
          </w14:textFill>
        </w:rPr>
        <w:t>b</w:t>
      </w:r>
      <w:r>
        <w:rPr>
          <w:color w:val="000000" w:themeColor="text1"/>
          <w:kern w:val="0"/>
          <w:sz w:val="30"/>
          <w:szCs w:val="30"/>
          <w14:textFill>
            <w14:solidFill>
              <w14:schemeClr w14:val="tx1"/>
            </w14:solidFill>
          </w14:textFill>
        </w:rPr>
        <w:t xml:space="preserve">uilding </w:t>
      </w:r>
      <w:r>
        <w:rPr>
          <w:rFonts w:hint="eastAsia"/>
          <w:color w:val="000000" w:themeColor="text1"/>
          <w:kern w:val="0"/>
          <w:sz w:val="30"/>
          <w:szCs w:val="30"/>
          <w14:textFill>
            <w14:solidFill>
              <w14:schemeClr w14:val="tx1"/>
            </w14:solidFill>
          </w14:textFill>
        </w:rPr>
        <w:t>r</w:t>
      </w:r>
      <w:r>
        <w:rPr>
          <w:color w:val="000000" w:themeColor="text1"/>
          <w:kern w:val="0"/>
          <w:sz w:val="30"/>
          <w:szCs w:val="30"/>
          <w14:textFill>
            <w14:solidFill>
              <w14:schemeClr w14:val="tx1"/>
            </w14:solidFill>
          </w14:textFill>
        </w:rPr>
        <w:t xml:space="preserve">enovation </w:t>
      </w:r>
      <w:r>
        <w:rPr>
          <w:rFonts w:hint="eastAsia"/>
          <w:color w:val="000000" w:themeColor="text1"/>
          <w:kern w:val="0"/>
          <w:sz w:val="30"/>
          <w:szCs w:val="30"/>
          <w14:textFill>
            <w14:solidFill>
              <w14:schemeClr w14:val="tx1"/>
            </w14:solidFill>
          </w14:textFill>
        </w:rPr>
        <w:t>p</w:t>
      </w:r>
      <w:r>
        <w:rPr>
          <w:color w:val="000000" w:themeColor="text1"/>
          <w:kern w:val="0"/>
          <w:sz w:val="30"/>
          <w:szCs w:val="30"/>
          <w14:textFill>
            <w14:solidFill>
              <w14:schemeClr w14:val="tx1"/>
            </w14:solidFill>
          </w14:textFill>
        </w:rPr>
        <w:t>rojects</w:t>
      </w:r>
    </w:p>
    <w:p w14:paraId="187E70C5">
      <w:pPr>
        <w:widowControl/>
        <w:jc w:val="left"/>
        <w:rPr>
          <w:rFonts w:eastAsia="黑体"/>
          <w:sz w:val="32"/>
        </w:rPr>
      </w:pPr>
    </w:p>
    <w:p w14:paraId="3AE29499">
      <w:pPr>
        <w:widowControl/>
        <w:jc w:val="center"/>
        <w:rPr>
          <w:rFonts w:eastAsia="黑体"/>
          <w:sz w:val="32"/>
        </w:rPr>
      </w:pPr>
      <w:r>
        <w:rPr>
          <w:rFonts w:hint="eastAsia" w:eastAsia="黑体"/>
          <w:sz w:val="32"/>
        </w:rPr>
        <w:t>DB11/</w:t>
      </w:r>
      <w:r>
        <w:rPr>
          <w:rFonts w:hint="eastAsia" w:eastAsia="黑体"/>
          <w:color w:val="000000" w:themeColor="text1"/>
          <w:sz w:val="32"/>
          <w14:textFill>
            <w14:solidFill>
              <w14:schemeClr w14:val="tx1"/>
            </w14:solidFill>
          </w14:textFill>
        </w:rPr>
        <w:t xml:space="preserve">T </w:t>
      </w:r>
      <w:r>
        <w:rPr>
          <w:rFonts w:hint="eastAsia" w:eastAsia="黑体"/>
          <w:sz w:val="32"/>
        </w:rPr>
        <w:t xml:space="preserve"> xxxx—20xx</w:t>
      </w:r>
    </w:p>
    <w:p w14:paraId="334C2304">
      <w:pPr>
        <w:widowControl/>
        <w:jc w:val="left"/>
        <w:rPr>
          <w:rFonts w:eastAsia="黑体"/>
          <w:sz w:val="32"/>
        </w:rPr>
      </w:pPr>
    </w:p>
    <w:p w14:paraId="09A5D5C0">
      <w:pPr>
        <w:widowControl/>
        <w:ind w:left="1984" w:leftChars="954"/>
        <w:jc w:val="left"/>
        <w:rPr>
          <w:rFonts w:asciiTheme="minorEastAsia" w:hAnsiTheme="minorEastAsia" w:eastAsiaTheme="minorEastAsia"/>
          <w:color w:val="000000" w:themeColor="text1"/>
          <w:sz w:val="28"/>
          <w:szCs w:val="28"/>
          <w14:textFill>
            <w14:solidFill>
              <w14:schemeClr w14:val="tx1"/>
            </w14:solidFill>
          </w14:textFill>
        </w:rPr>
      </w:pPr>
      <w:r>
        <w:rPr>
          <w:rFonts w:hint="eastAsia" w:ascii="宋体" w:hAnsi="宋体"/>
          <w:sz w:val="28"/>
          <w:szCs w:val="28"/>
        </w:rPr>
        <w:t>主编单位</w:t>
      </w:r>
      <w:r>
        <w:rPr>
          <w:rFonts w:hint="eastAsia" w:ascii="宋体" w:hAnsi="宋体"/>
          <w:color w:val="000000" w:themeColor="text1"/>
          <w:sz w:val="28"/>
          <w:szCs w:val="28"/>
          <w14:textFill>
            <w14:solidFill>
              <w14:schemeClr w14:val="tx1"/>
            </w14:solidFill>
          </w14:textFill>
        </w:rPr>
        <w:t>：</w:t>
      </w:r>
      <w:r>
        <w:rPr>
          <w:rFonts w:hint="eastAsia" w:asciiTheme="minorEastAsia" w:hAnsiTheme="minorEastAsia" w:eastAsiaTheme="minorEastAsia"/>
          <w:color w:val="000000" w:themeColor="text1"/>
          <w:sz w:val="28"/>
          <w:szCs w:val="28"/>
          <w14:textFill>
            <w14:solidFill>
              <w14:schemeClr w14:val="tx1"/>
            </w14:solidFill>
          </w14:textFill>
        </w:rPr>
        <w:t>XXXXXX</w:t>
      </w:r>
    </w:p>
    <w:p w14:paraId="499EB8BD">
      <w:pPr>
        <w:widowControl/>
        <w:ind w:left="3401" w:leftChars="1635"/>
        <w:jc w:val="left"/>
        <w:rPr>
          <w:rFonts w:ascii="宋体" w:hAnsi="宋体"/>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XXXXXX</w:t>
      </w:r>
    </w:p>
    <w:p w14:paraId="13597A7A">
      <w:pPr>
        <w:widowControl/>
        <w:ind w:left="1984" w:leftChars="954"/>
        <w:jc w:val="left"/>
        <w:rPr>
          <w:rFonts w:ascii="宋体" w:hAnsi="宋体"/>
          <w:sz w:val="28"/>
          <w:szCs w:val="28"/>
        </w:rPr>
      </w:pPr>
      <w:r>
        <w:rPr>
          <w:rFonts w:hint="eastAsia" w:ascii="宋体" w:hAnsi="宋体"/>
          <w:sz w:val="28"/>
          <w:szCs w:val="28"/>
        </w:rPr>
        <w:t>批准部门：北京市规划和自然资源委员会</w:t>
      </w:r>
    </w:p>
    <w:p w14:paraId="29D94350">
      <w:pPr>
        <w:widowControl/>
        <w:ind w:left="3401" w:leftChars="1635"/>
        <w:jc w:val="left"/>
        <w:rPr>
          <w:rFonts w:ascii="宋体" w:hAnsi="宋体"/>
          <w:sz w:val="28"/>
          <w:szCs w:val="28"/>
        </w:rPr>
      </w:pPr>
      <w:r>
        <w:rPr>
          <w:rFonts w:hint="eastAsia" w:ascii="宋体" w:hAnsi="宋体"/>
          <w:sz w:val="28"/>
          <w:szCs w:val="28"/>
        </w:rPr>
        <w:t>北京市市场监督管理局</w:t>
      </w:r>
    </w:p>
    <w:p w14:paraId="05537E99">
      <w:pPr>
        <w:widowControl/>
        <w:ind w:left="1984" w:leftChars="954"/>
        <w:jc w:val="left"/>
        <w:rPr>
          <w:rFonts w:asciiTheme="minorEastAsia" w:hAnsiTheme="minorEastAsia" w:eastAsiaTheme="minorEastAsia"/>
          <w:sz w:val="28"/>
          <w:szCs w:val="28"/>
        </w:rPr>
      </w:pPr>
      <w:r>
        <w:rPr>
          <w:rFonts w:hint="eastAsia" w:ascii="宋体" w:hAnsi="宋体"/>
          <w:sz w:val="28"/>
          <w:szCs w:val="28"/>
        </w:rPr>
        <w:t>实施日期：20</w:t>
      </w:r>
      <w:r>
        <w:rPr>
          <w:rFonts w:hint="eastAsia" w:asciiTheme="minorEastAsia" w:hAnsiTheme="minorEastAsia" w:eastAsiaTheme="minorEastAsia"/>
          <w:sz w:val="28"/>
          <w:szCs w:val="28"/>
        </w:rPr>
        <w:t>xx</w:t>
      </w:r>
      <w:r>
        <w:rPr>
          <w:rFonts w:hint="eastAsia" w:ascii="宋体" w:hAnsi="宋体"/>
          <w:sz w:val="28"/>
          <w:szCs w:val="28"/>
        </w:rPr>
        <w:t>年</w:t>
      </w:r>
      <w:r>
        <w:rPr>
          <w:rFonts w:hint="eastAsia" w:asciiTheme="minorEastAsia" w:hAnsiTheme="minorEastAsia" w:eastAsiaTheme="minorEastAsia"/>
          <w:sz w:val="28"/>
          <w:szCs w:val="28"/>
        </w:rPr>
        <w:t>xx</w:t>
      </w:r>
      <w:r>
        <w:rPr>
          <w:rFonts w:hint="eastAsia" w:ascii="宋体" w:hAnsi="宋体"/>
          <w:sz w:val="28"/>
          <w:szCs w:val="28"/>
        </w:rPr>
        <w:t>月</w:t>
      </w:r>
      <w:r>
        <w:rPr>
          <w:rFonts w:hint="eastAsia" w:asciiTheme="minorEastAsia" w:hAnsiTheme="minorEastAsia" w:eastAsiaTheme="minorEastAsia"/>
          <w:sz w:val="28"/>
          <w:szCs w:val="28"/>
        </w:rPr>
        <w:t>xx</w:t>
      </w:r>
      <w:r>
        <w:rPr>
          <w:rFonts w:hint="eastAsia" w:ascii="宋体" w:hAnsi="宋体"/>
          <w:sz w:val="28"/>
          <w:szCs w:val="28"/>
        </w:rPr>
        <w:t>日</w:t>
      </w:r>
    </w:p>
    <w:p w14:paraId="6B13A8C5">
      <w:pPr>
        <w:widowControl/>
        <w:jc w:val="left"/>
        <w:rPr>
          <w:rFonts w:eastAsia="黑体"/>
          <w:sz w:val="32"/>
        </w:rPr>
      </w:pPr>
    </w:p>
    <w:p w14:paraId="56C07F6F">
      <w:pPr>
        <w:widowControl/>
        <w:jc w:val="left"/>
        <w:rPr>
          <w:rFonts w:eastAsia="黑体"/>
          <w:sz w:val="32"/>
        </w:rPr>
      </w:pPr>
    </w:p>
    <w:p w14:paraId="3F12F56D">
      <w:pPr>
        <w:widowControl/>
        <w:jc w:val="left"/>
        <w:rPr>
          <w:rFonts w:eastAsia="黑体"/>
          <w:sz w:val="32"/>
        </w:rPr>
      </w:pPr>
    </w:p>
    <w:p w14:paraId="5C836A46">
      <w:pPr>
        <w:widowControl/>
        <w:jc w:val="left"/>
        <w:rPr>
          <w:rFonts w:eastAsia="黑体"/>
          <w:sz w:val="32"/>
        </w:rPr>
      </w:pPr>
    </w:p>
    <w:p w14:paraId="2D9EDC79">
      <w:pPr>
        <w:widowControl/>
        <w:jc w:val="left"/>
        <w:rPr>
          <w:rFonts w:eastAsia="黑体"/>
          <w:sz w:val="32"/>
        </w:rPr>
      </w:pPr>
    </w:p>
    <w:p w14:paraId="319D213A">
      <w:pPr>
        <w:widowControl/>
        <w:jc w:val="center"/>
        <w:rPr>
          <w:rFonts w:eastAsia="黑体"/>
          <w:sz w:val="32"/>
        </w:rPr>
      </w:pPr>
      <w:r>
        <w:rPr>
          <w:rFonts w:hint="eastAsia" w:eastAsia="黑体"/>
          <w:sz w:val="32"/>
        </w:rPr>
        <w:t>20xx  北京</w:t>
      </w:r>
    </w:p>
    <w:p w14:paraId="74049924">
      <w:pPr>
        <w:widowControl/>
        <w:jc w:val="left"/>
        <w:rPr>
          <w:rFonts w:eastAsia="黑体"/>
          <w:sz w:val="32"/>
        </w:rPr>
      </w:pPr>
      <w:r>
        <w:rPr>
          <w:rFonts w:eastAsia="黑体"/>
          <w:sz w:val="32"/>
        </w:rPr>
        <w:br w:type="page"/>
      </w:r>
    </w:p>
    <w:p w14:paraId="523E84D8">
      <w:pPr>
        <w:widowControl/>
        <w:jc w:val="center"/>
        <w:rPr>
          <w:rFonts w:eastAsia="黑体"/>
          <w:sz w:val="44"/>
          <w:szCs w:val="44"/>
        </w:rPr>
      </w:pPr>
      <w:r>
        <w:rPr>
          <w:rFonts w:hint="eastAsia" w:eastAsia="黑体"/>
          <w:sz w:val="44"/>
          <w:szCs w:val="44"/>
        </w:rPr>
        <w:t>前  言</w:t>
      </w:r>
    </w:p>
    <w:p w14:paraId="3C10F4A6">
      <w:pPr>
        <w:widowControl/>
        <w:jc w:val="left"/>
        <w:rPr>
          <w:rFonts w:eastAsia="黑体"/>
          <w:sz w:val="32"/>
        </w:rPr>
      </w:pPr>
    </w:p>
    <w:p w14:paraId="166893F9">
      <w:pPr>
        <w:widowControl/>
        <w:snapToGrid w:val="0"/>
        <w:spacing w:line="300" w:lineRule="auto"/>
        <w:ind w:firstLine="576"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为贯彻落实党的二十大精神，推动《北京城市总体规划（2016年-2035年）》、《“十四五”发展规划及2035年愿景目标纲要》及《北京市城市更新条例》的实施，</w:t>
      </w:r>
      <w:r>
        <w:rPr>
          <w:rFonts w:asciiTheme="minorEastAsia" w:hAnsiTheme="minorEastAsia" w:eastAsiaTheme="minorEastAsia"/>
          <w:sz w:val="28"/>
          <w:szCs w:val="28"/>
        </w:rPr>
        <w:t>按照《</w:t>
      </w:r>
      <w:r>
        <w:rPr>
          <w:rFonts w:hint="eastAsia" w:asciiTheme="minorEastAsia" w:hAnsiTheme="minorEastAsia" w:eastAsiaTheme="minorEastAsia"/>
          <w:sz w:val="28"/>
          <w:szCs w:val="28"/>
        </w:rPr>
        <w:t>北京市“十四五”时期规划和自然资源标准化工作规划（2021年-2025年）</w:t>
      </w:r>
      <w:r>
        <w:rPr>
          <w:rFonts w:asciiTheme="minorEastAsia" w:hAnsiTheme="minorEastAsia" w:eastAsiaTheme="minorEastAsia"/>
          <w:sz w:val="28"/>
          <w:szCs w:val="28"/>
        </w:rPr>
        <w:t>》和北京市</w:t>
      </w:r>
      <w:r>
        <w:rPr>
          <w:rFonts w:hint="eastAsia" w:asciiTheme="minorEastAsia" w:hAnsiTheme="minorEastAsia" w:eastAsiaTheme="minorEastAsia"/>
          <w:sz w:val="28"/>
          <w:szCs w:val="28"/>
        </w:rPr>
        <w:t>市场</w:t>
      </w:r>
      <w:r>
        <w:rPr>
          <w:rFonts w:asciiTheme="minorEastAsia" w:hAnsiTheme="minorEastAsia" w:eastAsiaTheme="minorEastAsia"/>
          <w:sz w:val="28"/>
          <w:szCs w:val="28"/>
        </w:rPr>
        <w:t>监督</w:t>
      </w:r>
      <w:r>
        <w:rPr>
          <w:rFonts w:hint="eastAsia" w:asciiTheme="minorEastAsia" w:hAnsiTheme="minorEastAsia" w:eastAsiaTheme="minorEastAsia"/>
          <w:sz w:val="28"/>
          <w:szCs w:val="28"/>
        </w:rPr>
        <w:t>管理</w:t>
      </w:r>
      <w:r>
        <w:rPr>
          <w:rFonts w:asciiTheme="minorEastAsia" w:hAnsiTheme="minorEastAsia" w:eastAsiaTheme="minorEastAsia"/>
          <w:sz w:val="28"/>
          <w:szCs w:val="28"/>
        </w:rPr>
        <w:t>局</w:t>
      </w:r>
      <w:r>
        <w:rPr>
          <w:rFonts w:hint="eastAsia" w:asciiTheme="minorEastAsia" w:hAnsiTheme="minorEastAsia" w:eastAsiaTheme="minorEastAsia"/>
          <w:sz w:val="28"/>
          <w:szCs w:val="28"/>
        </w:rPr>
        <w:t>关于印发《2022年北京市地方标准制修订项目计划（第一批）》的通知（京市监发〔2022〕X号）</w:t>
      </w:r>
      <w:r>
        <w:rPr>
          <w:rFonts w:asciiTheme="minorEastAsia" w:hAnsiTheme="minorEastAsia" w:eastAsiaTheme="minorEastAsia"/>
          <w:sz w:val="28"/>
          <w:szCs w:val="28"/>
        </w:rPr>
        <w:t>的要求，</w:t>
      </w:r>
      <w:r>
        <w:rPr>
          <w:rFonts w:hint="eastAsia" w:asciiTheme="minorEastAsia" w:hAnsiTheme="minorEastAsia" w:eastAsiaTheme="minorEastAsia"/>
          <w:sz w:val="28"/>
          <w:szCs w:val="28"/>
        </w:rPr>
        <w:t>编制组在广泛调查研究、认真总结实践经验、吸取科研成果以及广泛征求意见的基础上，完成本标准的编制工作。</w:t>
      </w:r>
    </w:p>
    <w:p w14:paraId="7DA2BA20">
      <w:pPr>
        <w:widowControl/>
        <w:snapToGrid w:val="0"/>
        <w:spacing w:line="300" w:lineRule="auto"/>
        <w:ind w:firstLine="576"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本标准共分</w:t>
      </w:r>
      <w:r>
        <w:rPr>
          <w:rFonts w:asciiTheme="minorEastAsia" w:hAnsiTheme="minorEastAsia" w:eastAsiaTheme="minorEastAsia"/>
          <w:sz w:val="28"/>
          <w:szCs w:val="28"/>
        </w:rPr>
        <w:t>9</w:t>
      </w:r>
      <w:r>
        <w:rPr>
          <w:rFonts w:hint="eastAsia" w:asciiTheme="minorEastAsia" w:hAnsiTheme="minorEastAsia" w:eastAsiaTheme="minorEastAsia"/>
          <w:sz w:val="28"/>
          <w:szCs w:val="28"/>
        </w:rPr>
        <w:t>章，主要内容包括：</w:t>
      </w:r>
      <w:r>
        <w:rPr>
          <w:rFonts w:asciiTheme="minorEastAsia" w:hAnsiTheme="minorEastAsia" w:eastAsiaTheme="minorEastAsia"/>
          <w:sz w:val="28"/>
          <w:szCs w:val="28"/>
        </w:rPr>
        <w:t>1</w:t>
      </w:r>
      <w:r>
        <w:rPr>
          <w:rFonts w:hint="eastAsia" w:asciiTheme="minorEastAsia" w:hAnsiTheme="minorEastAsia" w:eastAsiaTheme="minorEastAsia"/>
          <w:sz w:val="28"/>
          <w:szCs w:val="28"/>
        </w:rPr>
        <w:t>.</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总则；2.</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术语；</w:t>
      </w:r>
      <w:r>
        <w:rPr>
          <w:rFonts w:asciiTheme="minorEastAsia" w:hAnsiTheme="minorEastAsia" w:eastAsiaTheme="minorEastAsia"/>
          <w:sz w:val="28"/>
          <w:szCs w:val="28"/>
        </w:rPr>
        <w:t>3</w:t>
      </w:r>
      <w:r>
        <w:rPr>
          <w:rFonts w:hint="eastAsia" w:asciiTheme="minorEastAsia" w:hAnsiTheme="minorEastAsia" w:eastAsiaTheme="minorEastAsia"/>
          <w:sz w:val="28"/>
          <w:szCs w:val="28"/>
        </w:rPr>
        <w:t>. 基本规定；4.</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建筑设计；5.</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消防设施；6.</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消防电气；7.平房院落；8.</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附录。</w:t>
      </w:r>
    </w:p>
    <w:p w14:paraId="0F800588">
      <w:pPr>
        <w:widowControl/>
        <w:snapToGrid w:val="0"/>
        <w:spacing w:line="300" w:lineRule="auto"/>
        <w:ind w:firstLine="576"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本标准由北京市规划和自然</w:t>
      </w:r>
      <w:r>
        <w:rPr>
          <w:rFonts w:asciiTheme="minorEastAsia" w:hAnsiTheme="minorEastAsia" w:eastAsiaTheme="minorEastAsia"/>
          <w:sz w:val="28"/>
          <w:szCs w:val="28"/>
        </w:rPr>
        <w:t>资源</w:t>
      </w:r>
      <w:r>
        <w:rPr>
          <w:rFonts w:hint="eastAsia" w:asciiTheme="minorEastAsia" w:hAnsiTheme="minorEastAsia" w:eastAsiaTheme="minorEastAsia"/>
          <w:sz w:val="28"/>
          <w:szCs w:val="28"/>
        </w:rPr>
        <w:t>委员会、北京市市场监督管理局共同负责管理，由北京市规划和自然</w:t>
      </w:r>
      <w:r>
        <w:rPr>
          <w:rFonts w:asciiTheme="minorEastAsia" w:hAnsiTheme="minorEastAsia" w:eastAsiaTheme="minorEastAsia"/>
          <w:sz w:val="28"/>
          <w:szCs w:val="28"/>
        </w:rPr>
        <w:t>资源</w:t>
      </w:r>
      <w:r>
        <w:rPr>
          <w:rFonts w:hint="eastAsia" w:asciiTheme="minorEastAsia" w:hAnsiTheme="minorEastAsia" w:eastAsiaTheme="minorEastAsia"/>
          <w:sz w:val="28"/>
          <w:szCs w:val="28"/>
        </w:rPr>
        <w:t>委员会归口并负责组织实施，北京市规划和自然资源标准化中心负责日常管理，北京市建筑设计研究院有限公司负责具体技术内容的解释。（地址：北京市西城区南礼士路62号；邮政编码：</w:t>
      </w:r>
      <w:r>
        <w:rPr>
          <w:rFonts w:asciiTheme="minorEastAsia" w:hAnsiTheme="minorEastAsia" w:eastAsiaTheme="minorEastAsia"/>
          <w:sz w:val="28"/>
          <w:szCs w:val="28"/>
        </w:rPr>
        <w:t>1000</w:t>
      </w:r>
      <w:r>
        <w:rPr>
          <w:rFonts w:hint="eastAsia" w:asciiTheme="minorEastAsia" w:hAnsiTheme="minorEastAsia" w:eastAsiaTheme="minorEastAsia"/>
          <w:sz w:val="28"/>
          <w:szCs w:val="28"/>
        </w:rPr>
        <w:t>45）</w:t>
      </w:r>
    </w:p>
    <w:p w14:paraId="3B028634">
      <w:pPr>
        <w:widowControl/>
        <w:snapToGrid w:val="0"/>
        <w:spacing w:line="300" w:lineRule="auto"/>
        <w:ind w:firstLine="576"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本标准执行过程中如有意见和建议，请寄送至北京市规划和自然资源标准化中心，以供今后修订时参考。（地址：北京市通州区承安路1号院；电话：55595000；邮箱：bjbb@</w:t>
      </w:r>
      <w:r>
        <w:rPr>
          <w:rFonts w:asciiTheme="minorEastAsia" w:hAnsiTheme="minorEastAsia" w:eastAsiaTheme="minorEastAsia"/>
          <w:sz w:val="28"/>
          <w:szCs w:val="28"/>
        </w:rPr>
        <w:t>ghzrzyw.beijing.gov.cn</w:t>
      </w:r>
      <w:r>
        <w:rPr>
          <w:rFonts w:hint="eastAsia" w:asciiTheme="minorEastAsia" w:hAnsiTheme="minorEastAsia" w:eastAsiaTheme="minorEastAsia"/>
          <w:sz w:val="28"/>
          <w:szCs w:val="28"/>
        </w:rPr>
        <w:t>）</w:t>
      </w:r>
    </w:p>
    <w:p w14:paraId="45C6F2CA">
      <w:pPr>
        <w:widowControl/>
        <w:snapToGrid w:val="0"/>
        <w:spacing w:line="300" w:lineRule="auto"/>
        <w:ind w:firstLine="576" w:firstLineChars="200"/>
        <w:jc w:val="left"/>
        <w:rPr>
          <w:rFonts w:asciiTheme="minorEastAsia" w:hAnsiTheme="minorEastAsia" w:eastAsiaTheme="minorEastAsia"/>
          <w:sz w:val="28"/>
          <w:szCs w:val="28"/>
        </w:rPr>
      </w:pPr>
    </w:p>
    <w:p w14:paraId="0C3E6A7F">
      <w:pPr>
        <w:widowControl/>
        <w:snapToGrid w:val="0"/>
        <w:spacing w:line="300" w:lineRule="auto"/>
        <w:jc w:val="left"/>
        <w:rPr>
          <w:rFonts w:asciiTheme="minorEastAsia" w:hAnsiTheme="minorEastAsia" w:eastAsiaTheme="minorEastAsia"/>
          <w:sz w:val="28"/>
          <w:szCs w:val="28"/>
        </w:rPr>
      </w:pPr>
    </w:p>
    <w:p w14:paraId="62F6DD42">
      <w:pPr>
        <w:widowControl/>
        <w:snapToGrid w:val="0"/>
        <w:spacing w:line="300" w:lineRule="auto"/>
        <w:ind w:firstLine="576" w:firstLineChars="200"/>
        <w:jc w:val="left"/>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sz w:val="28"/>
          <w:szCs w:val="28"/>
        </w:rPr>
        <w:t>本标准主编单位：</w:t>
      </w:r>
      <w:r>
        <w:rPr>
          <w:rFonts w:hint="eastAsia" w:asciiTheme="minorEastAsia" w:hAnsiTheme="minorEastAsia" w:eastAsiaTheme="minorEastAsia"/>
          <w:color w:val="000000" w:themeColor="text1"/>
          <w:sz w:val="28"/>
          <w:szCs w:val="28"/>
          <w14:textFill>
            <w14:solidFill>
              <w14:schemeClr w14:val="tx1"/>
            </w14:solidFill>
          </w14:textFill>
        </w:rPr>
        <w:t>XXXXXX</w:t>
      </w:r>
    </w:p>
    <w:p w14:paraId="21B012E0">
      <w:pPr>
        <w:widowControl/>
        <w:snapToGrid w:val="0"/>
        <w:spacing w:line="300" w:lineRule="auto"/>
        <w:ind w:firstLine="576" w:firstLineChars="200"/>
        <w:jc w:val="left"/>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本标准参编单位：XXXXXX</w:t>
      </w:r>
    </w:p>
    <w:p w14:paraId="469B2F10">
      <w:pPr>
        <w:widowControl/>
        <w:snapToGrid w:val="0"/>
        <w:spacing w:line="300" w:lineRule="auto"/>
        <w:ind w:left="2833" w:leftChars="1362"/>
        <w:jc w:val="left"/>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XXXXXX</w:t>
      </w:r>
    </w:p>
    <w:p w14:paraId="78C37789">
      <w:pPr>
        <w:widowControl/>
        <w:snapToGrid w:val="0"/>
        <w:spacing w:line="300" w:lineRule="auto"/>
        <w:ind w:left="2833" w:leftChars="1362"/>
        <w:jc w:val="left"/>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XXXXXX</w:t>
      </w:r>
    </w:p>
    <w:p w14:paraId="04A1759F">
      <w:pPr>
        <w:widowControl/>
        <w:snapToGrid w:val="0"/>
        <w:spacing w:line="300" w:lineRule="auto"/>
        <w:ind w:firstLine="576"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本标准主要起草人员：</w:t>
      </w:r>
    </w:p>
    <w:p w14:paraId="5EE65A40">
      <w:pPr>
        <w:widowControl/>
        <w:snapToGrid w:val="0"/>
        <w:spacing w:line="300" w:lineRule="auto"/>
        <w:ind w:firstLine="576"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本标准主要审查人员：</w:t>
      </w:r>
    </w:p>
    <w:p w14:paraId="58E06CF3">
      <w:pPr>
        <w:widowControl/>
        <w:snapToGrid w:val="0"/>
        <w:spacing w:line="300" w:lineRule="auto"/>
        <w:ind w:firstLine="576" w:firstLineChars="200"/>
        <w:jc w:val="left"/>
        <w:rPr>
          <w:rFonts w:asciiTheme="minorEastAsia" w:hAnsiTheme="minorEastAsia" w:eastAsiaTheme="minorEastAsia"/>
          <w:sz w:val="28"/>
          <w:szCs w:val="28"/>
        </w:rPr>
      </w:pPr>
    </w:p>
    <w:p w14:paraId="4BE24ECA">
      <w:pPr>
        <w:widowControl/>
        <w:jc w:val="left"/>
        <w:rPr>
          <w:rFonts w:eastAsia="黑体"/>
          <w:sz w:val="32"/>
        </w:rPr>
        <w:sectPr>
          <w:footerReference r:id="rId3" w:type="default"/>
          <w:pgSz w:w="11907" w:h="16840"/>
          <w:pgMar w:top="1418" w:right="1276" w:bottom="1134" w:left="1276" w:header="1418" w:footer="851" w:gutter="0"/>
          <w:cols w:space="425" w:num="1"/>
          <w:docGrid w:type="lines" w:linePitch="324" w:charSpace="0"/>
        </w:sectPr>
      </w:pPr>
    </w:p>
    <w:p w14:paraId="3A680891">
      <w:pPr>
        <w:widowControl/>
        <w:jc w:val="center"/>
        <w:rPr>
          <w:rFonts w:eastAsia="黑体"/>
          <w:sz w:val="36"/>
          <w:szCs w:val="36"/>
        </w:rPr>
      </w:pPr>
      <w:r>
        <w:rPr>
          <w:rFonts w:hint="eastAsia" w:eastAsia="黑体"/>
          <w:sz w:val="36"/>
          <w:szCs w:val="36"/>
        </w:rPr>
        <w:t>目  次</w:t>
      </w:r>
    </w:p>
    <w:p w14:paraId="1D0102F4">
      <w:pPr>
        <w:widowControl/>
        <w:jc w:val="center"/>
        <w:rPr>
          <w:rFonts w:eastAsia="黑体"/>
          <w:sz w:val="36"/>
          <w:szCs w:val="36"/>
        </w:rPr>
      </w:pPr>
    </w:p>
    <w:p w14:paraId="035DFE59">
      <w:pPr>
        <w:pStyle w:val="28"/>
        <w:rPr>
          <w:rFonts w:asciiTheme="minorEastAsia" w:hAnsiTheme="minorEastAsia" w:eastAsiaTheme="minorEastAsia" w:cstheme="minorBidi"/>
          <w:spacing w:val="0"/>
          <w:sz w:val="24"/>
        </w:rPr>
      </w:pP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TOC \o "1-3" \h \z \u </w:instrText>
      </w:r>
      <w:r>
        <w:rPr>
          <w:rFonts w:asciiTheme="minorEastAsia" w:hAnsiTheme="minorEastAsia" w:eastAsiaTheme="minorEastAsia"/>
          <w:sz w:val="24"/>
        </w:rPr>
        <w:fldChar w:fldCharType="separate"/>
      </w:r>
      <w:r>
        <w:fldChar w:fldCharType="begin"/>
      </w:r>
      <w:r>
        <w:instrText xml:space="preserve"> HYPERLINK \l "_Toc151063362" </w:instrText>
      </w:r>
      <w:r>
        <w:fldChar w:fldCharType="separate"/>
      </w:r>
      <w:r>
        <w:rPr>
          <w:rStyle w:val="39"/>
          <w:rFonts w:asciiTheme="minorEastAsia" w:hAnsiTheme="minorEastAsia" w:eastAsiaTheme="minorEastAsia"/>
          <w:sz w:val="24"/>
        </w:rPr>
        <w:t xml:space="preserve">1  </w:t>
      </w:r>
      <w:r>
        <w:rPr>
          <w:rStyle w:val="39"/>
          <w:rFonts w:hint="eastAsia" w:asciiTheme="minorEastAsia" w:hAnsiTheme="minorEastAsia" w:eastAsiaTheme="minorEastAsia"/>
          <w:sz w:val="24"/>
        </w:rPr>
        <w:t>总</w:t>
      </w:r>
      <w:r>
        <w:rPr>
          <w:rStyle w:val="39"/>
          <w:rFonts w:asciiTheme="minorEastAsia" w:hAnsiTheme="minorEastAsia" w:eastAsiaTheme="minorEastAsia"/>
          <w:sz w:val="24"/>
        </w:rPr>
        <w:t xml:space="preserve">    </w:t>
      </w:r>
      <w:r>
        <w:rPr>
          <w:rStyle w:val="39"/>
          <w:rFonts w:hint="eastAsia" w:asciiTheme="minorEastAsia" w:hAnsiTheme="minorEastAsia" w:eastAsiaTheme="minorEastAsia"/>
          <w:sz w:val="24"/>
        </w:rPr>
        <w:t>则</w:t>
      </w:r>
      <w:r>
        <w:rPr>
          <w:rFonts w:asciiTheme="minorEastAsia" w:hAnsiTheme="minorEastAsia" w:eastAsiaTheme="minorEastAsia"/>
          <w:sz w:val="24"/>
        </w:rPr>
        <w:tab/>
      </w:r>
      <w:r>
        <w:rPr>
          <w:rFonts w:hint="eastAsia" w:asciiTheme="minorEastAsia" w:hAnsiTheme="minorEastAsia" w:eastAsiaTheme="minorEastAsia"/>
          <w:sz w:val="24"/>
        </w:rPr>
        <w:t>1</w:t>
      </w:r>
      <w:r>
        <w:rPr>
          <w:rFonts w:hint="eastAsia" w:asciiTheme="minorEastAsia" w:hAnsiTheme="minorEastAsia" w:eastAsiaTheme="minorEastAsia"/>
          <w:sz w:val="24"/>
        </w:rPr>
        <w:fldChar w:fldCharType="end"/>
      </w:r>
    </w:p>
    <w:p w14:paraId="1F40F198">
      <w:pPr>
        <w:pStyle w:val="28"/>
        <w:rPr>
          <w:rFonts w:asciiTheme="minorEastAsia" w:hAnsiTheme="minorEastAsia" w:eastAsiaTheme="minorEastAsia" w:cstheme="minorBidi"/>
          <w:spacing w:val="0"/>
          <w:sz w:val="24"/>
        </w:rPr>
      </w:pPr>
      <w:r>
        <w:fldChar w:fldCharType="begin"/>
      </w:r>
      <w:r>
        <w:instrText xml:space="preserve"> HYPERLINK \l "_Toc151063363" </w:instrText>
      </w:r>
      <w:r>
        <w:fldChar w:fldCharType="separate"/>
      </w:r>
      <w:r>
        <w:rPr>
          <w:rStyle w:val="39"/>
          <w:rFonts w:asciiTheme="minorEastAsia" w:hAnsiTheme="minorEastAsia" w:eastAsiaTheme="minorEastAsia"/>
          <w:sz w:val="24"/>
        </w:rPr>
        <w:t xml:space="preserve">2  </w:t>
      </w:r>
      <w:r>
        <w:rPr>
          <w:rStyle w:val="39"/>
          <w:rFonts w:hint="eastAsia" w:asciiTheme="minorEastAsia" w:hAnsiTheme="minorEastAsia" w:eastAsiaTheme="minorEastAsia"/>
          <w:sz w:val="24"/>
        </w:rPr>
        <w:t>术</w:t>
      </w:r>
      <w:r>
        <w:rPr>
          <w:rStyle w:val="39"/>
          <w:rFonts w:asciiTheme="minorEastAsia" w:hAnsiTheme="minorEastAsia" w:eastAsiaTheme="minorEastAsia"/>
          <w:sz w:val="24"/>
        </w:rPr>
        <w:t xml:space="preserve">    </w:t>
      </w:r>
      <w:r>
        <w:rPr>
          <w:rStyle w:val="39"/>
          <w:rFonts w:hint="eastAsia" w:asciiTheme="minorEastAsia" w:hAnsiTheme="minorEastAsia" w:eastAsiaTheme="minorEastAsia"/>
          <w:sz w:val="24"/>
        </w:rPr>
        <w:t>语</w:t>
      </w:r>
      <w:r>
        <w:rPr>
          <w:rFonts w:asciiTheme="minorEastAsia" w:hAnsiTheme="minorEastAsia" w:eastAsiaTheme="minorEastAsia"/>
          <w:sz w:val="24"/>
        </w:rPr>
        <w:tab/>
      </w:r>
      <w:r>
        <w:rPr>
          <w:rFonts w:hint="eastAsia" w:asciiTheme="minorEastAsia" w:hAnsiTheme="minorEastAsia" w:eastAsiaTheme="minorEastAsia"/>
          <w:sz w:val="24"/>
        </w:rPr>
        <w:t>2</w:t>
      </w:r>
      <w:r>
        <w:rPr>
          <w:rFonts w:hint="eastAsia" w:asciiTheme="minorEastAsia" w:hAnsiTheme="minorEastAsia" w:eastAsiaTheme="minorEastAsia"/>
          <w:sz w:val="24"/>
        </w:rPr>
        <w:fldChar w:fldCharType="end"/>
      </w:r>
    </w:p>
    <w:p w14:paraId="59DA2D0A">
      <w:pPr>
        <w:pStyle w:val="28"/>
        <w:rPr>
          <w:rFonts w:asciiTheme="minorEastAsia" w:hAnsiTheme="minorEastAsia" w:eastAsiaTheme="minorEastAsia" w:cstheme="minorBidi"/>
          <w:spacing w:val="0"/>
          <w:sz w:val="24"/>
        </w:rPr>
      </w:pPr>
      <w:r>
        <w:fldChar w:fldCharType="begin"/>
      </w:r>
      <w:r>
        <w:instrText xml:space="preserve"> HYPERLINK \l "_Toc151063364" </w:instrText>
      </w:r>
      <w:r>
        <w:fldChar w:fldCharType="separate"/>
      </w:r>
      <w:r>
        <w:rPr>
          <w:rStyle w:val="39"/>
          <w:rFonts w:asciiTheme="minorEastAsia" w:hAnsiTheme="minorEastAsia" w:eastAsiaTheme="minorEastAsia"/>
          <w:sz w:val="24"/>
        </w:rPr>
        <w:t xml:space="preserve">3  </w:t>
      </w:r>
      <w:r>
        <w:rPr>
          <w:rStyle w:val="39"/>
          <w:rFonts w:hint="eastAsia" w:asciiTheme="minorEastAsia" w:hAnsiTheme="minorEastAsia" w:eastAsiaTheme="minorEastAsia"/>
          <w:sz w:val="24"/>
        </w:rPr>
        <w:t>基本规定</w:t>
      </w:r>
      <w:r>
        <w:rPr>
          <w:rFonts w:asciiTheme="minorEastAsia" w:hAnsiTheme="minorEastAsia" w:eastAsiaTheme="minorEastAsia"/>
          <w:sz w:val="24"/>
        </w:rPr>
        <w:tab/>
      </w:r>
      <w:r>
        <w:rPr>
          <w:rFonts w:hint="eastAsia" w:asciiTheme="minorEastAsia" w:hAnsiTheme="minorEastAsia" w:eastAsiaTheme="minorEastAsia"/>
          <w:sz w:val="24"/>
        </w:rPr>
        <w:t>3</w:t>
      </w:r>
      <w:r>
        <w:rPr>
          <w:rFonts w:hint="eastAsia" w:asciiTheme="minorEastAsia" w:hAnsiTheme="minorEastAsia" w:eastAsiaTheme="minorEastAsia"/>
          <w:sz w:val="24"/>
        </w:rPr>
        <w:fldChar w:fldCharType="end"/>
      </w:r>
    </w:p>
    <w:p w14:paraId="734AFD34">
      <w:pPr>
        <w:pStyle w:val="28"/>
        <w:rPr>
          <w:rFonts w:asciiTheme="minorEastAsia" w:hAnsiTheme="minorEastAsia" w:eastAsiaTheme="minorEastAsia" w:cstheme="minorBidi"/>
          <w:spacing w:val="0"/>
          <w:sz w:val="24"/>
        </w:rPr>
      </w:pPr>
      <w:r>
        <w:fldChar w:fldCharType="begin"/>
      </w:r>
      <w:r>
        <w:instrText xml:space="preserve"> HYPERLINK \l "_Toc151063365" </w:instrText>
      </w:r>
      <w:r>
        <w:fldChar w:fldCharType="separate"/>
      </w:r>
      <w:r>
        <w:rPr>
          <w:rStyle w:val="39"/>
          <w:rFonts w:asciiTheme="minorEastAsia" w:hAnsiTheme="minorEastAsia" w:eastAsiaTheme="minorEastAsia"/>
          <w:sz w:val="24"/>
        </w:rPr>
        <w:t xml:space="preserve">3.1  </w:t>
      </w:r>
      <w:r>
        <w:rPr>
          <w:rStyle w:val="39"/>
          <w:rFonts w:hint="eastAsia" w:asciiTheme="minorEastAsia" w:hAnsiTheme="minorEastAsia" w:eastAsiaTheme="minorEastAsia"/>
          <w:sz w:val="24"/>
        </w:rPr>
        <w:t>分类和分类设计标准</w:t>
      </w:r>
      <w:r>
        <w:rPr>
          <w:rFonts w:asciiTheme="minorEastAsia" w:hAnsiTheme="minorEastAsia" w:eastAsiaTheme="minorEastAsia"/>
          <w:sz w:val="24"/>
        </w:rPr>
        <w:tab/>
      </w:r>
      <w:r>
        <w:rPr>
          <w:rFonts w:hint="eastAsia" w:asciiTheme="minorEastAsia" w:hAnsiTheme="minorEastAsia" w:eastAsiaTheme="minorEastAsia"/>
          <w:sz w:val="24"/>
        </w:rPr>
        <w:t>3</w:t>
      </w:r>
      <w:r>
        <w:rPr>
          <w:rFonts w:hint="eastAsia" w:asciiTheme="minorEastAsia" w:hAnsiTheme="minorEastAsia" w:eastAsiaTheme="minorEastAsia"/>
          <w:sz w:val="24"/>
        </w:rPr>
        <w:fldChar w:fldCharType="end"/>
      </w:r>
    </w:p>
    <w:p w14:paraId="1703E170">
      <w:pPr>
        <w:pStyle w:val="28"/>
        <w:rPr>
          <w:rFonts w:asciiTheme="minorEastAsia" w:hAnsiTheme="minorEastAsia" w:eastAsiaTheme="minorEastAsia" w:cstheme="minorBidi"/>
          <w:spacing w:val="0"/>
          <w:sz w:val="24"/>
        </w:rPr>
      </w:pPr>
      <w:r>
        <w:fldChar w:fldCharType="begin"/>
      </w:r>
      <w:r>
        <w:instrText xml:space="preserve"> HYPERLINK \l "_Toc151063366" </w:instrText>
      </w:r>
      <w:r>
        <w:fldChar w:fldCharType="separate"/>
      </w:r>
      <w:r>
        <w:rPr>
          <w:rStyle w:val="39"/>
          <w:rFonts w:asciiTheme="minorEastAsia" w:hAnsiTheme="minorEastAsia" w:eastAsiaTheme="minorEastAsia"/>
          <w:sz w:val="24"/>
        </w:rPr>
        <w:t xml:space="preserve">3.2  </w:t>
      </w:r>
      <w:r>
        <w:rPr>
          <w:rStyle w:val="39"/>
          <w:rFonts w:hint="eastAsia" w:asciiTheme="minorEastAsia" w:hAnsiTheme="minorEastAsia" w:eastAsiaTheme="minorEastAsia"/>
          <w:sz w:val="24"/>
        </w:rPr>
        <w:t>消防安全评价</w:t>
      </w:r>
      <w:r>
        <w:rPr>
          <w:rFonts w:asciiTheme="minorEastAsia" w:hAnsiTheme="minorEastAsia" w:eastAsiaTheme="minorEastAsia"/>
          <w:sz w:val="24"/>
        </w:rPr>
        <w:tab/>
      </w:r>
      <w:r>
        <w:rPr>
          <w:rFonts w:hint="eastAsia" w:asciiTheme="minorEastAsia" w:hAnsiTheme="minorEastAsia" w:eastAsiaTheme="minorEastAsia"/>
          <w:sz w:val="24"/>
        </w:rPr>
        <w:t>6</w:t>
      </w:r>
      <w:r>
        <w:rPr>
          <w:rFonts w:hint="eastAsia" w:asciiTheme="minorEastAsia" w:hAnsiTheme="minorEastAsia" w:eastAsiaTheme="minorEastAsia"/>
          <w:sz w:val="24"/>
        </w:rPr>
        <w:fldChar w:fldCharType="end"/>
      </w:r>
    </w:p>
    <w:p w14:paraId="1CEAE377">
      <w:pPr>
        <w:pStyle w:val="28"/>
        <w:rPr>
          <w:rFonts w:asciiTheme="minorEastAsia" w:hAnsiTheme="minorEastAsia" w:eastAsiaTheme="minorEastAsia" w:cstheme="minorBidi"/>
          <w:spacing w:val="0"/>
          <w:sz w:val="24"/>
        </w:rPr>
      </w:pPr>
      <w:r>
        <w:fldChar w:fldCharType="begin"/>
      </w:r>
      <w:r>
        <w:instrText xml:space="preserve"> HYPERLINK \l "_Toc151063367" </w:instrText>
      </w:r>
      <w:r>
        <w:fldChar w:fldCharType="separate"/>
      </w:r>
      <w:r>
        <w:rPr>
          <w:rStyle w:val="39"/>
          <w:rFonts w:asciiTheme="minorEastAsia" w:hAnsiTheme="minorEastAsia" w:eastAsiaTheme="minorEastAsia"/>
          <w:sz w:val="24"/>
        </w:rPr>
        <w:t xml:space="preserve">4  </w:t>
      </w:r>
      <w:r>
        <w:rPr>
          <w:rStyle w:val="39"/>
          <w:rFonts w:hint="eastAsia" w:asciiTheme="minorEastAsia" w:hAnsiTheme="minorEastAsia" w:eastAsiaTheme="minorEastAsia"/>
          <w:sz w:val="24"/>
        </w:rPr>
        <w:t>建筑设计</w:t>
      </w:r>
      <w:r>
        <w:rPr>
          <w:rFonts w:asciiTheme="minorEastAsia" w:hAnsiTheme="minorEastAsia" w:eastAsiaTheme="minorEastAsia"/>
          <w:sz w:val="24"/>
        </w:rPr>
        <w:tab/>
      </w:r>
      <w:r>
        <w:rPr>
          <w:rFonts w:hint="eastAsia" w:asciiTheme="minorEastAsia" w:hAnsiTheme="minorEastAsia" w:eastAsiaTheme="minorEastAsia"/>
          <w:sz w:val="24"/>
        </w:rPr>
        <w:t>7</w:t>
      </w:r>
      <w:r>
        <w:rPr>
          <w:rFonts w:hint="eastAsia" w:asciiTheme="minorEastAsia" w:hAnsiTheme="minorEastAsia" w:eastAsiaTheme="minorEastAsia"/>
          <w:sz w:val="24"/>
        </w:rPr>
        <w:fldChar w:fldCharType="end"/>
      </w:r>
    </w:p>
    <w:p w14:paraId="0C061D22">
      <w:pPr>
        <w:pStyle w:val="28"/>
        <w:rPr>
          <w:rFonts w:asciiTheme="minorEastAsia" w:hAnsiTheme="minorEastAsia" w:eastAsiaTheme="minorEastAsia" w:cstheme="minorBidi"/>
          <w:spacing w:val="0"/>
          <w:sz w:val="24"/>
        </w:rPr>
      </w:pPr>
      <w:r>
        <w:fldChar w:fldCharType="begin"/>
      </w:r>
      <w:r>
        <w:instrText xml:space="preserve"> HYPERLINK \l "_Toc151063368" </w:instrText>
      </w:r>
      <w:r>
        <w:fldChar w:fldCharType="separate"/>
      </w:r>
      <w:r>
        <w:rPr>
          <w:rStyle w:val="39"/>
          <w:rFonts w:asciiTheme="minorEastAsia" w:hAnsiTheme="minorEastAsia" w:eastAsiaTheme="minorEastAsia"/>
          <w:sz w:val="24"/>
        </w:rPr>
        <w:t xml:space="preserve">4.1  </w:t>
      </w:r>
      <w:r>
        <w:rPr>
          <w:rStyle w:val="39"/>
          <w:rFonts w:hint="eastAsia" w:asciiTheme="minorEastAsia" w:hAnsiTheme="minorEastAsia" w:eastAsiaTheme="minorEastAsia"/>
          <w:sz w:val="24"/>
        </w:rPr>
        <w:t>总平面布局</w:t>
      </w:r>
      <w:r>
        <w:rPr>
          <w:rFonts w:asciiTheme="minorEastAsia" w:hAnsiTheme="minorEastAsia" w:eastAsiaTheme="minorEastAsia"/>
          <w:sz w:val="24"/>
        </w:rPr>
        <w:tab/>
      </w:r>
      <w:r>
        <w:rPr>
          <w:rFonts w:hint="eastAsia" w:asciiTheme="minorEastAsia" w:hAnsiTheme="minorEastAsia" w:eastAsiaTheme="minorEastAsia"/>
          <w:sz w:val="24"/>
        </w:rPr>
        <w:t>7</w:t>
      </w:r>
      <w:r>
        <w:rPr>
          <w:rFonts w:hint="eastAsia" w:asciiTheme="minorEastAsia" w:hAnsiTheme="minorEastAsia" w:eastAsiaTheme="minorEastAsia"/>
          <w:sz w:val="24"/>
        </w:rPr>
        <w:fldChar w:fldCharType="end"/>
      </w:r>
    </w:p>
    <w:p w14:paraId="2F07D754">
      <w:pPr>
        <w:pStyle w:val="28"/>
        <w:rPr>
          <w:rFonts w:asciiTheme="minorEastAsia" w:hAnsiTheme="minorEastAsia" w:eastAsiaTheme="minorEastAsia" w:cstheme="minorBidi"/>
          <w:spacing w:val="0"/>
          <w:sz w:val="24"/>
        </w:rPr>
      </w:pPr>
      <w:r>
        <w:fldChar w:fldCharType="begin"/>
      </w:r>
      <w:r>
        <w:instrText xml:space="preserve"> HYPERLINK \l "_Toc151063369" </w:instrText>
      </w:r>
      <w:r>
        <w:fldChar w:fldCharType="separate"/>
      </w:r>
      <w:r>
        <w:rPr>
          <w:rStyle w:val="39"/>
          <w:rFonts w:asciiTheme="minorEastAsia" w:hAnsiTheme="minorEastAsia" w:eastAsiaTheme="minorEastAsia"/>
          <w:sz w:val="24"/>
        </w:rPr>
        <w:t xml:space="preserve">4.2  </w:t>
      </w:r>
      <w:r>
        <w:rPr>
          <w:rStyle w:val="39"/>
          <w:rFonts w:hint="eastAsia" w:asciiTheme="minorEastAsia" w:hAnsiTheme="minorEastAsia" w:eastAsiaTheme="minorEastAsia"/>
          <w:sz w:val="24"/>
        </w:rPr>
        <w:t>防火分区和平面布置</w:t>
      </w:r>
      <w:r>
        <w:rPr>
          <w:rFonts w:asciiTheme="minorEastAsia" w:hAnsiTheme="minorEastAsia" w:eastAsiaTheme="minorEastAsia"/>
          <w:sz w:val="24"/>
        </w:rPr>
        <w:tab/>
      </w:r>
      <w:r>
        <w:rPr>
          <w:rFonts w:hint="eastAsia" w:asciiTheme="minorEastAsia" w:hAnsiTheme="minorEastAsia" w:eastAsiaTheme="minorEastAsia"/>
          <w:sz w:val="24"/>
        </w:rPr>
        <w:t>7</w:t>
      </w:r>
      <w:r>
        <w:rPr>
          <w:rFonts w:hint="eastAsia" w:asciiTheme="minorEastAsia" w:hAnsiTheme="minorEastAsia" w:eastAsiaTheme="minorEastAsia"/>
          <w:sz w:val="24"/>
        </w:rPr>
        <w:fldChar w:fldCharType="end"/>
      </w:r>
    </w:p>
    <w:p w14:paraId="5103A967">
      <w:pPr>
        <w:pStyle w:val="28"/>
        <w:rPr>
          <w:rFonts w:asciiTheme="minorEastAsia" w:hAnsiTheme="minorEastAsia" w:eastAsiaTheme="minorEastAsia" w:cstheme="minorBidi"/>
          <w:spacing w:val="0"/>
          <w:sz w:val="24"/>
        </w:rPr>
      </w:pPr>
      <w:r>
        <w:fldChar w:fldCharType="begin"/>
      </w:r>
      <w:r>
        <w:instrText xml:space="preserve"> HYPERLINK \l "_Toc151063370" </w:instrText>
      </w:r>
      <w:r>
        <w:fldChar w:fldCharType="separate"/>
      </w:r>
      <w:r>
        <w:rPr>
          <w:rStyle w:val="39"/>
          <w:rFonts w:asciiTheme="minorEastAsia" w:hAnsiTheme="minorEastAsia" w:eastAsiaTheme="minorEastAsia"/>
          <w:sz w:val="24"/>
        </w:rPr>
        <w:t xml:space="preserve">4.3  </w:t>
      </w:r>
      <w:r>
        <w:rPr>
          <w:rStyle w:val="39"/>
          <w:rFonts w:hint="eastAsia" w:asciiTheme="minorEastAsia" w:hAnsiTheme="minorEastAsia" w:eastAsiaTheme="minorEastAsia"/>
          <w:sz w:val="24"/>
        </w:rPr>
        <w:t>安全疏散和避难</w:t>
      </w:r>
      <w:r>
        <w:rPr>
          <w:rFonts w:asciiTheme="minorEastAsia" w:hAnsiTheme="minorEastAsia" w:eastAsiaTheme="minorEastAsia"/>
          <w:sz w:val="24"/>
        </w:rPr>
        <w:tab/>
      </w:r>
      <w:r>
        <w:rPr>
          <w:rFonts w:hint="eastAsia" w:asciiTheme="minorEastAsia" w:hAnsiTheme="minorEastAsia" w:eastAsiaTheme="minorEastAsia"/>
          <w:sz w:val="24"/>
        </w:rPr>
        <w:t>9</w:t>
      </w:r>
      <w:r>
        <w:rPr>
          <w:rFonts w:hint="eastAsia" w:asciiTheme="minorEastAsia" w:hAnsiTheme="minorEastAsia" w:eastAsiaTheme="minorEastAsia"/>
          <w:sz w:val="24"/>
        </w:rPr>
        <w:fldChar w:fldCharType="end"/>
      </w:r>
    </w:p>
    <w:p w14:paraId="6B435F73">
      <w:pPr>
        <w:pStyle w:val="28"/>
        <w:rPr>
          <w:rFonts w:asciiTheme="minorEastAsia" w:hAnsiTheme="minorEastAsia" w:eastAsiaTheme="minorEastAsia" w:cstheme="minorBidi"/>
          <w:spacing w:val="0"/>
          <w:sz w:val="24"/>
        </w:rPr>
      </w:pPr>
      <w:r>
        <w:fldChar w:fldCharType="begin"/>
      </w:r>
      <w:r>
        <w:instrText xml:space="preserve"> HYPERLINK \l "_Toc151063371" </w:instrText>
      </w:r>
      <w:r>
        <w:fldChar w:fldCharType="separate"/>
      </w:r>
      <w:r>
        <w:rPr>
          <w:rStyle w:val="39"/>
          <w:rFonts w:asciiTheme="minorEastAsia" w:hAnsiTheme="minorEastAsia" w:eastAsiaTheme="minorEastAsia"/>
          <w:sz w:val="24"/>
        </w:rPr>
        <w:t xml:space="preserve">4.4  </w:t>
      </w:r>
      <w:r>
        <w:rPr>
          <w:rStyle w:val="39"/>
          <w:rFonts w:hint="eastAsia" w:asciiTheme="minorEastAsia" w:hAnsiTheme="minorEastAsia" w:eastAsiaTheme="minorEastAsia"/>
          <w:sz w:val="24"/>
        </w:rPr>
        <w:t>建筑结构防火保护与构造</w:t>
      </w:r>
      <w:r>
        <w:rPr>
          <w:rFonts w:asciiTheme="minorEastAsia" w:hAnsiTheme="minorEastAsia" w:eastAsiaTheme="minorEastAsia"/>
          <w:sz w:val="24"/>
        </w:rPr>
        <w:tab/>
      </w:r>
      <w:r>
        <w:rPr>
          <w:rFonts w:hint="eastAsia" w:asciiTheme="minorEastAsia" w:hAnsiTheme="minorEastAsia" w:eastAsiaTheme="minorEastAsia"/>
          <w:sz w:val="24"/>
        </w:rPr>
        <w:t>11</w:t>
      </w:r>
      <w:r>
        <w:rPr>
          <w:rFonts w:hint="eastAsia" w:asciiTheme="minorEastAsia" w:hAnsiTheme="minorEastAsia" w:eastAsiaTheme="minorEastAsia"/>
          <w:sz w:val="24"/>
        </w:rPr>
        <w:fldChar w:fldCharType="end"/>
      </w:r>
    </w:p>
    <w:p w14:paraId="58962A5A">
      <w:pPr>
        <w:pStyle w:val="28"/>
        <w:rPr>
          <w:rFonts w:asciiTheme="minorEastAsia" w:hAnsiTheme="minorEastAsia" w:eastAsiaTheme="minorEastAsia" w:cstheme="minorBidi"/>
          <w:spacing w:val="0"/>
          <w:sz w:val="24"/>
        </w:rPr>
      </w:pPr>
      <w:r>
        <w:fldChar w:fldCharType="begin"/>
      </w:r>
      <w:r>
        <w:instrText xml:space="preserve"> HYPERLINK \l "_Toc151063372" </w:instrText>
      </w:r>
      <w:r>
        <w:fldChar w:fldCharType="separate"/>
      </w:r>
      <w:r>
        <w:rPr>
          <w:rStyle w:val="39"/>
          <w:rFonts w:asciiTheme="minorEastAsia" w:hAnsiTheme="minorEastAsia" w:eastAsiaTheme="minorEastAsia"/>
          <w:sz w:val="24"/>
        </w:rPr>
        <w:t xml:space="preserve">4.5  </w:t>
      </w:r>
      <w:r>
        <w:rPr>
          <w:rStyle w:val="39"/>
          <w:rFonts w:hint="eastAsia" w:asciiTheme="minorEastAsia" w:hAnsiTheme="minorEastAsia" w:eastAsiaTheme="minorEastAsia"/>
          <w:sz w:val="24"/>
        </w:rPr>
        <w:t>灭火救援设施</w:t>
      </w:r>
      <w:r>
        <w:rPr>
          <w:rFonts w:asciiTheme="minorEastAsia" w:hAnsiTheme="minorEastAsia" w:eastAsiaTheme="minorEastAsia"/>
          <w:sz w:val="24"/>
        </w:rPr>
        <w:tab/>
      </w:r>
      <w:r>
        <w:rPr>
          <w:rFonts w:hint="eastAsia" w:asciiTheme="minorEastAsia" w:hAnsiTheme="minorEastAsia" w:eastAsiaTheme="minorEastAsia"/>
          <w:sz w:val="24"/>
        </w:rPr>
        <w:t>12</w:t>
      </w:r>
      <w:r>
        <w:rPr>
          <w:rFonts w:hint="eastAsia" w:asciiTheme="minorEastAsia" w:hAnsiTheme="minorEastAsia" w:eastAsiaTheme="minorEastAsia"/>
          <w:sz w:val="24"/>
        </w:rPr>
        <w:fldChar w:fldCharType="end"/>
      </w:r>
    </w:p>
    <w:p w14:paraId="07C4C95F">
      <w:pPr>
        <w:pStyle w:val="28"/>
        <w:rPr>
          <w:rFonts w:asciiTheme="minorEastAsia" w:hAnsiTheme="minorEastAsia" w:eastAsiaTheme="minorEastAsia" w:cstheme="minorBidi"/>
          <w:spacing w:val="0"/>
          <w:sz w:val="24"/>
        </w:rPr>
      </w:pPr>
      <w:r>
        <w:fldChar w:fldCharType="begin"/>
      </w:r>
      <w:r>
        <w:instrText xml:space="preserve"> HYPERLINK \l "_Toc151063373" </w:instrText>
      </w:r>
      <w:r>
        <w:fldChar w:fldCharType="separate"/>
      </w:r>
      <w:r>
        <w:rPr>
          <w:rStyle w:val="39"/>
          <w:rFonts w:asciiTheme="minorEastAsia" w:hAnsiTheme="minorEastAsia" w:eastAsiaTheme="minorEastAsia"/>
          <w:sz w:val="24"/>
        </w:rPr>
        <w:t xml:space="preserve">5  </w:t>
      </w:r>
      <w:r>
        <w:rPr>
          <w:rStyle w:val="39"/>
          <w:rFonts w:hint="eastAsia" w:asciiTheme="minorEastAsia" w:hAnsiTheme="minorEastAsia" w:eastAsiaTheme="minorEastAsia"/>
          <w:sz w:val="24"/>
        </w:rPr>
        <w:t>消防设施</w:t>
      </w:r>
      <w:r>
        <w:rPr>
          <w:rFonts w:asciiTheme="minorEastAsia" w:hAnsiTheme="minorEastAsia" w:eastAsiaTheme="minorEastAsia"/>
          <w:sz w:val="24"/>
        </w:rPr>
        <w:tab/>
      </w:r>
      <w:r>
        <w:rPr>
          <w:rFonts w:hint="eastAsia" w:asciiTheme="minorEastAsia" w:hAnsiTheme="minorEastAsia" w:eastAsiaTheme="minorEastAsia"/>
          <w:sz w:val="24"/>
        </w:rPr>
        <w:t>14</w:t>
      </w:r>
      <w:r>
        <w:rPr>
          <w:rFonts w:hint="eastAsia" w:asciiTheme="minorEastAsia" w:hAnsiTheme="minorEastAsia" w:eastAsiaTheme="minorEastAsia"/>
          <w:sz w:val="24"/>
        </w:rPr>
        <w:fldChar w:fldCharType="end"/>
      </w:r>
    </w:p>
    <w:p w14:paraId="5642A67C">
      <w:pPr>
        <w:pStyle w:val="28"/>
        <w:rPr>
          <w:rFonts w:asciiTheme="minorEastAsia" w:hAnsiTheme="minorEastAsia" w:eastAsiaTheme="minorEastAsia" w:cstheme="minorBidi"/>
          <w:spacing w:val="0"/>
          <w:sz w:val="24"/>
        </w:rPr>
      </w:pPr>
      <w:r>
        <w:fldChar w:fldCharType="begin"/>
      </w:r>
      <w:r>
        <w:instrText xml:space="preserve"> HYPERLINK \l "_Toc151063374" </w:instrText>
      </w:r>
      <w:r>
        <w:fldChar w:fldCharType="separate"/>
      </w:r>
      <w:r>
        <w:rPr>
          <w:rStyle w:val="39"/>
          <w:rFonts w:asciiTheme="minorEastAsia" w:hAnsiTheme="minorEastAsia" w:eastAsiaTheme="minorEastAsia"/>
          <w:sz w:val="24"/>
        </w:rPr>
        <w:t xml:space="preserve">5.1  </w:t>
      </w:r>
      <w:r>
        <w:rPr>
          <w:rStyle w:val="39"/>
          <w:rFonts w:hint="eastAsia" w:asciiTheme="minorEastAsia" w:hAnsiTheme="minorEastAsia" w:eastAsiaTheme="minorEastAsia"/>
          <w:sz w:val="24"/>
        </w:rPr>
        <w:t>消防水量和消防水池</w:t>
      </w:r>
      <w:r>
        <w:rPr>
          <w:rFonts w:asciiTheme="minorEastAsia" w:hAnsiTheme="minorEastAsia" w:eastAsiaTheme="minorEastAsia"/>
          <w:sz w:val="24"/>
        </w:rPr>
        <w:tab/>
      </w:r>
      <w:r>
        <w:rPr>
          <w:rFonts w:hint="eastAsia" w:asciiTheme="minorEastAsia" w:hAnsiTheme="minorEastAsia" w:eastAsiaTheme="minorEastAsia"/>
          <w:sz w:val="24"/>
        </w:rPr>
        <w:t>14</w:t>
      </w:r>
      <w:r>
        <w:rPr>
          <w:rFonts w:hint="eastAsia" w:asciiTheme="minorEastAsia" w:hAnsiTheme="minorEastAsia" w:eastAsiaTheme="minorEastAsia"/>
          <w:sz w:val="24"/>
        </w:rPr>
        <w:fldChar w:fldCharType="end"/>
      </w:r>
    </w:p>
    <w:p w14:paraId="5B3D38BB">
      <w:pPr>
        <w:pStyle w:val="28"/>
        <w:rPr>
          <w:rFonts w:asciiTheme="minorEastAsia" w:hAnsiTheme="minorEastAsia" w:eastAsiaTheme="minorEastAsia" w:cstheme="minorBidi"/>
          <w:spacing w:val="0"/>
          <w:sz w:val="24"/>
        </w:rPr>
      </w:pPr>
      <w:r>
        <w:fldChar w:fldCharType="begin"/>
      </w:r>
      <w:r>
        <w:instrText xml:space="preserve"> HYPERLINK \l "_Toc151063375" </w:instrText>
      </w:r>
      <w:r>
        <w:fldChar w:fldCharType="separate"/>
      </w:r>
      <w:r>
        <w:rPr>
          <w:rStyle w:val="39"/>
          <w:rFonts w:asciiTheme="minorEastAsia" w:hAnsiTheme="minorEastAsia" w:eastAsiaTheme="minorEastAsia"/>
          <w:sz w:val="24"/>
        </w:rPr>
        <w:t xml:space="preserve">5.2  </w:t>
      </w:r>
      <w:r>
        <w:rPr>
          <w:rStyle w:val="39"/>
          <w:rFonts w:hint="eastAsia" w:asciiTheme="minorEastAsia" w:hAnsiTheme="minorEastAsia" w:eastAsiaTheme="minorEastAsia"/>
          <w:sz w:val="24"/>
        </w:rPr>
        <w:t>消防供水设施</w:t>
      </w:r>
      <w:r>
        <w:rPr>
          <w:rFonts w:asciiTheme="minorEastAsia" w:hAnsiTheme="minorEastAsia" w:eastAsiaTheme="minorEastAsia"/>
          <w:sz w:val="24"/>
        </w:rPr>
        <w:tab/>
      </w:r>
      <w:r>
        <w:rPr>
          <w:rFonts w:hint="eastAsia" w:asciiTheme="minorEastAsia" w:hAnsiTheme="minorEastAsia" w:eastAsiaTheme="minorEastAsia"/>
          <w:sz w:val="24"/>
        </w:rPr>
        <w:t>15</w:t>
      </w:r>
      <w:r>
        <w:rPr>
          <w:rFonts w:hint="eastAsia" w:asciiTheme="minorEastAsia" w:hAnsiTheme="minorEastAsia" w:eastAsiaTheme="minorEastAsia"/>
          <w:sz w:val="24"/>
        </w:rPr>
        <w:fldChar w:fldCharType="end"/>
      </w:r>
    </w:p>
    <w:p w14:paraId="2A565C1E">
      <w:pPr>
        <w:pStyle w:val="28"/>
        <w:rPr>
          <w:rFonts w:asciiTheme="minorEastAsia" w:hAnsiTheme="minorEastAsia" w:eastAsiaTheme="minorEastAsia" w:cstheme="minorBidi"/>
          <w:spacing w:val="0"/>
          <w:sz w:val="24"/>
        </w:rPr>
      </w:pPr>
      <w:r>
        <w:fldChar w:fldCharType="begin"/>
      </w:r>
      <w:r>
        <w:instrText xml:space="preserve"> HYPERLINK \l "_Toc151063376" </w:instrText>
      </w:r>
      <w:r>
        <w:fldChar w:fldCharType="separate"/>
      </w:r>
      <w:r>
        <w:rPr>
          <w:rStyle w:val="39"/>
          <w:rFonts w:asciiTheme="minorEastAsia" w:hAnsiTheme="minorEastAsia" w:eastAsiaTheme="minorEastAsia"/>
          <w:sz w:val="24"/>
        </w:rPr>
        <w:t xml:space="preserve">5.3  </w:t>
      </w:r>
      <w:r>
        <w:rPr>
          <w:rStyle w:val="39"/>
          <w:rFonts w:hint="eastAsia" w:asciiTheme="minorEastAsia" w:hAnsiTheme="minorEastAsia" w:eastAsiaTheme="minorEastAsia"/>
          <w:sz w:val="24"/>
        </w:rPr>
        <w:t>室内消火栓系统</w:t>
      </w:r>
      <w:r>
        <w:rPr>
          <w:rFonts w:asciiTheme="minorEastAsia" w:hAnsiTheme="minorEastAsia" w:eastAsiaTheme="minorEastAsia"/>
          <w:sz w:val="24"/>
        </w:rPr>
        <w:tab/>
      </w:r>
      <w:r>
        <w:rPr>
          <w:rFonts w:hint="eastAsia" w:asciiTheme="minorEastAsia" w:hAnsiTheme="minorEastAsia" w:eastAsiaTheme="minorEastAsia"/>
          <w:sz w:val="24"/>
        </w:rPr>
        <w:t>16</w:t>
      </w:r>
      <w:r>
        <w:rPr>
          <w:rFonts w:hint="eastAsia" w:asciiTheme="minorEastAsia" w:hAnsiTheme="minorEastAsia" w:eastAsiaTheme="minorEastAsia"/>
          <w:sz w:val="24"/>
        </w:rPr>
        <w:fldChar w:fldCharType="end"/>
      </w:r>
    </w:p>
    <w:p w14:paraId="04D0133C">
      <w:pPr>
        <w:pStyle w:val="28"/>
        <w:rPr>
          <w:rFonts w:asciiTheme="minorEastAsia" w:hAnsiTheme="minorEastAsia" w:eastAsiaTheme="minorEastAsia" w:cstheme="minorBidi"/>
          <w:spacing w:val="0"/>
          <w:sz w:val="24"/>
        </w:rPr>
      </w:pPr>
      <w:r>
        <w:fldChar w:fldCharType="begin"/>
      </w:r>
      <w:r>
        <w:instrText xml:space="preserve"> HYPERLINK \l "_Toc151063377" </w:instrText>
      </w:r>
      <w:r>
        <w:fldChar w:fldCharType="separate"/>
      </w:r>
      <w:r>
        <w:rPr>
          <w:rStyle w:val="39"/>
          <w:rFonts w:asciiTheme="minorEastAsia" w:hAnsiTheme="minorEastAsia" w:eastAsiaTheme="minorEastAsia"/>
          <w:sz w:val="24"/>
        </w:rPr>
        <w:t xml:space="preserve">5.4  </w:t>
      </w:r>
      <w:r>
        <w:rPr>
          <w:rStyle w:val="39"/>
          <w:rFonts w:hint="eastAsia" w:asciiTheme="minorEastAsia" w:hAnsiTheme="minorEastAsia" w:eastAsiaTheme="minorEastAsia"/>
          <w:sz w:val="24"/>
        </w:rPr>
        <w:t>自动灭火系统</w:t>
      </w:r>
      <w:r>
        <w:rPr>
          <w:rFonts w:asciiTheme="minorEastAsia" w:hAnsiTheme="minorEastAsia" w:eastAsiaTheme="minorEastAsia"/>
          <w:sz w:val="24"/>
        </w:rPr>
        <w:tab/>
      </w:r>
      <w:r>
        <w:rPr>
          <w:rFonts w:hint="eastAsia" w:asciiTheme="minorEastAsia" w:hAnsiTheme="minorEastAsia" w:eastAsiaTheme="minorEastAsia"/>
          <w:sz w:val="24"/>
        </w:rPr>
        <w:t>16</w:t>
      </w:r>
      <w:r>
        <w:rPr>
          <w:rFonts w:hint="eastAsia" w:asciiTheme="minorEastAsia" w:hAnsiTheme="minorEastAsia" w:eastAsiaTheme="minorEastAsia"/>
          <w:sz w:val="24"/>
        </w:rPr>
        <w:fldChar w:fldCharType="end"/>
      </w:r>
    </w:p>
    <w:p w14:paraId="13C5502D">
      <w:pPr>
        <w:pStyle w:val="28"/>
        <w:rPr>
          <w:rFonts w:asciiTheme="minorEastAsia" w:hAnsiTheme="minorEastAsia" w:eastAsiaTheme="minorEastAsia" w:cstheme="minorBidi"/>
          <w:spacing w:val="0"/>
          <w:sz w:val="24"/>
        </w:rPr>
      </w:pPr>
      <w:r>
        <w:fldChar w:fldCharType="begin"/>
      </w:r>
      <w:r>
        <w:instrText xml:space="preserve"> HYPERLINK \l "_Toc151063378" </w:instrText>
      </w:r>
      <w:r>
        <w:fldChar w:fldCharType="separate"/>
      </w:r>
      <w:r>
        <w:rPr>
          <w:rStyle w:val="39"/>
          <w:rFonts w:asciiTheme="minorEastAsia" w:hAnsiTheme="minorEastAsia" w:eastAsiaTheme="minorEastAsia"/>
          <w:sz w:val="24"/>
        </w:rPr>
        <w:t xml:space="preserve">5.5  </w:t>
      </w:r>
      <w:r>
        <w:rPr>
          <w:rStyle w:val="39"/>
          <w:rFonts w:hint="eastAsia" w:asciiTheme="minorEastAsia" w:hAnsiTheme="minorEastAsia" w:eastAsiaTheme="minorEastAsia"/>
          <w:sz w:val="24"/>
        </w:rPr>
        <w:t>防烟与排烟系统</w:t>
      </w:r>
      <w:r>
        <w:rPr>
          <w:rFonts w:asciiTheme="minorEastAsia" w:hAnsiTheme="minorEastAsia" w:eastAsiaTheme="minorEastAsia"/>
          <w:sz w:val="24"/>
        </w:rPr>
        <w:tab/>
      </w:r>
      <w:r>
        <w:rPr>
          <w:rFonts w:hint="eastAsia" w:asciiTheme="minorEastAsia" w:hAnsiTheme="minorEastAsia" w:eastAsiaTheme="minorEastAsia"/>
          <w:sz w:val="24"/>
        </w:rPr>
        <w:t>17</w:t>
      </w:r>
      <w:r>
        <w:rPr>
          <w:rFonts w:hint="eastAsia" w:asciiTheme="minorEastAsia" w:hAnsiTheme="minorEastAsia" w:eastAsiaTheme="minorEastAsia"/>
          <w:sz w:val="24"/>
        </w:rPr>
        <w:fldChar w:fldCharType="end"/>
      </w:r>
    </w:p>
    <w:p w14:paraId="2CD032DE">
      <w:pPr>
        <w:pStyle w:val="28"/>
        <w:rPr>
          <w:rFonts w:asciiTheme="minorEastAsia" w:hAnsiTheme="minorEastAsia" w:eastAsiaTheme="minorEastAsia" w:cstheme="minorBidi"/>
          <w:spacing w:val="0"/>
          <w:sz w:val="24"/>
        </w:rPr>
      </w:pPr>
      <w:r>
        <w:fldChar w:fldCharType="begin"/>
      </w:r>
      <w:r>
        <w:instrText xml:space="preserve"> HYPERLINK \l "_Toc151063379" </w:instrText>
      </w:r>
      <w:r>
        <w:fldChar w:fldCharType="separate"/>
      </w:r>
      <w:r>
        <w:rPr>
          <w:rStyle w:val="39"/>
          <w:rFonts w:asciiTheme="minorEastAsia" w:hAnsiTheme="minorEastAsia" w:eastAsiaTheme="minorEastAsia"/>
          <w:sz w:val="24"/>
        </w:rPr>
        <w:t xml:space="preserve">5.6  </w:t>
      </w:r>
      <w:r>
        <w:rPr>
          <w:rStyle w:val="39"/>
          <w:rFonts w:hint="eastAsia" w:asciiTheme="minorEastAsia" w:hAnsiTheme="minorEastAsia" w:eastAsiaTheme="minorEastAsia"/>
          <w:sz w:val="24"/>
        </w:rPr>
        <w:t>火灾自动报警系统</w:t>
      </w:r>
      <w:r>
        <w:rPr>
          <w:rFonts w:asciiTheme="minorEastAsia" w:hAnsiTheme="minorEastAsia" w:eastAsiaTheme="minorEastAsia"/>
          <w:sz w:val="24"/>
        </w:rPr>
        <w:tab/>
      </w:r>
      <w:r>
        <w:rPr>
          <w:rFonts w:hint="eastAsia" w:asciiTheme="minorEastAsia" w:hAnsiTheme="minorEastAsia" w:eastAsiaTheme="minorEastAsia"/>
          <w:sz w:val="24"/>
        </w:rPr>
        <w:t>19</w:t>
      </w:r>
      <w:r>
        <w:rPr>
          <w:rFonts w:hint="eastAsia" w:asciiTheme="minorEastAsia" w:hAnsiTheme="minorEastAsia" w:eastAsiaTheme="minorEastAsia"/>
          <w:sz w:val="24"/>
        </w:rPr>
        <w:fldChar w:fldCharType="end"/>
      </w:r>
    </w:p>
    <w:p w14:paraId="64EA919A">
      <w:pPr>
        <w:pStyle w:val="28"/>
        <w:rPr>
          <w:rFonts w:asciiTheme="minorEastAsia" w:hAnsiTheme="minorEastAsia" w:eastAsiaTheme="minorEastAsia" w:cstheme="minorBidi"/>
          <w:spacing w:val="0"/>
          <w:sz w:val="24"/>
        </w:rPr>
      </w:pPr>
      <w:r>
        <w:fldChar w:fldCharType="begin"/>
      </w:r>
      <w:r>
        <w:instrText xml:space="preserve"> HYPERLINK \l "_Toc151063380" </w:instrText>
      </w:r>
      <w:r>
        <w:fldChar w:fldCharType="separate"/>
      </w:r>
      <w:r>
        <w:rPr>
          <w:rStyle w:val="39"/>
          <w:rFonts w:asciiTheme="minorEastAsia" w:hAnsiTheme="minorEastAsia" w:eastAsiaTheme="minorEastAsia"/>
          <w:sz w:val="24"/>
        </w:rPr>
        <w:t xml:space="preserve">6  </w:t>
      </w:r>
      <w:r>
        <w:rPr>
          <w:rStyle w:val="39"/>
          <w:rFonts w:hint="eastAsia" w:asciiTheme="minorEastAsia" w:hAnsiTheme="minorEastAsia" w:eastAsiaTheme="minorEastAsia"/>
          <w:sz w:val="24"/>
        </w:rPr>
        <w:t>消防电气</w:t>
      </w:r>
      <w:r>
        <w:rPr>
          <w:rFonts w:asciiTheme="minorEastAsia" w:hAnsiTheme="minorEastAsia" w:eastAsiaTheme="minorEastAsia"/>
          <w:sz w:val="24"/>
        </w:rPr>
        <w:tab/>
      </w:r>
      <w:r>
        <w:rPr>
          <w:rFonts w:hint="eastAsia" w:asciiTheme="minorEastAsia" w:hAnsiTheme="minorEastAsia" w:eastAsiaTheme="minorEastAsia"/>
          <w:sz w:val="24"/>
        </w:rPr>
        <w:t>20</w:t>
      </w:r>
      <w:r>
        <w:rPr>
          <w:rFonts w:hint="eastAsia" w:asciiTheme="minorEastAsia" w:hAnsiTheme="minorEastAsia" w:eastAsiaTheme="minorEastAsia"/>
          <w:sz w:val="24"/>
        </w:rPr>
        <w:fldChar w:fldCharType="end"/>
      </w:r>
    </w:p>
    <w:p w14:paraId="5DDE0BE8">
      <w:pPr>
        <w:pStyle w:val="28"/>
        <w:rPr>
          <w:rFonts w:asciiTheme="minorEastAsia" w:hAnsiTheme="minorEastAsia" w:eastAsiaTheme="minorEastAsia" w:cstheme="minorBidi"/>
          <w:spacing w:val="0"/>
          <w:sz w:val="24"/>
        </w:rPr>
      </w:pPr>
      <w:r>
        <w:fldChar w:fldCharType="begin"/>
      </w:r>
      <w:r>
        <w:instrText xml:space="preserve"> HYPERLINK \l "_Toc151063381" </w:instrText>
      </w:r>
      <w:r>
        <w:fldChar w:fldCharType="separate"/>
      </w:r>
      <w:r>
        <w:rPr>
          <w:rStyle w:val="39"/>
          <w:rFonts w:asciiTheme="minorEastAsia" w:hAnsiTheme="minorEastAsia" w:eastAsiaTheme="minorEastAsia"/>
          <w:sz w:val="24"/>
        </w:rPr>
        <w:t xml:space="preserve">6.1  </w:t>
      </w:r>
      <w:r>
        <w:rPr>
          <w:rStyle w:val="39"/>
          <w:rFonts w:hint="eastAsia" w:asciiTheme="minorEastAsia" w:hAnsiTheme="minorEastAsia" w:eastAsiaTheme="minorEastAsia"/>
          <w:sz w:val="24"/>
        </w:rPr>
        <w:t>消防电源及其配电</w:t>
      </w:r>
      <w:r>
        <w:rPr>
          <w:rFonts w:asciiTheme="minorEastAsia" w:hAnsiTheme="minorEastAsia" w:eastAsiaTheme="minorEastAsia"/>
          <w:sz w:val="24"/>
        </w:rPr>
        <w:tab/>
      </w:r>
      <w:r>
        <w:rPr>
          <w:rFonts w:hint="eastAsia" w:asciiTheme="minorEastAsia" w:hAnsiTheme="minorEastAsia" w:eastAsiaTheme="minorEastAsia"/>
          <w:sz w:val="24"/>
        </w:rPr>
        <w:t>20</w:t>
      </w:r>
      <w:r>
        <w:rPr>
          <w:rFonts w:hint="eastAsia" w:asciiTheme="minorEastAsia" w:hAnsiTheme="minorEastAsia" w:eastAsiaTheme="minorEastAsia"/>
          <w:sz w:val="24"/>
        </w:rPr>
        <w:fldChar w:fldCharType="end"/>
      </w:r>
    </w:p>
    <w:p w14:paraId="6F088AA1">
      <w:pPr>
        <w:pStyle w:val="28"/>
        <w:rPr>
          <w:rFonts w:asciiTheme="minorEastAsia" w:hAnsiTheme="minorEastAsia" w:eastAsiaTheme="minorEastAsia" w:cstheme="minorBidi"/>
          <w:spacing w:val="0"/>
          <w:sz w:val="24"/>
        </w:rPr>
      </w:pPr>
      <w:r>
        <w:fldChar w:fldCharType="begin"/>
      </w:r>
      <w:r>
        <w:instrText xml:space="preserve"> HYPERLINK \l "_Toc151063382" </w:instrText>
      </w:r>
      <w:r>
        <w:fldChar w:fldCharType="separate"/>
      </w:r>
      <w:r>
        <w:rPr>
          <w:rStyle w:val="39"/>
          <w:rFonts w:asciiTheme="minorEastAsia" w:hAnsiTheme="minorEastAsia" w:eastAsiaTheme="minorEastAsia"/>
          <w:sz w:val="24"/>
        </w:rPr>
        <w:t xml:space="preserve">6.2  </w:t>
      </w:r>
      <w:r>
        <w:rPr>
          <w:rStyle w:val="39"/>
          <w:rFonts w:hint="eastAsia" w:asciiTheme="minorEastAsia" w:hAnsiTheme="minorEastAsia" w:eastAsiaTheme="minorEastAsia"/>
          <w:sz w:val="24"/>
        </w:rPr>
        <w:t>消防应急照明和疏散指示系统</w:t>
      </w:r>
      <w:r>
        <w:rPr>
          <w:rFonts w:asciiTheme="minorEastAsia" w:hAnsiTheme="minorEastAsia" w:eastAsiaTheme="minorEastAsia"/>
          <w:sz w:val="24"/>
        </w:rPr>
        <w:tab/>
      </w:r>
      <w:r>
        <w:rPr>
          <w:rFonts w:hint="eastAsia" w:asciiTheme="minorEastAsia" w:hAnsiTheme="minorEastAsia" w:eastAsiaTheme="minorEastAsia"/>
          <w:sz w:val="24"/>
        </w:rPr>
        <w:t>20</w:t>
      </w:r>
      <w:r>
        <w:rPr>
          <w:rFonts w:hint="eastAsia" w:asciiTheme="minorEastAsia" w:hAnsiTheme="minorEastAsia" w:eastAsiaTheme="minorEastAsia"/>
          <w:sz w:val="24"/>
        </w:rPr>
        <w:fldChar w:fldCharType="end"/>
      </w:r>
    </w:p>
    <w:p w14:paraId="04E4B31A">
      <w:pPr>
        <w:pStyle w:val="28"/>
        <w:rPr>
          <w:rFonts w:asciiTheme="minorEastAsia" w:hAnsiTheme="minorEastAsia" w:eastAsiaTheme="minorEastAsia" w:cstheme="minorBidi"/>
          <w:spacing w:val="0"/>
          <w:sz w:val="24"/>
        </w:rPr>
      </w:pPr>
      <w:r>
        <w:fldChar w:fldCharType="begin"/>
      </w:r>
      <w:r>
        <w:instrText xml:space="preserve"> HYPERLINK \l "_Toc151063383" </w:instrText>
      </w:r>
      <w:r>
        <w:fldChar w:fldCharType="separate"/>
      </w:r>
      <w:r>
        <w:rPr>
          <w:rStyle w:val="39"/>
          <w:rFonts w:asciiTheme="minorEastAsia" w:hAnsiTheme="minorEastAsia" w:eastAsiaTheme="minorEastAsia"/>
          <w:sz w:val="24"/>
        </w:rPr>
        <w:t xml:space="preserve">6.3  </w:t>
      </w:r>
      <w:r>
        <w:rPr>
          <w:rStyle w:val="39"/>
          <w:rFonts w:hint="eastAsia" w:asciiTheme="minorEastAsia" w:hAnsiTheme="minorEastAsia" w:eastAsiaTheme="minorEastAsia"/>
          <w:sz w:val="24"/>
        </w:rPr>
        <w:t>非消防电气线路</w:t>
      </w:r>
      <w:r>
        <w:rPr>
          <w:rFonts w:asciiTheme="minorEastAsia" w:hAnsiTheme="minorEastAsia" w:eastAsiaTheme="minorEastAsia"/>
          <w:sz w:val="24"/>
        </w:rPr>
        <w:tab/>
      </w:r>
      <w:r>
        <w:rPr>
          <w:rFonts w:hint="eastAsia" w:asciiTheme="minorEastAsia" w:hAnsiTheme="minorEastAsia" w:eastAsiaTheme="minorEastAsia"/>
          <w:sz w:val="24"/>
        </w:rPr>
        <w:t>20</w:t>
      </w:r>
      <w:r>
        <w:rPr>
          <w:rFonts w:hint="eastAsia" w:asciiTheme="minorEastAsia" w:hAnsiTheme="minorEastAsia" w:eastAsiaTheme="minorEastAsia"/>
          <w:sz w:val="24"/>
        </w:rPr>
        <w:fldChar w:fldCharType="end"/>
      </w:r>
    </w:p>
    <w:p w14:paraId="1B26F53E">
      <w:pPr>
        <w:pStyle w:val="28"/>
        <w:rPr>
          <w:rFonts w:asciiTheme="minorEastAsia" w:hAnsiTheme="minorEastAsia" w:eastAsiaTheme="minorEastAsia" w:cstheme="minorBidi"/>
          <w:spacing w:val="0"/>
          <w:sz w:val="24"/>
        </w:rPr>
      </w:pPr>
      <w:r>
        <w:fldChar w:fldCharType="begin"/>
      </w:r>
      <w:r>
        <w:instrText xml:space="preserve"> HYPERLINK \l "_Toc151063384" </w:instrText>
      </w:r>
      <w:r>
        <w:fldChar w:fldCharType="separate"/>
      </w:r>
      <w:r>
        <w:rPr>
          <w:rStyle w:val="39"/>
          <w:rFonts w:asciiTheme="minorEastAsia" w:hAnsiTheme="minorEastAsia" w:eastAsiaTheme="minorEastAsia"/>
          <w:sz w:val="24"/>
        </w:rPr>
        <w:t xml:space="preserve">7  </w:t>
      </w:r>
      <w:r>
        <w:rPr>
          <w:rStyle w:val="39"/>
          <w:rFonts w:hint="eastAsia" w:asciiTheme="minorEastAsia" w:hAnsiTheme="minorEastAsia" w:eastAsiaTheme="minorEastAsia"/>
          <w:sz w:val="24"/>
        </w:rPr>
        <w:t>平房院落</w:t>
      </w:r>
      <w:r>
        <w:rPr>
          <w:rFonts w:asciiTheme="minorEastAsia" w:hAnsiTheme="minorEastAsia" w:eastAsiaTheme="minorEastAsia"/>
          <w:sz w:val="24"/>
        </w:rPr>
        <w:tab/>
      </w:r>
      <w:r>
        <w:rPr>
          <w:rFonts w:hint="eastAsia" w:asciiTheme="minorEastAsia" w:hAnsiTheme="minorEastAsia" w:eastAsiaTheme="minorEastAsia"/>
          <w:sz w:val="24"/>
        </w:rPr>
        <w:t>22</w:t>
      </w:r>
      <w:r>
        <w:rPr>
          <w:rFonts w:hint="eastAsia" w:asciiTheme="minorEastAsia" w:hAnsiTheme="minorEastAsia" w:eastAsiaTheme="minorEastAsia"/>
          <w:sz w:val="24"/>
        </w:rPr>
        <w:fldChar w:fldCharType="end"/>
      </w:r>
    </w:p>
    <w:p w14:paraId="424E0AF5">
      <w:pPr>
        <w:pStyle w:val="28"/>
        <w:rPr>
          <w:rFonts w:asciiTheme="minorEastAsia" w:hAnsiTheme="minorEastAsia" w:eastAsiaTheme="minorEastAsia" w:cstheme="minorBidi"/>
          <w:spacing w:val="0"/>
          <w:sz w:val="24"/>
        </w:rPr>
      </w:pPr>
      <w:r>
        <w:fldChar w:fldCharType="begin"/>
      </w:r>
      <w:r>
        <w:instrText xml:space="preserve"> HYPERLINK \l "_Toc151063385" </w:instrText>
      </w:r>
      <w:r>
        <w:fldChar w:fldCharType="separate"/>
      </w:r>
      <w:r>
        <w:rPr>
          <w:rStyle w:val="39"/>
          <w:rFonts w:asciiTheme="minorEastAsia" w:hAnsiTheme="minorEastAsia" w:eastAsiaTheme="minorEastAsia"/>
          <w:sz w:val="24"/>
        </w:rPr>
        <w:t xml:space="preserve">7.1  </w:t>
      </w:r>
      <w:r>
        <w:rPr>
          <w:rStyle w:val="39"/>
          <w:rFonts w:hint="eastAsia" w:asciiTheme="minorEastAsia" w:hAnsiTheme="minorEastAsia" w:eastAsiaTheme="minorEastAsia"/>
          <w:sz w:val="24"/>
        </w:rPr>
        <w:t>平房区</w:t>
      </w:r>
      <w:r>
        <w:rPr>
          <w:rFonts w:asciiTheme="minorEastAsia" w:hAnsiTheme="minorEastAsia" w:eastAsiaTheme="minorEastAsia"/>
          <w:sz w:val="24"/>
        </w:rPr>
        <w:tab/>
      </w:r>
      <w:r>
        <w:rPr>
          <w:rFonts w:hint="eastAsia" w:asciiTheme="minorEastAsia" w:hAnsiTheme="minorEastAsia" w:eastAsiaTheme="minorEastAsia"/>
          <w:sz w:val="24"/>
        </w:rPr>
        <w:t>22</w:t>
      </w:r>
      <w:r>
        <w:rPr>
          <w:rFonts w:hint="eastAsia" w:asciiTheme="minorEastAsia" w:hAnsiTheme="minorEastAsia" w:eastAsiaTheme="minorEastAsia"/>
          <w:sz w:val="24"/>
        </w:rPr>
        <w:fldChar w:fldCharType="end"/>
      </w:r>
    </w:p>
    <w:p w14:paraId="4A329816">
      <w:pPr>
        <w:pStyle w:val="28"/>
        <w:rPr>
          <w:rFonts w:asciiTheme="minorEastAsia" w:hAnsiTheme="minorEastAsia" w:eastAsiaTheme="minorEastAsia" w:cstheme="minorBidi"/>
          <w:spacing w:val="0"/>
          <w:sz w:val="24"/>
        </w:rPr>
      </w:pPr>
      <w:r>
        <w:fldChar w:fldCharType="begin"/>
      </w:r>
      <w:r>
        <w:instrText xml:space="preserve"> HYPERLINK \l "_Toc151063386" </w:instrText>
      </w:r>
      <w:r>
        <w:fldChar w:fldCharType="separate"/>
      </w:r>
      <w:r>
        <w:rPr>
          <w:rStyle w:val="39"/>
          <w:rFonts w:asciiTheme="minorEastAsia" w:hAnsiTheme="minorEastAsia" w:eastAsiaTheme="minorEastAsia"/>
          <w:sz w:val="24"/>
        </w:rPr>
        <w:t xml:space="preserve">7.2  </w:t>
      </w:r>
      <w:r>
        <w:rPr>
          <w:rStyle w:val="39"/>
          <w:rFonts w:hint="eastAsia" w:asciiTheme="minorEastAsia" w:hAnsiTheme="minorEastAsia" w:eastAsiaTheme="minorEastAsia"/>
          <w:sz w:val="24"/>
        </w:rPr>
        <w:t>平房院落</w:t>
      </w:r>
      <w:r>
        <w:rPr>
          <w:rFonts w:asciiTheme="minorEastAsia" w:hAnsiTheme="minorEastAsia" w:eastAsiaTheme="minorEastAsia"/>
          <w:sz w:val="24"/>
        </w:rPr>
        <w:tab/>
      </w:r>
      <w:r>
        <w:rPr>
          <w:rFonts w:hint="eastAsia" w:asciiTheme="minorEastAsia" w:hAnsiTheme="minorEastAsia" w:eastAsiaTheme="minorEastAsia"/>
          <w:sz w:val="24"/>
        </w:rPr>
        <w:t>23</w:t>
      </w:r>
      <w:r>
        <w:rPr>
          <w:rFonts w:hint="eastAsia" w:asciiTheme="minorEastAsia" w:hAnsiTheme="minorEastAsia" w:eastAsiaTheme="minorEastAsia"/>
          <w:sz w:val="24"/>
        </w:rPr>
        <w:fldChar w:fldCharType="end"/>
      </w:r>
    </w:p>
    <w:p w14:paraId="29B72EDD">
      <w:pPr>
        <w:pStyle w:val="28"/>
        <w:rPr>
          <w:rFonts w:asciiTheme="minorEastAsia" w:hAnsiTheme="minorEastAsia" w:eastAsiaTheme="minorEastAsia" w:cstheme="minorBidi"/>
          <w:spacing w:val="0"/>
          <w:sz w:val="24"/>
        </w:rPr>
      </w:pPr>
      <w:r>
        <w:fldChar w:fldCharType="begin"/>
      </w:r>
      <w:r>
        <w:instrText xml:space="preserve"> HYPERLINK \l "_Toc151063387" </w:instrText>
      </w:r>
      <w:r>
        <w:fldChar w:fldCharType="separate"/>
      </w:r>
      <w:r>
        <w:rPr>
          <w:rStyle w:val="39"/>
          <w:rFonts w:asciiTheme="minorEastAsia" w:hAnsiTheme="minorEastAsia" w:eastAsiaTheme="minorEastAsia"/>
          <w:sz w:val="24"/>
        </w:rPr>
        <w:t xml:space="preserve">7.3  </w:t>
      </w:r>
      <w:r>
        <w:rPr>
          <w:rStyle w:val="39"/>
          <w:rFonts w:hint="eastAsia" w:asciiTheme="minorEastAsia" w:hAnsiTheme="minorEastAsia" w:eastAsiaTheme="minorEastAsia"/>
          <w:sz w:val="24"/>
        </w:rPr>
        <w:t>商业设施</w:t>
      </w:r>
      <w:r>
        <w:rPr>
          <w:rFonts w:asciiTheme="minorEastAsia" w:hAnsiTheme="minorEastAsia" w:eastAsiaTheme="minorEastAsia"/>
          <w:sz w:val="24"/>
        </w:rPr>
        <w:tab/>
      </w:r>
      <w:r>
        <w:rPr>
          <w:rFonts w:hint="eastAsia" w:asciiTheme="minorEastAsia" w:hAnsiTheme="minorEastAsia" w:eastAsiaTheme="minorEastAsia"/>
          <w:sz w:val="24"/>
        </w:rPr>
        <w:t>26</w:t>
      </w:r>
      <w:r>
        <w:rPr>
          <w:rFonts w:hint="eastAsia" w:asciiTheme="minorEastAsia" w:hAnsiTheme="minorEastAsia" w:eastAsiaTheme="minorEastAsia"/>
          <w:sz w:val="24"/>
        </w:rPr>
        <w:fldChar w:fldCharType="end"/>
      </w:r>
    </w:p>
    <w:p w14:paraId="5545E25E">
      <w:pPr>
        <w:pStyle w:val="28"/>
        <w:rPr>
          <w:rFonts w:asciiTheme="minorEastAsia" w:hAnsiTheme="minorEastAsia" w:eastAsiaTheme="minorEastAsia" w:cstheme="minorBidi"/>
          <w:spacing w:val="0"/>
          <w:sz w:val="24"/>
        </w:rPr>
      </w:pPr>
      <w:r>
        <w:fldChar w:fldCharType="begin"/>
      </w:r>
      <w:r>
        <w:instrText xml:space="preserve"> HYPERLINK \l "_Toc151063388" </w:instrText>
      </w:r>
      <w:r>
        <w:fldChar w:fldCharType="separate"/>
      </w:r>
      <w:r>
        <w:rPr>
          <w:rStyle w:val="39"/>
          <w:rFonts w:hint="eastAsia" w:asciiTheme="minorEastAsia" w:hAnsiTheme="minorEastAsia" w:eastAsiaTheme="minorEastAsia"/>
          <w:sz w:val="24"/>
        </w:rPr>
        <w:t>附录</w:t>
      </w:r>
      <w:r>
        <w:rPr>
          <w:rStyle w:val="39"/>
          <w:rFonts w:asciiTheme="minorEastAsia" w:hAnsiTheme="minorEastAsia" w:eastAsiaTheme="minorEastAsia"/>
          <w:sz w:val="24"/>
        </w:rPr>
        <w:t xml:space="preserve">A  </w:t>
      </w:r>
      <w:r>
        <w:rPr>
          <w:rStyle w:val="39"/>
          <w:rFonts w:hint="eastAsia" w:asciiTheme="minorEastAsia" w:hAnsiTheme="minorEastAsia" w:eastAsiaTheme="minorEastAsia"/>
          <w:sz w:val="24"/>
        </w:rPr>
        <w:t>消防安全评价报告</w:t>
      </w:r>
      <w:r>
        <w:rPr>
          <w:rFonts w:asciiTheme="minorEastAsia" w:hAnsiTheme="minorEastAsia" w:eastAsiaTheme="minorEastAsia"/>
          <w:sz w:val="24"/>
        </w:rPr>
        <w:tab/>
      </w:r>
      <w:r>
        <w:rPr>
          <w:rFonts w:asciiTheme="minorEastAsia" w:hAnsiTheme="minorEastAsia" w:eastAsiaTheme="minorEastAsia"/>
          <w:sz w:val="24"/>
        </w:rPr>
        <w:fldChar w:fldCharType="end"/>
      </w:r>
      <w:r>
        <w:rPr>
          <w:rStyle w:val="39"/>
          <w:rFonts w:asciiTheme="minorEastAsia" w:hAnsiTheme="minorEastAsia" w:eastAsiaTheme="minorEastAsia"/>
          <w:color w:val="000000" w:themeColor="text1"/>
          <w:sz w:val="24"/>
          <w:u w:val="none"/>
          <w14:textFill>
            <w14:solidFill>
              <w14:schemeClr w14:val="tx1"/>
            </w14:solidFill>
          </w14:textFill>
        </w:rPr>
        <w:t>28</w:t>
      </w:r>
    </w:p>
    <w:p w14:paraId="3451D828">
      <w:pPr>
        <w:pStyle w:val="28"/>
        <w:rPr>
          <w:rFonts w:asciiTheme="minorEastAsia" w:hAnsiTheme="minorEastAsia" w:eastAsiaTheme="minorEastAsia" w:cstheme="minorBidi"/>
          <w:spacing w:val="0"/>
          <w:sz w:val="24"/>
        </w:rPr>
      </w:pPr>
      <w:r>
        <w:fldChar w:fldCharType="begin"/>
      </w:r>
      <w:r>
        <w:instrText xml:space="preserve"> HYPERLINK \l "_Toc151063389" </w:instrText>
      </w:r>
      <w:r>
        <w:fldChar w:fldCharType="separate"/>
      </w:r>
      <w:r>
        <w:rPr>
          <w:rStyle w:val="39"/>
          <w:rFonts w:asciiTheme="minorEastAsia" w:hAnsiTheme="minorEastAsia" w:eastAsiaTheme="minorEastAsia"/>
          <w:sz w:val="24"/>
        </w:rPr>
        <w:t>A.1</w:t>
      </w:r>
      <w:r>
        <w:rPr>
          <w:rStyle w:val="39"/>
          <w:rFonts w:hint="eastAsia" w:asciiTheme="minorEastAsia" w:hAnsiTheme="minorEastAsia" w:eastAsiaTheme="minorEastAsia"/>
          <w:sz w:val="24"/>
        </w:rPr>
        <w:t>消防安全评价报告</w:t>
      </w:r>
      <w:r>
        <w:rPr>
          <w:rFonts w:asciiTheme="minorEastAsia" w:hAnsiTheme="minorEastAsia" w:eastAsiaTheme="minorEastAsia"/>
          <w:sz w:val="24"/>
        </w:rPr>
        <w:tab/>
      </w:r>
      <w:r>
        <w:rPr>
          <w:rFonts w:asciiTheme="minorEastAsia" w:hAnsiTheme="minorEastAsia" w:eastAsiaTheme="minorEastAsia"/>
          <w:sz w:val="24"/>
        </w:rPr>
        <w:fldChar w:fldCharType="end"/>
      </w:r>
      <w:r>
        <w:rPr>
          <w:rStyle w:val="39"/>
          <w:rFonts w:asciiTheme="minorEastAsia" w:hAnsiTheme="minorEastAsia" w:eastAsiaTheme="minorEastAsia"/>
          <w:color w:val="000000" w:themeColor="text1"/>
          <w:sz w:val="24"/>
          <w:u w:val="none"/>
          <w14:textFill>
            <w14:solidFill>
              <w14:schemeClr w14:val="tx1"/>
            </w14:solidFill>
          </w14:textFill>
        </w:rPr>
        <w:t>28</w:t>
      </w:r>
    </w:p>
    <w:p w14:paraId="7225ADF5">
      <w:pPr>
        <w:pStyle w:val="28"/>
        <w:rPr>
          <w:rFonts w:asciiTheme="minorEastAsia" w:hAnsiTheme="minorEastAsia" w:eastAsiaTheme="minorEastAsia" w:cstheme="minorBidi"/>
          <w:spacing w:val="0"/>
          <w:sz w:val="24"/>
        </w:rPr>
      </w:pPr>
      <w:r>
        <w:fldChar w:fldCharType="begin"/>
      </w:r>
      <w:r>
        <w:instrText xml:space="preserve"> HYPERLINK \l "_Toc151063390" </w:instrText>
      </w:r>
      <w:r>
        <w:fldChar w:fldCharType="separate"/>
      </w:r>
      <w:r>
        <w:rPr>
          <w:rStyle w:val="39"/>
          <w:rFonts w:asciiTheme="minorEastAsia" w:hAnsiTheme="minorEastAsia" w:eastAsiaTheme="minorEastAsia"/>
          <w:sz w:val="24"/>
        </w:rPr>
        <w:t xml:space="preserve">A.2 </w:t>
      </w:r>
      <w:r>
        <w:rPr>
          <w:rStyle w:val="39"/>
          <w:rFonts w:hint="eastAsia" w:asciiTheme="minorEastAsia" w:hAnsiTheme="minorEastAsia" w:eastAsiaTheme="minorEastAsia"/>
          <w:sz w:val="24"/>
        </w:rPr>
        <w:t>消防安全评价表</w:t>
      </w:r>
      <w:r>
        <w:rPr>
          <w:rFonts w:asciiTheme="minorEastAsia" w:hAnsiTheme="minorEastAsia" w:eastAsiaTheme="minorEastAsia"/>
          <w:sz w:val="24"/>
        </w:rPr>
        <w:tab/>
      </w:r>
      <w:r>
        <w:rPr>
          <w:rFonts w:hint="eastAsia" w:asciiTheme="minorEastAsia" w:hAnsiTheme="minorEastAsia" w:eastAsiaTheme="minorEastAsia"/>
          <w:sz w:val="24"/>
        </w:rPr>
        <w:t>30</w:t>
      </w:r>
      <w:r>
        <w:rPr>
          <w:rFonts w:hint="eastAsia" w:asciiTheme="minorEastAsia" w:hAnsiTheme="minorEastAsia" w:eastAsiaTheme="minorEastAsia"/>
          <w:sz w:val="24"/>
        </w:rPr>
        <w:fldChar w:fldCharType="end"/>
      </w:r>
    </w:p>
    <w:p w14:paraId="03C2AAAF">
      <w:pPr>
        <w:pStyle w:val="28"/>
        <w:rPr>
          <w:rFonts w:asciiTheme="minorEastAsia" w:hAnsiTheme="minorEastAsia" w:eastAsiaTheme="minorEastAsia" w:cstheme="minorBidi"/>
          <w:spacing w:val="0"/>
          <w:sz w:val="24"/>
        </w:rPr>
      </w:pPr>
      <w:r>
        <w:fldChar w:fldCharType="begin"/>
      </w:r>
      <w:r>
        <w:instrText xml:space="preserve"> HYPERLINK \l "_Toc151063391" </w:instrText>
      </w:r>
      <w:r>
        <w:fldChar w:fldCharType="separate"/>
      </w:r>
      <w:r>
        <w:rPr>
          <w:rStyle w:val="39"/>
          <w:rFonts w:hint="eastAsia" w:asciiTheme="minorEastAsia" w:hAnsiTheme="minorEastAsia" w:eastAsiaTheme="minorEastAsia"/>
          <w:sz w:val="24"/>
        </w:rPr>
        <w:t>本规范用词说明</w:t>
      </w:r>
      <w:r>
        <w:rPr>
          <w:rFonts w:asciiTheme="minorEastAsia" w:hAnsiTheme="minorEastAsia" w:eastAsiaTheme="minorEastAsia"/>
          <w:sz w:val="24"/>
        </w:rPr>
        <w:tab/>
      </w:r>
      <w:r>
        <w:rPr>
          <w:rFonts w:hint="eastAsia" w:asciiTheme="minorEastAsia" w:hAnsiTheme="minorEastAsia" w:eastAsiaTheme="minorEastAsia"/>
          <w:sz w:val="24"/>
        </w:rPr>
        <w:t>36</w:t>
      </w:r>
      <w:r>
        <w:rPr>
          <w:rFonts w:hint="eastAsia" w:asciiTheme="minorEastAsia" w:hAnsiTheme="minorEastAsia" w:eastAsiaTheme="minorEastAsia"/>
          <w:sz w:val="24"/>
        </w:rPr>
        <w:fldChar w:fldCharType="end"/>
      </w:r>
    </w:p>
    <w:p w14:paraId="5F9F22EB">
      <w:pPr>
        <w:pStyle w:val="28"/>
        <w:rPr>
          <w:rFonts w:asciiTheme="minorEastAsia" w:hAnsiTheme="minorEastAsia" w:eastAsiaTheme="minorEastAsia" w:cstheme="minorBidi"/>
          <w:spacing w:val="0"/>
          <w:sz w:val="24"/>
        </w:rPr>
      </w:pPr>
      <w:r>
        <w:fldChar w:fldCharType="begin"/>
      </w:r>
      <w:r>
        <w:instrText xml:space="preserve"> HYPERLINK \l "_Toc151063392" </w:instrText>
      </w:r>
      <w:r>
        <w:fldChar w:fldCharType="separate"/>
      </w:r>
      <w:r>
        <w:rPr>
          <w:rStyle w:val="39"/>
          <w:rFonts w:hint="eastAsia" w:asciiTheme="minorEastAsia" w:hAnsiTheme="minorEastAsia" w:eastAsiaTheme="minorEastAsia"/>
          <w:sz w:val="24"/>
        </w:rPr>
        <w:t>引用标准名录</w:t>
      </w:r>
      <w:r>
        <w:rPr>
          <w:rFonts w:asciiTheme="minorEastAsia" w:hAnsiTheme="minorEastAsia" w:eastAsiaTheme="minorEastAsia"/>
          <w:sz w:val="24"/>
        </w:rPr>
        <w:tab/>
      </w:r>
      <w:r>
        <w:rPr>
          <w:rFonts w:hint="eastAsia" w:asciiTheme="minorEastAsia" w:hAnsiTheme="minorEastAsia" w:eastAsiaTheme="minorEastAsia"/>
          <w:sz w:val="24"/>
        </w:rPr>
        <w:t>37</w:t>
      </w:r>
      <w:r>
        <w:rPr>
          <w:rFonts w:hint="eastAsia" w:asciiTheme="minorEastAsia" w:hAnsiTheme="minorEastAsia" w:eastAsiaTheme="minorEastAsia"/>
          <w:sz w:val="24"/>
        </w:rPr>
        <w:fldChar w:fldCharType="end"/>
      </w:r>
    </w:p>
    <w:p w14:paraId="327642FD">
      <w:pPr>
        <w:pStyle w:val="28"/>
        <w:rPr>
          <w:rFonts w:asciiTheme="minorEastAsia" w:hAnsiTheme="minorEastAsia" w:eastAsiaTheme="minorEastAsia" w:cstheme="minorBidi"/>
          <w:spacing w:val="0"/>
          <w:sz w:val="24"/>
        </w:rPr>
      </w:pPr>
      <w:r>
        <w:fldChar w:fldCharType="begin"/>
      </w:r>
      <w:r>
        <w:instrText xml:space="preserve"> HYPERLINK \l "_Toc151063393" </w:instrText>
      </w:r>
      <w:r>
        <w:fldChar w:fldCharType="separate"/>
      </w:r>
      <w:r>
        <w:rPr>
          <w:rStyle w:val="39"/>
          <w:rFonts w:hint="eastAsia" w:asciiTheme="minorEastAsia" w:hAnsiTheme="minorEastAsia" w:eastAsiaTheme="minorEastAsia"/>
          <w:sz w:val="24"/>
        </w:rPr>
        <w:t>条文说明</w:t>
      </w:r>
      <w:r>
        <w:rPr>
          <w:rFonts w:asciiTheme="minorEastAsia" w:hAnsiTheme="minorEastAsia" w:eastAsiaTheme="minorEastAsia"/>
          <w:sz w:val="24"/>
        </w:rPr>
        <w:tab/>
      </w:r>
      <w:r>
        <w:rPr>
          <w:rFonts w:hint="eastAsia" w:asciiTheme="minorEastAsia" w:hAnsiTheme="minorEastAsia" w:eastAsiaTheme="minorEastAsia"/>
          <w:sz w:val="24"/>
        </w:rPr>
        <w:t>38</w:t>
      </w:r>
      <w:r>
        <w:rPr>
          <w:rFonts w:hint="eastAsia" w:asciiTheme="minorEastAsia" w:hAnsiTheme="minorEastAsia" w:eastAsiaTheme="minorEastAsia"/>
          <w:sz w:val="24"/>
        </w:rPr>
        <w:fldChar w:fldCharType="end"/>
      </w:r>
    </w:p>
    <w:p w14:paraId="771C991F">
      <w:pPr>
        <w:widowControl/>
        <w:jc w:val="center"/>
        <w:rPr>
          <w:rFonts w:eastAsia="黑体"/>
          <w:sz w:val="36"/>
          <w:szCs w:val="36"/>
        </w:rPr>
      </w:pPr>
      <w:r>
        <w:rPr>
          <w:rFonts w:asciiTheme="minorEastAsia" w:hAnsiTheme="minorEastAsia" w:eastAsiaTheme="minorEastAsia"/>
          <w:b/>
          <w:bCs/>
          <w:sz w:val="24"/>
          <w:lang w:val="zh-CN"/>
        </w:rPr>
        <w:fldChar w:fldCharType="end"/>
      </w:r>
    </w:p>
    <w:p w14:paraId="4FAAB292">
      <w:pPr>
        <w:widowControl/>
        <w:jc w:val="center"/>
        <w:rPr>
          <w:rFonts w:eastAsia="黑体"/>
          <w:sz w:val="36"/>
          <w:szCs w:val="36"/>
        </w:rPr>
      </w:pPr>
    </w:p>
    <w:p w14:paraId="4D115EFA">
      <w:pPr>
        <w:widowControl/>
        <w:jc w:val="center"/>
        <w:rPr>
          <w:rFonts w:eastAsia="黑体"/>
          <w:sz w:val="36"/>
          <w:szCs w:val="36"/>
        </w:rPr>
      </w:pPr>
    </w:p>
    <w:p w14:paraId="6BCB0B57">
      <w:pPr>
        <w:widowControl/>
        <w:jc w:val="center"/>
        <w:rPr>
          <w:rFonts w:eastAsia="黑体"/>
          <w:sz w:val="36"/>
          <w:szCs w:val="36"/>
        </w:rPr>
      </w:pPr>
    </w:p>
    <w:p w14:paraId="0958C03B">
      <w:pPr>
        <w:widowControl/>
        <w:rPr>
          <w:rFonts w:eastAsia="黑体"/>
          <w:sz w:val="36"/>
          <w:szCs w:val="36"/>
        </w:rPr>
      </w:pPr>
    </w:p>
    <w:p w14:paraId="187BD589">
      <w:pPr>
        <w:widowControl/>
        <w:jc w:val="center"/>
        <w:rPr>
          <w:rFonts w:eastAsia="黑体"/>
          <w:sz w:val="36"/>
          <w:szCs w:val="36"/>
        </w:rPr>
      </w:pPr>
      <w:r>
        <w:rPr>
          <w:rFonts w:hint="eastAsia" w:eastAsia="黑体"/>
          <w:sz w:val="36"/>
          <w:szCs w:val="36"/>
        </w:rPr>
        <w:t>CONTENTS</w:t>
      </w:r>
    </w:p>
    <w:p w14:paraId="3A0362D3">
      <w:pPr>
        <w:pStyle w:val="28"/>
        <w:rPr>
          <w:rFonts w:ascii="Times New Roman" w:hAnsi="Times New Roman" w:cs="Times New Roman" w:eastAsiaTheme="minorEastAsia"/>
          <w:spacing w:val="0"/>
          <w:sz w:val="24"/>
        </w:rPr>
      </w:pPr>
      <w:r>
        <w:rPr>
          <w:rFonts w:ascii="Times New Roman" w:hAnsi="Times New Roman" w:cs="Times New Roman"/>
          <w:sz w:val="24"/>
        </w:rPr>
        <w:fldChar w:fldCharType="begin"/>
      </w:r>
      <w:r>
        <w:rPr>
          <w:rFonts w:ascii="Times New Roman" w:hAnsi="Times New Roman" w:cs="Times New Roman"/>
          <w:sz w:val="24"/>
        </w:rPr>
        <w:instrText xml:space="preserve"> TOC \o "1-3" \h \z \u </w:instrText>
      </w:r>
      <w:r>
        <w:rPr>
          <w:rFonts w:ascii="Times New Roman" w:hAnsi="Times New Roman" w:cs="Times New Roman"/>
          <w:sz w:val="24"/>
        </w:rPr>
        <w:fldChar w:fldCharType="separate"/>
      </w:r>
      <w:r>
        <w:fldChar w:fldCharType="begin"/>
      </w:r>
      <w:r>
        <w:instrText xml:space="preserve"> HYPERLINK \l "_Toc151063362" </w:instrText>
      </w:r>
      <w:r>
        <w:fldChar w:fldCharType="separate"/>
      </w:r>
      <w:r>
        <w:rPr>
          <w:rStyle w:val="39"/>
          <w:rFonts w:ascii="Times New Roman" w:hAnsi="Times New Roman" w:cs="Times New Roman" w:eastAsiaTheme="minorEastAsia"/>
          <w:sz w:val="24"/>
        </w:rPr>
        <w:t>1  General provisions</w:t>
      </w:r>
      <w:r>
        <w:rPr>
          <w:rFonts w:ascii="Times New Roman" w:hAnsi="Times New Roman" w:cs="Times New Roman" w:eastAsiaTheme="minorEastAsia"/>
          <w:sz w:val="24"/>
        </w:rPr>
        <w:tab/>
      </w:r>
      <w:r>
        <w:rPr>
          <w:rFonts w:ascii="Times New Roman" w:hAnsi="Times New Roman" w:cs="Times New Roman" w:eastAsiaTheme="minorEastAsia"/>
          <w:sz w:val="24"/>
        </w:rPr>
        <w:t>1</w:t>
      </w:r>
      <w:r>
        <w:rPr>
          <w:rFonts w:ascii="Times New Roman" w:hAnsi="Times New Roman" w:cs="Times New Roman" w:eastAsiaTheme="minorEastAsia"/>
          <w:sz w:val="24"/>
        </w:rPr>
        <w:fldChar w:fldCharType="end"/>
      </w:r>
    </w:p>
    <w:p w14:paraId="3818103E">
      <w:pPr>
        <w:pStyle w:val="28"/>
        <w:rPr>
          <w:rFonts w:ascii="Times New Roman" w:hAnsi="Times New Roman" w:cs="Times New Roman" w:eastAsiaTheme="minorEastAsia"/>
          <w:spacing w:val="0"/>
          <w:sz w:val="24"/>
        </w:rPr>
      </w:pPr>
      <w:r>
        <w:fldChar w:fldCharType="begin"/>
      </w:r>
      <w:r>
        <w:instrText xml:space="preserve"> HYPERLINK \l "_Toc151063363" </w:instrText>
      </w:r>
      <w:r>
        <w:fldChar w:fldCharType="separate"/>
      </w:r>
      <w:r>
        <w:rPr>
          <w:rStyle w:val="39"/>
          <w:rFonts w:ascii="Times New Roman" w:hAnsi="Times New Roman" w:cs="Times New Roman" w:eastAsiaTheme="minorEastAsia"/>
          <w:sz w:val="24"/>
        </w:rPr>
        <w:t>2  Terms</w:t>
      </w:r>
      <w:r>
        <w:rPr>
          <w:rFonts w:ascii="Times New Roman" w:hAnsi="Times New Roman" w:cs="Times New Roman" w:eastAsiaTheme="minorEastAsia"/>
          <w:sz w:val="24"/>
        </w:rPr>
        <w:tab/>
      </w:r>
      <w:r>
        <w:rPr>
          <w:rFonts w:ascii="Times New Roman" w:hAnsi="Times New Roman" w:cs="Times New Roman" w:eastAsiaTheme="minorEastAsia"/>
          <w:sz w:val="24"/>
        </w:rPr>
        <w:t>2</w:t>
      </w:r>
      <w:r>
        <w:rPr>
          <w:rFonts w:ascii="Times New Roman" w:hAnsi="Times New Roman" w:cs="Times New Roman" w:eastAsiaTheme="minorEastAsia"/>
          <w:sz w:val="24"/>
        </w:rPr>
        <w:fldChar w:fldCharType="end"/>
      </w:r>
    </w:p>
    <w:p w14:paraId="2B5EEB83">
      <w:pPr>
        <w:pStyle w:val="28"/>
        <w:rPr>
          <w:rFonts w:ascii="Times New Roman" w:hAnsi="Times New Roman" w:cs="Times New Roman" w:eastAsiaTheme="minorEastAsia"/>
          <w:spacing w:val="0"/>
          <w:sz w:val="24"/>
        </w:rPr>
      </w:pPr>
      <w:r>
        <w:fldChar w:fldCharType="begin"/>
      </w:r>
      <w:r>
        <w:instrText xml:space="preserve"> HYPERLINK \l "_Toc151063364" </w:instrText>
      </w:r>
      <w:r>
        <w:fldChar w:fldCharType="separate"/>
      </w:r>
      <w:r>
        <w:rPr>
          <w:rStyle w:val="39"/>
          <w:rFonts w:ascii="Times New Roman" w:hAnsi="Times New Roman" w:cs="Times New Roman" w:eastAsiaTheme="minorEastAsia"/>
          <w:sz w:val="24"/>
        </w:rPr>
        <w:t>3  Basic regulations</w:t>
      </w:r>
      <w:r>
        <w:rPr>
          <w:rFonts w:ascii="Times New Roman" w:hAnsi="Times New Roman" w:cs="Times New Roman" w:eastAsiaTheme="minorEastAsia"/>
          <w:sz w:val="24"/>
        </w:rPr>
        <w:tab/>
      </w:r>
      <w:r>
        <w:rPr>
          <w:rFonts w:ascii="Times New Roman" w:hAnsi="Times New Roman" w:cs="Times New Roman" w:eastAsiaTheme="minorEastAsia"/>
          <w:sz w:val="24"/>
        </w:rPr>
        <w:t>3</w:t>
      </w:r>
      <w:r>
        <w:rPr>
          <w:rFonts w:ascii="Times New Roman" w:hAnsi="Times New Roman" w:cs="Times New Roman" w:eastAsiaTheme="minorEastAsia"/>
          <w:sz w:val="24"/>
        </w:rPr>
        <w:fldChar w:fldCharType="end"/>
      </w:r>
    </w:p>
    <w:p w14:paraId="13C6C7DC">
      <w:pPr>
        <w:pStyle w:val="28"/>
        <w:rPr>
          <w:rFonts w:ascii="Times New Roman" w:hAnsi="Times New Roman" w:cs="Times New Roman" w:eastAsiaTheme="minorEastAsia"/>
          <w:spacing w:val="0"/>
          <w:sz w:val="24"/>
        </w:rPr>
      </w:pPr>
      <w:r>
        <w:fldChar w:fldCharType="begin"/>
      </w:r>
      <w:r>
        <w:instrText xml:space="preserve"> HYPERLINK \l "_Toc151063365" </w:instrText>
      </w:r>
      <w:r>
        <w:fldChar w:fldCharType="separate"/>
      </w:r>
      <w:r>
        <w:rPr>
          <w:rStyle w:val="39"/>
          <w:rFonts w:ascii="Times New Roman" w:hAnsi="Times New Roman" w:cs="Times New Roman" w:eastAsiaTheme="minorEastAsia"/>
          <w:sz w:val="24"/>
        </w:rPr>
        <w:t>3.1  Classification and classification design standards</w:t>
      </w:r>
      <w:r>
        <w:rPr>
          <w:rFonts w:ascii="Times New Roman" w:hAnsi="Times New Roman" w:cs="Times New Roman" w:eastAsiaTheme="minorEastAsia"/>
          <w:sz w:val="24"/>
        </w:rPr>
        <w:tab/>
      </w:r>
      <w:r>
        <w:rPr>
          <w:rFonts w:ascii="Times New Roman" w:hAnsi="Times New Roman" w:cs="Times New Roman" w:eastAsiaTheme="minorEastAsia"/>
          <w:sz w:val="24"/>
        </w:rPr>
        <w:t>3</w:t>
      </w:r>
      <w:r>
        <w:rPr>
          <w:rFonts w:ascii="Times New Roman" w:hAnsi="Times New Roman" w:cs="Times New Roman" w:eastAsiaTheme="minorEastAsia"/>
          <w:sz w:val="24"/>
        </w:rPr>
        <w:fldChar w:fldCharType="end"/>
      </w:r>
    </w:p>
    <w:p w14:paraId="526E3AB6">
      <w:pPr>
        <w:pStyle w:val="28"/>
        <w:rPr>
          <w:rFonts w:ascii="Times New Roman" w:hAnsi="Times New Roman" w:cs="Times New Roman" w:eastAsiaTheme="minorEastAsia"/>
          <w:spacing w:val="0"/>
          <w:sz w:val="24"/>
        </w:rPr>
      </w:pPr>
      <w:r>
        <w:fldChar w:fldCharType="begin"/>
      </w:r>
      <w:r>
        <w:instrText xml:space="preserve"> HYPERLINK \l "_Toc151063366" </w:instrText>
      </w:r>
      <w:r>
        <w:fldChar w:fldCharType="separate"/>
      </w:r>
      <w:r>
        <w:rPr>
          <w:rStyle w:val="39"/>
          <w:rFonts w:ascii="Times New Roman" w:hAnsi="Times New Roman" w:cs="Times New Roman" w:eastAsiaTheme="minorEastAsia"/>
          <w:sz w:val="24"/>
        </w:rPr>
        <w:t>3.2  Fire safety evaluation</w:t>
      </w:r>
      <w:r>
        <w:rPr>
          <w:rFonts w:ascii="Times New Roman" w:hAnsi="Times New Roman" w:cs="Times New Roman" w:eastAsiaTheme="minorEastAsia"/>
          <w:sz w:val="24"/>
        </w:rPr>
        <w:tab/>
      </w:r>
      <w:r>
        <w:rPr>
          <w:rFonts w:ascii="Times New Roman" w:hAnsi="Times New Roman" w:cs="Times New Roman" w:eastAsiaTheme="minorEastAsia"/>
          <w:sz w:val="24"/>
        </w:rPr>
        <w:t>6</w:t>
      </w:r>
      <w:r>
        <w:rPr>
          <w:rFonts w:ascii="Times New Roman" w:hAnsi="Times New Roman" w:cs="Times New Roman" w:eastAsiaTheme="minorEastAsia"/>
          <w:sz w:val="24"/>
        </w:rPr>
        <w:fldChar w:fldCharType="end"/>
      </w:r>
    </w:p>
    <w:p w14:paraId="5377DB6D">
      <w:pPr>
        <w:pStyle w:val="28"/>
        <w:rPr>
          <w:rFonts w:ascii="Times New Roman" w:hAnsi="Times New Roman" w:cs="Times New Roman" w:eastAsiaTheme="minorEastAsia"/>
          <w:spacing w:val="0"/>
          <w:sz w:val="24"/>
        </w:rPr>
      </w:pPr>
      <w:r>
        <w:fldChar w:fldCharType="begin"/>
      </w:r>
      <w:r>
        <w:instrText xml:space="preserve"> HYPERLINK \l "_Toc151063367" </w:instrText>
      </w:r>
      <w:r>
        <w:fldChar w:fldCharType="separate"/>
      </w:r>
      <w:r>
        <w:rPr>
          <w:rStyle w:val="39"/>
          <w:rFonts w:ascii="Times New Roman" w:hAnsi="Times New Roman" w:cs="Times New Roman" w:eastAsiaTheme="minorEastAsia"/>
          <w:sz w:val="24"/>
        </w:rPr>
        <w:t>4  Architectural design</w:t>
      </w:r>
      <w:r>
        <w:rPr>
          <w:rFonts w:ascii="Times New Roman" w:hAnsi="Times New Roman" w:cs="Times New Roman" w:eastAsiaTheme="minorEastAsia"/>
          <w:sz w:val="24"/>
        </w:rPr>
        <w:tab/>
      </w:r>
      <w:r>
        <w:rPr>
          <w:rFonts w:ascii="Times New Roman" w:hAnsi="Times New Roman" w:cs="Times New Roman" w:eastAsiaTheme="minorEastAsia"/>
          <w:sz w:val="24"/>
        </w:rPr>
        <w:t>7</w:t>
      </w:r>
      <w:r>
        <w:rPr>
          <w:rFonts w:ascii="Times New Roman" w:hAnsi="Times New Roman" w:cs="Times New Roman" w:eastAsiaTheme="minorEastAsia"/>
          <w:sz w:val="24"/>
        </w:rPr>
        <w:fldChar w:fldCharType="end"/>
      </w:r>
    </w:p>
    <w:p w14:paraId="6C4C4CAE">
      <w:pPr>
        <w:pStyle w:val="28"/>
        <w:rPr>
          <w:rFonts w:ascii="Times New Roman" w:hAnsi="Times New Roman" w:cs="Times New Roman" w:eastAsiaTheme="minorEastAsia"/>
          <w:spacing w:val="0"/>
          <w:sz w:val="24"/>
        </w:rPr>
      </w:pPr>
      <w:r>
        <w:fldChar w:fldCharType="begin"/>
      </w:r>
      <w:r>
        <w:instrText xml:space="preserve"> HYPERLINK \l "_Toc151063368" </w:instrText>
      </w:r>
      <w:r>
        <w:fldChar w:fldCharType="separate"/>
      </w:r>
      <w:r>
        <w:rPr>
          <w:rStyle w:val="39"/>
          <w:rFonts w:ascii="Times New Roman" w:hAnsi="Times New Roman" w:cs="Times New Roman" w:eastAsiaTheme="minorEastAsia"/>
          <w:sz w:val="24"/>
        </w:rPr>
        <w:t>4.1  General layout</w:t>
      </w:r>
      <w:r>
        <w:rPr>
          <w:rFonts w:ascii="Times New Roman" w:hAnsi="Times New Roman" w:cs="Times New Roman" w:eastAsiaTheme="minorEastAsia"/>
          <w:sz w:val="24"/>
        </w:rPr>
        <w:tab/>
      </w:r>
      <w:r>
        <w:rPr>
          <w:rFonts w:ascii="Times New Roman" w:hAnsi="Times New Roman" w:cs="Times New Roman" w:eastAsiaTheme="minorEastAsia"/>
          <w:sz w:val="24"/>
        </w:rPr>
        <w:t>7</w:t>
      </w:r>
      <w:r>
        <w:rPr>
          <w:rFonts w:ascii="Times New Roman" w:hAnsi="Times New Roman" w:cs="Times New Roman" w:eastAsiaTheme="minorEastAsia"/>
          <w:sz w:val="24"/>
        </w:rPr>
        <w:fldChar w:fldCharType="end"/>
      </w:r>
    </w:p>
    <w:p w14:paraId="6371CD82">
      <w:pPr>
        <w:pStyle w:val="28"/>
        <w:rPr>
          <w:rFonts w:ascii="Times New Roman" w:hAnsi="Times New Roman" w:cs="Times New Roman" w:eastAsiaTheme="minorEastAsia"/>
          <w:spacing w:val="0"/>
          <w:sz w:val="24"/>
        </w:rPr>
      </w:pPr>
      <w:r>
        <w:fldChar w:fldCharType="begin"/>
      </w:r>
      <w:r>
        <w:instrText xml:space="preserve"> HYPERLINK \l "_Toc151063369" </w:instrText>
      </w:r>
      <w:r>
        <w:fldChar w:fldCharType="separate"/>
      </w:r>
      <w:r>
        <w:rPr>
          <w:rStyle w:val="39"/>
          <w:rFonts w:ascii="Times New Roman" w:hAnsi="Times New Roman" w:cs="Times New Roman" w:eastAsiaTheme="minorEastAsia"/>
          <w:sz w:val="24"/>
        </w:rPr>
        <w:t>4.2  Fire compartment and general layout</w:t>
      </w:r>
      <w:r>
        <w:rPr>
          <w:rFonts w:ascii="Times New Roman" w:hAnsi="Times New Roman" w:cs="Times New Roman" w:eastAsiaTheme="minorEastAsia"/>
          <w:sz w:val="24"/>
        </w:rPr>
        <w:tab/>
      </w:r>
      <w:r>
        <w:rPr>
          <w:rFonts w:ascii="Times New Roman" w:hAnsi="Times New Roman" w:cs="Times New Roman" w:eastAsiaTheme="minorEastAsia"/>
          <w:sz w:val="24"/>
        </w:rPr>
        <w:t>7</w:t>
      </w:r>
      <w:r>
        <w:rPr>
          <w:rFonts w:ascii="Times New Roman" w:hAnsi="Times New Roman" w:cs="Times New Roman" w:eastAsiaTheme="minorEastAsia"/>
          <w:sz w:val="24"/>
        </w:rPr>
        <w:fldChar w:fldCharType="end"/>
      </w:r>
    </w:p>
    <w:p w14:paraId="517C89D1">
      <w:pPr>
        <w:pStyle w:val="28"/>
        <w:rPr>
          <w:rFonts w:ascii="Times New Roman" w:hAnsi="Times New Roman" w:cs="Times New Roman" w:eastAsiaTheme="minorEastAsia"/>
          <w:spacing w:val="0"/>
          <w:sz w:val="24"/>
        </w:rPr>
      </w:pPr>
      <w:r>
        <w:fldChar w:fldCharType="begin"/>
      </w:r>
      <w:r>
        <w:instrText xml:space="preserve"> HYPERLINK \l "_Toc151063370" </w:instrText>
      </w:r>
      <w:r>
        <w:fldChar w:fldCharType="separate"/>
      </w:r>
      <w:r>
        <w:rPr>
          <w:rStyle w:val="39"/>
          <w:rFonts w:ascii="Times New Roman" w:hAnsi="Times New Roman" w:cs="Times New Roman" w:eastAsiaTheme="minorEastAsia"/>
          <w:sz w:val="24"/>
        </w:rPr>
        <w:t>4.3  Safe evacuation and refuge</w:t>
      </w:r>
      <w:r>
        <w:rPr>
          <w:rFonts w:ascii="Times New Roman" w:hAnsi="Times New Roman" w:cs="Times New Roman" w:eastAsiaTheme="minorEastAsia"/>
          <w:sz w:val="24"/>
        </w:rPr>
        <w:tab/>
      </w:r>
      <w:r>
        <w:rPr>
          <w:rFonts w:ascii="Times New Roman" w:hAnsi="Times New Roman" w:cs="Times New Roman" w:eastAsiaTheme="minorEastAsia"/>
          <w:sz w:val="24"/>
        </w:rPr>
        <w:t>9</w:t>
      </w:r>
      <w:r>
        <w:rPr>
          <w:rFonts w:ascii="Times New Roman" w:hAnsi="Times New Roman" w:cs="Times New Roman" w:eastAsiaTheme="minorEastAsia"/>
          <w:sz w:val="24"/>
        </w:rPr>
        <w:fldChar w:fldCharType="end"/>
      </w:r>
    </w:p>
    <w:p w14:paraId="03EDCEBE">
      <w:pPr>
        <w:pStyle w:val="28"/>
        <w:rPr>
          <w:rFonts w:ascii="Times New Roman" w:hAnsi="Times New Roman" w:cs="Times New Roman" w:eastAsiaTheme="minorEastAsia"/>
          <w:spacing w:val="0"/>
          <w:sz w:val="24"/>
        </w:rPr>
      </w:pPr>
      <w:r>
        <w:fldChar w:fldCharType="begin"/>
      </w:r>
      <w:r>
        <w:instrText xml:space="preserve"> HYPERLINK \l "_Toc151063371" </w:instrText>
      </w:r>
      <w:r>
        <w:fldChar w:fldCharType="separate"/>
      </w:r>
      <w:r>
        <w:rPr>
          <w:rStyle w:val="39"/>
          <w:rFonts w:ascii="Times New Roman" w:hAnsi="Times New Roman" w:cs="Times New Roman" w:eastAsiaTheme="minorEastAsia"/>
          <w:sz w:val="24"/>
        </w:rPr>
        <w:t>4.4  Fire protection and construction of building structures</w:t>
      </w:r>
      <w:r>
        <w:rPr>
          <w:rFonts w:ascii="Times New Roman" w:hAnsi="Times New Roman" w:cs="Times New Roman" w:eastAsiaTheme="minorEastAsia"/>
          <w:sz w:val="24"/>
        </w:rPr>
        <w:tab/>
      </w:r>
      <w:r>
        <w:rPr>
          <w:rFonts w:ascii="Times New Roman" w:hAnsi="Times New Roman" w:cs="Times New Roman" w:eastAsiaTheme="minorEastAsia"/>
          <w:sz w:val="24"/>
        </w:rPr>
        <w:t>11</w:t>
      </w:r>
      <w:r>
        <w:rPr>
          <w:rFonts w:ascii="Times New Roman" w:hAnsi="Times New Roman" w:cs="Times New Roman" w:eastAsiaTheme="minorEastAsia"/>
          <w:sz w:val="24"/>
        </w:rPr>
        <w:fldChar w:fldCharType="end"/>
      </w:r>
    </w:p>
    <w:p w14:paraId="4FBD1995">
      <w:pPr>
        <w:pStyle w:val="28"/>
        <w:rPr>
          <w:rFonts w:ascii="Times New Roman" w:hAnsi="Times New Roman" w:cs="Times New Roman" w:eastAsiaTheme="minorEastAsia"/>
          <w:spacing w:val="0"/>
          <w:sz w:val="24"/>
        </w:rPr>
      </w:pPr>
      <w:r>
        <w:fldChar w:fldCharType="begin"/>
      </w:r>
      <w:r>
        <w:instrText xml:space="preserve"> HYPERLINK \l "_Toc151063372" </w:instrText>
      </w:r>
      <w:r>
        <w:fldChar w:fldCharType="separate"/>
      </w:r>
      <w:r>
        <w:rPr>
          <w:rStyle w:val="39"/>
          <w:rFonts w:ascii="Times New Roman" w:hAnsi="Times New Roman" w:cs="Times New Roman" w:eastAsiaTheme="minorEastAsia"/>
          <w:sz w:val="24"/>
        </w:rPr>
        <w:t>4.5  Fire fighting and rescue facilities</w:t>
      </w:r>
      <w:r>
        <w:rPr>
          <w:rFonts w:ascii="Times New Roman" w:hAnsi="Times New Roman" w:cs="Times New Roman" w:eastAsiaTheme="minorEastAsia"/>
          <w:sz w:val="24"/>
        </w:rPr>
        <w:tab/>
      </w:r>
      <w:r>
        <w:rPr>
          <w:rFonts w:ascii="Times New Roman" w:hAnsi="Times New Roman" w:cs="Times New Roman" w:eastAsiaTheme="minorEastAsia"/>
          <w:sz w:val="24"/>
        </w:rPr>
        <w:t>12</w:t>
      </w:r>
      <w:r>
        <w:rPr>
          <w:rFonts w:ascii="Times New Roman" w:hAnsi="Times New Roman" w:cs="Times New Roman" w:eastAsiaTheme="minorEastAsia"/>
          <w:sz w:val="24"/>
        </w:rPr>
        <w:fldChar w:fldCharType="end"/>
      </w:r>
    </w:p>
    <w:p w14:paraId="6CF5B558">
      <w:pPr>
        <w:pStyle w:val="28"/>
        <w:rPr>
          <w:rFonts w:ascii="Times New Roman" w:hAnsi="Times New Roman" w:cs="Times New Roman" w:eastAsiaTheme="minorEastAsia"/>
          <w:spacing w:val="0"/>
          <w:sz w:val="24"/>
        </w:rPr>
      </w:pPr>
      <w:r>
        <w:fldChar w:fldCharType="begin"/>
      </w:r>
      <w:r>
        <w:instrText xml:space="preserve"> HYPERLINK \l "_Toc151063373" </w:instrText>
      </w:r>
      <w:r>
        <w:fldChar w:fldCharType="separate"/>
      </w:r>
      <w:r>
        <w:rPr>
          <w:rStyle w:val="39"/>
          <w:rFonts w:ascii="Times New Roman" w:hAnsi="Times New Roman" w:cs="Times New Roman" w:eastAsiaTheme="minorEastAsia"/>
          <w:sz w:val="24"/>
        </w:rPr>
        <w:t>5  Fire facilities</w:t>
      </w:r>
      <w:r>
        <w:rPr>
          <w:rFonts w:ascii="Times New Roman" w:hAnsi="Times New Roman" w:cs="Times New Roman" w:eastAsiaTheme="minorEastAsia"/>
          <w:sz w:val="24"/>
        </w:rPr>
        <w:tab/>
      </w:r>
      <w:r>
        <w:rPr>
          <w:rFonts w:ascii="Times New Roman" w:hAnsi="Times New Roman" w:cs="Times New Roman" w:eastAsiaTheme="minorEastAsia"/>
          <w:sz w:val="24"/>
        </w:rPr>
        <w:t>14</w:t>
      </w:r>
      <w:r>
        <w:rPr>
          <w:rFonts w:ascii="Times New Roman" w:hAnsi="Times New Roman" w:cs="Times New Roman" w:eastAsiaTheme="minorEastAsia"/>
          <w:sz w:val="24"/>
        </w:rPr>
        <w:fldChar w:fldCharType="end"/>
      </w:r>
    </w:p>
    <w:p w14:paraId="6F2CCF3F">
      <w:pPr>
        <w:pStyle w:val="28"/>
        <w:rPr>
          <w:rFonts w:ascii="Times New Roman" w:hAnsi="Times New Roman" w:cs="Times New Roman" w:eastAsiaTheme="minorEastAsia"/>
          <w:spacing w:val="0"/>
          <w:sz w:val="24"/>
        </w:rPr>
      </w:pPr>
      <w:r>
        <w:fldChar w:fldCharType="begin"/>
      </w:r>
      <w:r>
        <w:instrText xml:space="preserve"> HYPERLINK \l "_Toc151063374" </w:instrText>
      </w:r>
      <w:r>
        <w:fldChar w:fldCharType="separate"/>
      </w:r>
      <w:r>
        <w:rPr>
          <w:rStyle w:val="39"/>
          <w:rFonts w:ascii="Times New Roman" w:hAnsi="Times New Roman" w:cs="Times New Roman" w:eastAsiaTheme="minorEastAsia"/>
          <w:sz w:val="24"/>
        </w:rPr>
        <w:t>5.1  Fire water volume and fire water pool</w:t>
      </w:r>
      <w:r>
        <w:rPr>
          <w:rFonts w:ascii="Times New Roman" w:hAnsi="Times New Roman" w:cs="Times New Roman" w:eastAsiaTheme="minorEastAsia"/>
          <w:sz w:val="24"/>
        </w:rPr>
        <w:tab/>
      </w:r>
      <w:r>
        <w:rPr>
          <w:rFonts w:ascii="Times New Roman" w:hAnsi="Times New Roman" w:cs="Times New Roman" w:eastAsiaTheme="minorEastAsia"/>
          <w:sz w:val="24"/>
        </w:rPr>
        <w:t>14</w:t>
      </w:r>
      <w:r>
        <w:rPr>
          <w:rFonts w:ascii="Times New Roman" w:hAnsi="Times New Roman" w:cs="Times New Roman" w:eastAsiaTheme="minorEastAsia"/>
          <w:sz w:val="24"/>
        </w:rPr>
        <w:fldChar w:fldCharType="end"/>
      </w:r>
    </w:p>
    <w:p w14:paraId="22436F06">
      <w:pPr>
        <w:pStyle w:val="28"/>
        <w:rPr>
          <w:rFonts w:ascii="Times New Roman" w:hAnsi="Times New Roman" w:cs="Times New Roman" w:eastAsiaTheme="minorEastAsia"/>
          <w:spacing w:val="0"/>
          <w:sz w:val="24"/>
        </w:rPr>
      </w:pPr>
      <w:r>
        <w:fldChar w:fldCharType="begin"/>
      </w:r>
      <w:r>
        <w:instrText xml:space="preserve"> HYPERLINK \l "_Toc151063375" </w:instrText>
      </w:r>
      <w:r>
        <w:fldChar w:fldCharType="separate"/>
      </w:r>
      <w:r>
        <w:rPr>
          <w:rStyle w:val="39"/>
          <w:rFonts w:ascii="Times New Roman" w:hAnsi="Times New Roman" w:cs="Times New Roman" w:eastAsiaTheme="minorEastAsia"/>
          <w:sz w:val="24"/>
        </w:rPr>
        <w:t>5.2  Fire water supply facilities</w:t>
      </w:r>
      <w:r>
        <w:rPr>
          <w:rFonts w:ascii="Times New Roman" w:hAnsi="Times New Roman" w:cs="Times New Roman" w:eastAsiaTheme="minorEastAsia"/>
          <w:sz w:val="24"/>
        </w:rPr>
        <w:tab/>
      </w:r>
      <w:r>
        <w:rPr>
          <w:rFonts w:ascii="Times New Roman" w:hAnsi="Times New Roman" w:cs="Times New Roman" w:eastAsiaTheme="minorEastAsia"/>
          <w:sz w:val="24"/>
        </w:rPr>
        <w:t>15</w:t>
      </w:r>
      <w:r>
        <w:rPr>
          <w:rFonts w:ascii="Times New Roman" w:hAnsi="Times New Roman" w:cs="Times New Roman" w:eastAsiaTheme="minorEastAsia"/>
          <w:sz w:val="24"/>
        </w:rPr>
        <w:fldChar w:fldCharType="end"/>
      </w:r>
    </w:p>
    <w:p w14:paraId="47A5263C">
      <w:pPr>
        <w:pStyle w:val="28"/>
        <w:rPr>
          <w:rFonts w:ascii="Times New Roman" w:hAnsi="Times New Roman" w:cs="Times New Roman" w:eastAsiaTheme="minorEastAsia"/>
          <w:spacing w:val="0"/>
          <w:sz w:val="24"/>
        </w:rPr>
      </w:pPr>
      <w:r>
        <w:fldChar w:fldCharType="begin"/>
      </w:r>
      <w:r>
        <w:instrText xml:space="preserve"> HYPERLINK \l "_Toc151063376" </w:instrText>
      </w:r>
      <w:r>
        <w:fldChar w:fldCharType="separate"/>
      </w:r>
      <w:r>
        <w:rPr>
          <w:rStyle w:val="39"/>
          <w:rFonts w:ascii="Times New Roman" w:hAnsi="Times New Roman" w:cs="Times New Roman" w:eastAsiaTheme="minorEastAsia"/>
          <w:sz w:val="24"/>
        </w:rPr>
        <w:t>5.3  Indoor fire hydrant system</w:t>
      </w:r>
      <w:r>
        <w:rPr>
          <w:rFonts w:ascii="Times New Roman" w:hAnsi="Times New Roman" w:cs="Times New Roman" w:eastAsiaTheme="minorEastAsia"/>
          <w:sz w:val="24"/>
        </w:rPr>
        <w:tab/>
      </w:r>
      <w:r>
        <w:rPr>
          <w:rFonts w:ascii="Times New Roman" w:hAnsi="Times New Roman" w:cs="Times New Roman" w:eastAsiaTheme="minorEastAsia"/>
          <w:sz w:val="24"/>
        </w:rPr>
        <w:t>16</w:t>
      </w:r>
      <w:r>
        <w:rPr>
          <w:rFonts w:ascii="Times New Roman" w:hAnsi="Times New Roman" w:cs="Times New Roman" w:eastAsiaTheme="minorEastAsia"/>
          <w:sz w:val="24"/>
        </w:rPr>
        <w:fldChar w:fldCharType="end"/>
      </w:r>
    </w:p>
    <w:p w14:paraId="42D790C0">
      <w:pPr>
        <w:pStyle w:val="28"/>
        <w:rPr>
          <w:rFonts w:ascii="Times New Roman" w:hAnsi="Times New Roman" w:cs="Times New Roman" w:eastAsiaTheme="minorEastAsia"/>
          <w:spacing w:val="0"/>
          <w:sz w:val="24"/>
        </w:rPr>
      </w:pPr>
      <w:r>
        <w:fldChar w:fldCharType="begin"/>
      </w:r>
      <w:r>
        <w:instrText xml:space="preserve"> HYPERLINK \l "_Toc151063377" </w:instrText>
      </w:r>
      <w:r>
        <w:fldChar w:fldCharType="separate"/>
      </w:r>
      <w:r>
        <w:rPr>
          <w:rStyle w:val="39"/>
          <w:rFonts w:ascii="Times New Roman" w:hAnsi="Times New Roman" w:cs="Times New Roman" w:eastAsiaTheme="minorEastAsia"/>
          <w:sz w:val="24"/>
        </w:rPr>
        <w:t>5.4  Automatic fire extinguishing system</w:t>
      </w:r>
      <w:r>
        <w:rPr>
          <w:rFonts w:ascii="Times New Roman" w:hAnsi="Times New Roman" w:cs="Times New Roman" w:eastAsiaTheme="minorEastAsia"/>
          <w:sz w:val="24"/>
        </w:rPr>
        <w:tab/>
      </w:r>
      <w:r>
        <w:rPr>
          <w:rFonts w:ascii="Times New Roman" w:hAnsi="Times New Roman" w:cs="Times New Roman" w:eastAsiaTheme="minorEastAsia"/>
          <w:sz w:val="24"/>
        </w:rPr>
        <w:t>16</w:t>
      </w:r>
      <w:r>
        <w:rPr>
          <w:rFonts w:ascii="Times New Roman" w:hAnsi="Times New Roman" w:cs="Times New Roman" w:eastAsiaTheme="minorEastAsia"/>
          <w:sz w:val="24"/>
        </w:rPr>
        <w:fldChar w:fldCharType="end"/>
      </w:r>
    </w:p>
    <w:p w14:paraId="274D63FD">
      <w:pPr>
        <w:pStyle w:val="28"/>
        <w:rPr>
          <w:rFonts w:ascii="Times New Roman" w:hAnsi="Times New Roman" w:cs="Times New Roman" w:eastAsiaTheme="minorEastAsia"/>
          <w:spacing w:val="0"/>
          <w:sz w:val="24"/>
        </w:rPr>
      </w:pPr>
      <w:r>
        <w:fldChar w:fldCharType="begin"/>
      </w:r>
      <w:r>
        <w:instrText xml:space="preserve"> HYPERLINK \l "_Toc151063378" </w:instrText>
      </w:r>
      <w:r>
        <w:fldChar w:fldCharType="separate"/>
      </w:r>
      <w:r>
        <w:rPr>
          <w:rStyle w:val="39"/>
          <w:rFonts w:ascii="Times New Roman" w:hAnsi="Times New Roman" w:cs="Times New Roman" w:eastAsiaTheme="minorEastAsia"/>
          <w:sz w:val="24"/>
        </w:rPr>
        <w:t>5.5  Smoke control and</w:t>
      </w:r>
      <w:r>
        <w:rPr>
          <w:rFonts w:ascii="Times New Roman" w:hAnsi="Times New Roman" w:cs="Times New Roman"/>
          <w:sz w:val="24"/>
        </w:rPr>
        <w:t xml:space="preserve"> </w:t>
      </w:r>
      <w:r>
        <w:rPr>
          <w:rStyle w:val="39"/>
          <w:rFonts w:ascii="Times New Roman" w:hAnsi="Times New Roman" w:cs="Times New Roman" w:eastAsiaTheme="minorEastAsia"/>
          <w:sz w:val="24"/>
        </w:rPr>
        <w:t>prevention exhaust system</w:t>
      </w:r>
      <w:r>
        <w:rPr>
          <w:rFonts w:ascii="Times New Roman" w:hAnsi="Times New Roman" w:cs="Times New Roman" w:eastAsiaTheme="minorEastAsia"/>
          <w:sz w:val="24"/>
        </w:rPr>
        <w:tab/>
      </w:r>
      <w:r>
        <w:rPr>
          <w:rFonts w:ascii="Times New Roman" w:hAnsi="Times New Roman" w:cs="Times New Roman" w:eastAsiaTheme="minorEastAsia"/>
          <w:sz w:val="24"/>
        </w:rPr>
        <w:t>17</w:t>
      </w:r>
      <w:r>
        <w:rPr>
          <w:rFonts w:ascii="Times New Roman" w:hAnsi="Times New Roman" w:cs="Times New Roman" w:eastAsiaTheme="minorEastAsia"/>
          <w:sz w:val="24"/>
        </w:rPr>
        <w:fldChar w:fldCharType="end"/>
      </w:r>
    </w:p>
    <w:p w14:paraId="3295F392">
      <w:pPr>
        <w:pStyle w:val="28"/>
        <w:rPr>
          <w:rFonts w:ascii="Times New Roman" w:hAnsi="Times New Roman" w:cs="Times New Roman" w:eastAsiaTheme="minorEastAsia"/>
          <w:spacing w:val="0"/>
          <w:sz w:val="24"/>
        </w:rPr>
      </w:pPr>
      <w:r>
        <w:fldChar w:fldCharType="begin"/>
      </w:r>
      <w:r>
        <w:instrText xml:space="preserve"> HYPERLINK \l "_Toc151063379" </w:instrText>
      </w:r>
      <w:r>
        <w:fldChar w:fldCharType="separate"/>
      </w:r>
      <w:r>
        <w:rPr>
          <w:rStyle w:val="39"/>
          <w:rFonts w:ascii="Times New Roman" w:hAnsi="Times New Roman" w:cs="Times New Roman" w:eastAsiaTheme="minorEastAsia"/>
          <w:sz w:val="24"/>
        </w:rPr>
        <w:t>5.6  Automatic fire alarm system</w:t>
      </w:r>
      <w:r>
        <w:rPr>
          <w:rFonts w:ascii="Times New Roman" w:hAnsi="Times New Roman" w:cs="Times New Roman" w:eastAsiaTheme="minorEastAsia"/>
          <w:sz w:val="24"/>
        </w:rPr>
        <w:tab/>
      </w:r>
      <w:r>
        <w:rPr>
          <w:rFonts w:ascii="Times New Roman" w:hAnsi="Times New Roman" w:cs="Times New Roman" w:eastAsiaTheme="minorEastAsia"/>
          <w:sz w:val="24"/>
        </w:rPr>
        <w:t>19</w:t>
      </w:r>
      <w:r>
        <w:rPr>
          <w:rFonts w:ascii="Times New Roman" w:hAnsi="Times New Roman" w:cs="Times New Roman" w:eastAsiaTheme="minorEastAsia"/>
          <w:sz w:val="24"/>
        </w:rPr>
        <w:fldChar w:fldCharType="end"/>
      </w:r>
    </w:p>
    <w:p w14:paraId="02005455">
      <w:pPr>
        <w:pStyle w:val="28"/>
        <w:rPr>
          <w:rFonts w:ascii="Times New Roman" w:hAnsi="Times New Roman" w:cs="Times New Roman" w:eastAsiaTheme="minorEastAsia"/>
          <w:spacing w:val="0"/>
          <w:sz w:val="24"/>
        </w:rPr>
      </w:pPr>
      <w:r>
        <w:fldChar w:fldCharType="begin"/>
      </w:r>
      <w:r>
        <w:instrText xml:space="preserve"> HYPERLINK \l "_Toc151063380" </w:instrText>
      </w:r>
      <w:r>
        <w:fldChar w:fldCharType="separate"/>
      </w:r>
      <w:r>
        <w:rPr>
          <w:rStyle w:val="39"/>
          <w:rFonts w:ascii="Times New Roman" w:hAnsi="Times New Roman" w:cs="Times New Roman" w:eastAsiaTheme="minorEastAsia"/>
          <w:sz w:val="24"/>
        </w:rPr>
        <w:t>6  Fire electrical</w:t>
      </w:r>
      <w:r>
        <w:rPr>
          <w:rFonts w:ascii="Times New Roman" w:hAnsi="Times New Roman" w:cs="Times New Roman" w:eastAsiaTheme="minorEastAsia"/>
          <w:sz w:val="24"/>
        </w:rPr>
        <w:tab/>
      </w:r>
      <w:r>
        <w:rPr>
          <w:rFonts w:ascii="Times New Roman" w:hAnsi="Times New Roman" w:cs="Times New Roman" w:eastAsiaTheme="minorEastAsia"/>
          <w:sz w:val="24"/>
        </w:rPr>
        <w:t>20</w:t>
      </w:r>
      <w:r>
        <w:rPr>
          <w:rFonts w:ascii="Times New Roman" w:hAnsi="Times New Roman" w:cs="Times New Roman" w:eastAsiaTheme="minorEastAsia"/>
          <w:sz w:val="24"/>
        </w:rPr>
        <w:fldChar w:fldCharType="end"/>
      </w:r>
    </w:p>
    <w:p w14:paraId="4114AC98">
      <w:pPr>
        <w:pStyle w:val="28"/>
        <w:rPr>
          <w:rFonts w:ascii="Times New Roman" w:hAnsi="Times New Roman" w:cs="Times New Roman" w:eastAsiaTheme="minorEastAsia"/>
          <w:spacing w:val="0"/>
          <w:sz w:val="24"/>
        </w:rPr>
      </w:pPr>
      <w:r>
        <w:fldChar w:fldCharType="begin"/>
      </w:r>
      <w:r>
        <w:instrText xml:space="preserve"> HYPERLINK \l "_Toc151063381" </w:instrText>
      </w:r>
      <w:r>
        <w:fldChar w:fldCharType="separate"/>
      </w:r>
      <w:r>
        <w:rPr>
          <w:rStyle w:val="39"/>
          <w:rFonts w:ascii="Times New Roman" w:hAnsi="Times New Roman" w:cs="Times New Roman" w:eastAsiaTheme="minorEastAsia"/>
          <w:sz w:val="24"/>
        </w:rPr>
        <w:t>6.1  Fire power supply and distribution</w:t>
      </w:r>
      <w:r>
        <w:rPr>
          <w:rFonts w:ascii="Times New Roman" w:hAnsi="Times New Roman" w:cs="Times New Roman" w:eastAsiaTheme="minorEastAsia"/>
          <w:sz w:val="24"/>
        </w:rPr>
        <w:tab/>
      </w:r>
      <w:r>
        <w:rPr>
          <w:rFonts w:ascii="Times New Roman" w:hAnsi="Times New Roman" w:cs="Times New Roman" w:eastAsiaTheme="minorEastAsia"/>
          <w:sz w:val="24"/>
        </w:rPr>
        <w:t>20</w:t>
      </w:r>
      <w:r>
        <w:rPr>
          <w:rFonts w:ascii="Times New Roman" w:hAnsi="Times New Roman" w:cs="Times New Roman" w:eastAsiaTheme="minorEastAsia"/>
          <w:sz w:val="24"/>
        </w:rPr>
        <w:fldChar w:fldCharType="end"/>
      </w:r>
    </w:p>
    <w:p w14:paraId="3A50851E">
      <w:pPr>
        <w:pStyle w:val="28"/>
        <w:rPr>
          <w:rFonts w:ascii="Times New Roman" w:hAnsi="Times New Roman" w:cs="Times New Roman" w:eastAsiaTheme="minorEastAsia"/>
          <w:spacing w:val="0"/>
          <w:sz w:val="24"/>
        </w:rPr>
      </w:pPr>
      <w:r>
        <w:fldChar w:fldCharType="begin"/>
      </w:r>
      <w:r>
        <w:instrText xml:space="preserve"> HYPERLINK \l "_Toc151063382" </w:instrText>
      </w:r>
      <w:r>
        <w:fldChar w:fldCharType="separate"/>
      </w:r>
      <w:r>
        <w:rPr>
          <w:rStyle w:val="39"/>
          <w:rFonts w:ascii="Times New Roman" w:hAnsi="Times New Roman" w:cs="Times New Roman" w:eastAsiaTheme="minorEastAsia"/>
          <w:sz w:val="24"/>
        </w:rPr>
        <w:t>6.2  Fire emergency lighting and evacuation indication system</w:t>
      </w:r>
      <w:r>
        <w:rPr>
          <w:rFonts w:ascii="Times New Roman" w:hAnsi="Times New Roman" w:cs="Times New Roman" w:eastAsiaTheme="minorEastAsia"/>
          <w:sz w:val="24"/>
        </w:rPr>
        <w:tab/>
      </w:r>
      <w:r>
        <w:rPr>
          <w:rFonts w:ascii="Times New Roman" w:hAnsi="Times New Roman" w:cs="Times New Roman" w:eastAsiaTheme="minorEastAsia"/>
          <w:sz w:val="24"/>
        </w:rPr>
        <w:t>20</w:t>
      </w:r>
      <w:r>
        <w:rPr>
          <w:rFonts w:ascii="Times New Roman" w:hAnsi="Times New Roman" w:cs="Times New Roman" w:eastAsiaTheme="minorEastAsia"/>
          <w:sz w:val="24"/>
        </w:rPr>
        <w:fldChar w:fldCharType="end"/>
      </w:r>
    </w:p>
    <w:p w14:paraId="672DED77">
      <w:pPr>
        <w:pStyle w:val="28"/>
        <w:rPr>
          <w:rFonts w:ascii="Times New Roman" w:hAnsi="Times New Roman" w:cs="Times New Roman" w:eastAsiaTheme="minorEastAsia"/>
          <w:spacing w:val="0"/>
          <w:sz w:val="24"/>
        </w:rPr>
      </w:pPr>
      <w:r>
        <w:fldChar w:fldCharType="begin"/>
      </w:r>
      <w:r>
        <w:instrText xml:space="preserve"> HYPERLINK \l "_Toc151063383" </w:instrText>
      </w:r>
      <w:r>
        <w:fldChar w:fldCharType="separate"/>
      </w:r>
      <w:r>
        <w:rPr>
          <w:rStyle w:val="39"/>
          <w:rFonts w:ascii="Times New Roman" w:hAnsi="Times New Roman" w:cs="Times New Roman" w:eastAsiaTheme="minorEastAsia"/>
          <w:sz w:val="24"/>
        </w:rPr>
        <w:t>6.3  Non fire electrical wiring</w:t>
      </w:r>
      <w:r>
        <w:rPr>
          <w:rFonts w:ascii="Times New Roman" w:hAnsi="Times New Roman" w:cs="Times New Roman" w:eastAsiaTheme="minorEastAsia"/>
          <w:sz w:val="24"/>
        </w:rPr>
        <w:tab/>
      </w:r>
      <w:r>
        <w:rPr>
          <w:rFonts w:ascii="Times New Roman" w:hAnsi="Times New Roman" w:cs="Times New Roman" w:eastAsiaTheme="minorEastAsia"/>
          <w:sz w:val="24"/>
        </w:rPr>
        <w:t>20</w:t>
      </w:r>
      <w:r>
        <w:rPr>
          <w:rFonts w:ascii="Times New Roman" w:hAnsi="Times New Roman" w:cs="Times New Roman" w:eastAsiaTheme="minorEastAsia"/>
          <w:sz w:val="24"/>
        </w:rPr>
        <w:fldChar w:fldCharType="end"/>
      </w:r>
    </w:p>
    <w:p w14:paraId="31FFBEEA">
      <w:pPr>
        <w:pStyle w:val="28"/>
        <w:rPr>
          <w:rFonts w:ascii="Times New Roman" w:hAnsi="Times New Roman" w:cs="Times New Roman" w:eastAsiaTheme="minorEastAsia"/>
          <w:spacing w:val="0"/>
          <w:sz w:val="24"/>
        </w:rPr>
      </w:pPr>
      <w:r>
        <w:fldChar w:fldCharType="begin"/>
      </w:r>
      <w:r>
        <w:instrText xml:space="preserve"> HYPERLINK \l "_Toc151063384" </w:instrText>
      </w:r>
      <w:r>
        <w:fldChar w:fldCharType="separate"/>
      </w:r>
      <w:r>
        <w:rPr>
          <w:rStyle w:val="39"/>
          <w:rFonts w:ascii="Times New Roman" w:hAnsi="Times New Roman" w:cs="Times New Roman" w:eastAsiaTheme="minorEastAsia"/>
          <w:sz w:val="24"/>
        </w:rPr>
        <w:t>7  Bungalow courtyard</w:t>
      </w:r>
      <w:r>
        <w:rPr>
          <w:rFonts w:ascii="Times New Roman" w:hAnsi="Times New Roman" w:cs="Times New Roman" w:eastAsiaTheme="minorEastAsia"/>
          <w:sz w:val="24"/>
        </w:rPr>
        <w:tab/>
      </w:r>
      <w:r>
        <w:rPr>
          <w:rFonts w:ascii="Times New Roman" w:hAnsi="Times New Roman" w:cs="Times New Roman" w:eastAsiaTheme="minorEastAsia"/>
          <w:sz w:val="24"/>
        </w:rPr>
        <w:t>22</w:t>
      </w:r>
      <w:r>
        <w:rPr>
          <w:rFonts w:ascii="Times New Roman" w:hAnsi="Times New Roman" w:cs="Times New Roman" w:eastAsiaTheme="minorEastAsia"/>
          <w:sz w:val="24"/>
        </w:rPr>
        <w:fldChar w:fldCharType="end"/>
      </w:r>
    </w:p>
    <w:p w14:paraId="20FC5691">
      <w:pPr>
        <w:pStyle w:val="28"/>
        <w:rPr>
          <w:rFonts w:ascii="Times New Roman" w:hAnsi="Times New Roman" w:cs="Times New Roman" w:eastAsiaTheme="minorEastAsia"/>
          <w:spacing w:val="0"/>
          <w:sz w:val="24"/>
        </w:rPr>
      </w:pPr>
      <w:r>
        <w:fldChar w:fldCharType="begin"/>
      </w:r>
      <w:r>
        <w:instrText xml:space="preserve"> HYPERLINK \l "_Toc151063385" </w:instrText>
      </w:r>
      <w:r>
        <w:fldChar w:fldCharType="separate"/>
      </w:r>
      <w:r>
        <w:rPr>
          <w:rStyle w:val="39"/>
          <w:rFonts w:ascii="Times New Roman" w:hAnsi="Times New Roman" w:cs="Times New Roman" w:eastAsiaTheme="minorEastAsia"/>
          <w:sz w:val="24"/>
        </w:rPr>
        <w:t>7.1  Cottage areas</w:t>
      </w:r>
      <w:r>
        <w:rPr>
          <w:rFonts w:ascii="Times New Roman" w:hAnsi="Times New Roman" w:cs="Times New Roman" w:eastAsiaTheme="minorEastAsia"/>
          <w:sz w:val="24"/>
        </w:rPr>
        <w:tab/>
      </w:r>
      <w:r>
        <w:rPr>
          <w:rFonts w:ascii="Times New Roman" w:hAnsi="Times New Roman" w:cs="Times New Roman" w:eastAsiaTheme="minorEastAsia"/>
          <w:sz w:val="24"/>
        </w:rPr>
        <w:t>22</w:t>
      </w:r>
      <w:r>
        <w:rPr>
          <w:rFonts w:ascii="Times New Roman" w:hAnsi="Times New Roman" w:cs="Times New Roman" w:eastAsiaTheme="minorEastAsia"/>
          <w:sz w:val="24"/>
        </w:rPr>
        <w:fldChar w:fldCharType="end"/>
      </w:r>
    </w:p>
    <w:p w14:paraId="4D539EC5">
      <w:pPr>
        <w:pStyle w:val="28"/>
        <w:rPr>
          <w:rFonts w:ascii="Times New Roman" w:hAnsi="Times New Roman" w:cs="Times New Roman" w:eastAsiaTheme="minorEastAsia"/>
          <w:spacing w:val="0"/>
          <w:sz w:val="24"/>
        </w:rPr>
      </w:pPr>
      <w:r>
        <w:fldChar w:fldCharType="begin"/>
      </w:r>
      <w:r>
        <w:instrText xml:space="preserve"> HYPERLINK \l "_Toc151063386" </w:instrText>
      </w:r>
      <w:r>
        <w:fldChar w:fldCharType="separate"/>
      </w:r>
      <w:r>
        <w:rPr>
          <w:rStyle w:val="39"/>
          <w:rFonts w:ascii="Times New Roman" w:hAnsi="Times New Roman" w:cs="Times New Roman" w:eastAsiaTheme="minorEastAsia"/>
          <w:sz w:val="24"/>
        </w:rPr>
        <w:t>7.2  Bungalow courtyard</w:t>
      </w:r>
      <w:r>
        <w:rPr>
          <w:rFonts w:ascii="Times New Roman" w:hAnsi="Times New Roman" w:cs="Times New Roman" w:eastAsiaTheme="minorEastAsia"/>
          <w:sz w:val="24"/>
        </w:rPr>
        <w:tab/>
      </w:r>
      <w:r>
        <w:rPr>
          <w:rFonts w:ascii="Times New Roman" w:hAnsi="Times New Roman" w:cs="Times New Roman" w:eastAsiaTheme="minorEastAsia"/>
          <w:sz w:val="24"/>
        </w:rPr>
        <w:t>23</w:t>
      </w:r>
      <w:r>
        <w:rPr>
          <w:rFonts w:ascii="Times New Roman" w:hAnsi="Times New Roman" w:cs="Times New Roman" w:eastAsiaTheme="minorEastAsia"/>
          <w:sz w:val="24"/>
        </w:rPr>
        <w:fldChar w:fldCharType="end"/>
      </w:r>
    </w:p>
    <w:p w14:paraId="6D0D8040">
      <w:pPr>
        <w:pStyle w:val="28"/>
        <w:rPr>
          <w:rFonts w:ascii="Times New Roman" w:hAnsi="Times New Roman" w:cs="Times New Roman" w:eastAsiaTheme="minorEastAsia"/>
          <w:spacing w:val="0"/>
          <w:sz w:val="24"/>
        </w:rPr>
      </w:pPr>
      <w:r>
        <w:fldChar w:fldCharType="begin"/>
      </w:r>
      <w:r>
        <w:instrText xml:space="preserve"> HYPERLINK \l "_Toc151063387" </w:instrText>
      </w:r>
      <w:r>
        <w:fldChar w:fldCharType="separate"/>
      </w:r>
      <w:r>
        <w:rPr>
          <w:rStyle w:val="39"/>
          <w:rFonts w:ascii="Times New Roman" w:hAnsi="Times New Roman" w:cs="Times New Roman" w:eastAsiaTheme="minorEastAsia"/>
          <w:sz w:val="24"/>
        </w:rPr>
        <w:t>7.3  Commercial facilities</w:t>
      </w:r>
      <w:r>
        <w:rPr>
          <w:rFonts w:ascii="Times New Roman" w:hAnsi="Times New Roman" w:cs="Times New Roman" w:eastAsiaTheme="minorEastAsia"/>
          <w:sz w:val="24"/>
        </w:rPr>
        <w:tab/>
      </w:r>
      <w:r>
        <w:rPr>
          <w:rFonts w:ascii="Times New Roman" w:hAnsi="Times New Roman" w:cs="Times New Roman" w:eastAsiaTheme="minorEastAsia"/>
          <w:sz w:val="24"/>
        </w:rPr>
        <w:t>26</w:t>
      </w:r>
      <w:r>
        <w:rPr>
          <w:rFonts w:ascii="Times New Roman" w:hAnsi="Times New Roman" w:cs="Times New Roman" w:eastAsiaTheme="minorEastAsia"/>
          <w:sz w:val="24"/>
        </w:rPr>
        <w:fldChar w:fldCharType="end"/>
      </w:r>
    </w:p>
    <w:p w14:paraId="0336F40A">
      <w:pPr>
        <w:pStyle w:val="28"/>
        <w:rPr>
          <w:rFonts w:ascii="Times New Roman" w:hAnsi="Times New Roman" w:cs="Times New Roman" w:eastAsiaTheme="minorEastAsia"/>
          <w:spacing w:val="0"/>
          <w:sz w:val="24"/>
        </w:rPr>
      </w:pPr>
      <w:r>
        <w:fldChar w:fldCharType="begin"/>
      </w:r>
      <w:r>
        <w:instrText xml:space="preserve"> HYPERLINK \l "_Toc151063388" </w:instrText>
      </w:r>
      <w:r>
        <w:fldChar w:fldCharType="separate"/>
      </w:r>
      <w:r>
        <w:rPr>
          <w:rStyle w:val="39"/>
          <w:rFonts w:ascii="Times New Roman" w:hAnsi="Times New Roman" w:cs="Times New Roman" w:eastAsiaTheme="minorEastAsia"/>
          <w:sz w:val="24"/>
        </w:rPr>
        <w:t>Appendix A  Fire safety evaluation report</w:t>
      </w:r>
      <w:r>
        <w:rPr>
          <w:rFonts w:ascii="Times New Roman" w:hAnsi="Times New Roman" w:cs="Times New Roman" w:eastAsiaTheme="minorEastAsia"/>
          <w:sz w:val="24"/>
        </w:rPr>
        <w:tab/>
      </w:r>
      <w:r>
        <w:rPr>
          <w:rFonts w:ascii="Times New Roman" w:hAnsi="Times New Roman" w:cs="Times New Roman" w:eastAsiaTheme="minorEastAsia"/>
          <w:sz w:val="24"/>
        </w:rPr>
        <w:t>28</w:t>
      </w:r>
      <w:r>
        <w:rPr>
          <w:rFonts w:ascii="Times New Roman" w:hAnsi="Times New Roman" w:cs="Times New Roman" w:eastAsiaTheme="minorEastAsia"/>
          <w:sz w:val="24"/>
        </w:rPr>
        <w:fldChar w:fldCharType="end"/>
      </w:r>
    </w:p>
    <w:p w14:paraId="4C3DE75D">
      <w:pPr>
        <w:pStyle w:val="28"/>
        <w:rPr>
          <w:rFonts w:ascii="Times New Roman" w:hAnsi="Times New Roman" w:cs="Times New Roman" w:eastAsiaTheme="minorEastAsia"/>
          <w:spacing w:val="0"/>
          <w:sz w:val="24"/>
        </w:rPr>
      </w:pPr>
      <w:r>
        <w:fldChar w:fldCharType="begin"/>
      </w:r>
      <w:r>
        <w:instrText xml:space="preserve"> HYPERLINK \l "_Toc151063389" </w:instrText>
      </w:r>
      <w:r>
        <w:fldChar w:fldCharType="separate"/>
      </w:r>
      <w:r>
        <w:rPr>
          <w:rStyle w:val="39"/>
          <w:rFonts w:ascii="Times New Roman" w:hAnsi="Times New Roman" w:cs="Times New Roman" w:eastAsiaTheme="minorEastAsia"/>
          <w:sz w:val="24"/>
        </w:rPr>
        <w:t>A.1</w:t>
      </w:r>
      <w:r>
        <w:rPr>
          <w:rFonts w:ascii="Times New Roman" w:hAnsi="Times New Roman" w:cs="Times New Roman"/>
          <w:sz w:val="24"/>
        </w:rPr>
        <w:t xml:space="preserve">  </w:t>
      </w:r>
      <w:r>
        <w:rPr>
          <w:rStyle w:val="39"/>
          <w:rFonts w:ascii="Times New Roman" w:hAnsi="Times New Roman" w:cs="Times New Roman" w:eastAsiaTheme="minorEastAsia"/>
          <w:sz w:val="24"/>
        </w:rPr>
        <w:t>Fire safety evaluation report</w:t>
      </w:r>
      <w:r>
        <w:rPr>
          <w:rFonts w:ascii="Times New Roman" w:hAnsi="Times New Roman" w:cs="Times New Roman" w:eastAsiaTheme="minorEastAsia"/>
          <w:sz w:val="24"/>
        </w:rPr>
        <w:tab/>
      </w:r>
      <w:r>
        <w:rPr>
          <w:rFonts w:ascii="Times New Roman" w:hAnsi="Times New Roman" w:cs="Times New Roman" w:eastAsiaTheme="minorEastAsia"/>
          <w:sz w:val="24"/>
        </w:rPr>
        <w:t>28</w:t>
      </w:r>
      <w:r>
        <w:rPr>
          <w:rFonts w:ascii="Times New Roman" w:hAnsi="Times New Roman" w:cs="Times New Roman" w:eastAsiaTheme="minorEastAsia"/>
          <w:sz w:val="24"/>
        </w:rPr>
        <w:fldChar w:fldCharType="end"/>
      </w:r>
    </w:p>
    <w:p w14:paraId="24B975C4">
      <w:pPr>
        <w:pStyle w:val="28"/>
        <w:rPr>
          <w:rFonts w:ascii="Times New Roman" w:hAnsi="Times New Roman" w:cs="Times New Roman" w:eastAsiaTheme="minorEastAsia"/>
          <w:spacing w:val="0"/>
          <w:sz w:val="24"/>
        </w:rPr>
      </w:pPr>
      <w:r>
        <w:fldChar w:fldCharType="begin"/>
      </w:r>
      <w:r>
        <w:instrText xml:space="preserve"> HYPERLINK \l "_Toc151063390" </w:instrText>
      </w:r>
      <w:r>
        <w:fldChar w:fldCharType="separate"/>
      </w:r>
      <w:r>
        <w:rPr>
          <w:rStyle w:val="39"/>
          <w:rFonts w:ascii="Times New Roman" w:hAnsi="Times New Roman" w:cs="Times New Roman" w:eastAsiaTheme="minorEastAsia"/>
          <w:sz w:val="24"/>
        </w:rPr>
        <w:t>A.2  Fire safety evaluation form</w:t>
      </w:r>
      <w:r>
        <w:rPr>
          <w:rFonts w:ascii="Times New Roman" w:hAnsi="Times New Roman" w:cs="Times New Roman" w:eastAsiaTheme="minorEastAsia"/>
          <w:sz w:val="24"/>
        </w:rPr>
        <w:tab/>
      </w:r>
      <w:r>
        <w:rPr>
          <w:rFonts w:ascii="Times New Roman" w:hAnsi="Times New Roman" w:cs="Times New Roman" w:eastAsiaTheme="minorEastAsia"/>
          <w:sz w:val="24"/>
        </w:rPr>
        <w:t>30</w:t>
      </w:r>
      <w:r>
        <w:rPr>
          <w:rFonts w:ascii="Times New Roman" w:hAnsi="Times New Roman" w:cs="Times New Roman" w:eastAsiaTheme="minorEastAsia"/>
          <w:sz w:val="24"/>
        </w:rPr>
        <w:fldChar w:fldCharType="end"/>
      </w:r>
    </w:p>
    <w:p w14:paraId="36BE07F5">
      <w:pPr>
        <w:pStyle w:val="28"/>
        <w:rPr>
          <w:rFonts w:ascii="Times New Roman" w:hAnsi="Times New Roman" w:cs="Times New Roman" w:eastAsiaTheme="minorEastAsia"/>
          <w:spacing w:val="0"/>
          <w:sz w:val="24"/>
        </w:rPr>
      </w:pPr>
      <w:r>
        <w:fldChar w:fldCharType="begin"/>
      </w:r>
      <w:r>
        <w:instrText xml:space="preserve"> HYPERLINK \l "_Toc151063391" </w:instrText>
      </w:r>
      <w:r>
        <w:fldChar w:fldCharType="separate"/>
      </w:r>
      <w:r>
        <w:rPr>
          <w:rStyle w:val="39"/>
          <w:rFonts w:ascii="Times New Roman" w:hAnsi="Times New Roman" w:cs="Times New Roman" w:eastAsiaTheme="minorEastAsia"/>
          <w:sz w:val="24"/>
        </w:rPr>
        <w:t>Explanation of wording in this code</w:t>
      </w:r>
      <w:r>
        <w:rPr>
          <w:rFonts w:ascii="Times New Roman" w:hAnsi="Times New Roman" w:cs="Times New Roman" w:eastAsiaTheme="minorEastAsia"/>
          <w:sz w:val="24"/>
        </w:rPr>
        <w:tab/>
      </w:r>
      <w:r>
        <w:rPr>
          <w:rFonts w:ascii="Times New Roman" w:hAnsi="Times New Roman" w:cs="Times New Roman" w:eastAsiaTheme="minorEastAsia"/>
          <w:sz w:val="24"/>
        </w:rPr>
        <w:t>36</w:t>
      </w:r>
      <w:r>
        <w:rPr>
          <w:rFonts w:ascii="Times New Roman" w:hAnsi="Times New Roman" w:cs="Times New Roman" w:eastAsiaTheme="minorEastAsia"/>
          <w:sz w:val="24"/>
        </w:rPr>
        <w:fldChar w:fldCharType="end"/>
      </w:r>
    </w:p>
    <w:p w14:paraId="24BD7914">
      <w:pPr>
        <w:pStyle w:val="28"/>
        <w:rPr>
          <w:rFonts w:ascii="Times New Roman" w:hAnsi="Times New Roman" w:cs="Times New Roman" w:eastAsiaTheme="minorEastAsia"/>
          <w:spacing w:val="0"/>
          <w:sz w:val="24"/>
        </w:rPr>
      </w:pPr>
      <w:r>
        <w:fldChar w:fldCharType="begin"/>
      </w:r>
      <w:r>
        <w:instrText xml:space="preserve"> HYPERLINK \l "_Toc151063392" </w:instrText>
      </w:r>
      <w:r>
        <w:fldChar w:fldCharType="separate"/>
      </w:r>
      <w:r>
        <w:rPr>
          <w:rStyle w:val="39"/>
          <w:rFonts w:ascii="Times New Roman" w:hAnsi="Times New Roman" w:cs="Times New Roman" w:eastAsiaTheme="minorEastAsia"/>
          <w:sz w:val="24"/>
        </w:rPr>
        <w:t>List of quoted standards</w:t>
      </w:r>
      <w:r>
        <w:rPr>
          <w:rFonts w:ascii="Times New Roman" w:hAnsi="Times New Roman" w:cs="Times New Roman" w:eastAsiaTheme="minorEastAsia"/>
          <w:sz w:val="24"/>
        </w:rPr>
        <w:tab/>
      </w:r>
      <w:r>
        <w:rPr>
          <w:rFonts w:ascii="Times New Roman" w:hAnsi="Times New Roman" w:cs="Times New Roman" w:eastAsiaTheme="minorEastAsia"/>
          <w:sz w:val="24"/>
        </w:rPr>
        <w:t>37</w:t>
      </w:r>
      <w:r>
        <w:rPr>
          <w:rFonts w:ascii="Times New Roman" w:hAnsi="Times New Roman" w:cs="Times New Roman" w:eastAsiaTheme="minorEastAsia"/>
          <w:sz w:val="24"/>
        </w:rPr>
        <w:fldChar w:fldCharType="end"/>
      </w:r>
    </w:p>
    <w:p w14:paraId="66E35CA1">
      <w:pPr>
        <w:pStyle w:val="28"/>
        <w:rPr>
          <w:rFonts w:ascii="Times New Roman" w:hAnsi="Times New Roman" w:cs="Times New Roman" w:eastAsiaTheme="minorEastAsia"/>
          <w:spacing w:val="0"/>
          <w:sz w:val="24"/>
        </w:rPr>
      </w:pPr>
      <w:r>
        <w:rPr>
          <w:rStyle w:val="39"/>
          <w:rFonts w:ascii="Times New Roman" w:hAnsi="Times New Roman" w:cs="Times New Roman" w:eastAsiaTheme="minorEastAsia"/>
          <w:color w:val="000000" w:themeColor="text1"/>
          <w:sz w:val="24"/>
          <w:u w:val="none"/>
          <w14:textFill>
            <w14:solidFill>
              <w14:schemeClr w14:val="tx1"/>
            </w14:solidFill>
          </w14:textFill>
        </w:rPr>
        <w:t>Explanation of provisions</w:t>
      </w:r>
      <w:r>
        <w:fldChar w:fldCharType="begin"/>
      </w:r>
      <w:r>
        <w:instrText xml:space="preserve"> HYPERLINK \l "_Toc151063393" </w:instrText>
      </w:r>
      <w:r>
        <w:fldChar w:fldCharType="separate"/>
      </w:r>
      <w:r>
        <w:rPr>
          <w:rFonts w:ascii="Times New Roman" w:hAnsi="Times New Roman" w:cs="Times New Roman" w:eastAsiaTheme="minorEastAsia"/>
          <w:sz w:val="24"/>
        </w:rPr>
        <w:tab/>
      </w:r>
      <w:r>
        <w:rPr>
          <w:rFonts w:ascii="Times New Roman" w:hAnsi="Times New Roman" w:cs="Times New Roman" w:eastAsiaTheme="minorEastAsia"/>
          <w:sz w:val="24"/>
        </w:rPr>
        <w:t>38</w:t>
      </w:r>
      <w:r>
        <w:rPr>
          <w:rFonts w:ascii="Times New Roman" w:hAnsi="Times New Roman" w:cs="Times New Roman" w:eastAsiaTheme="minorEastAsia"/>
          <w:sz w:val="24"/>
        </w:rPr>
        <w:fldChar w:fldCharType="end"/>
      </w:r>
    </w:p>
    <w:p w14:paraId="7A6F84FA">
      <w:pPr>
        <w:widowControl/>
        <w:jc w:val="center"/>
        <w:rPr>
          <w:rFonts w:eastAsia="黑体"/>
          <w:sz w:val="36"/>
          <w:szCs w:val="36"/>
        </w:rPr>
      </w:pPr>
      <w:r>
        <w:rPr>
          <w:b/>
          <w:bCs/>
          <w:sz w:val="24"/>
          <w:lang w:val="zh-CN"/>
        </w:rPr>
        <w:fldChar w:fldCharType="end"/>
      </w:r>
    </w:p>
    <w:p w14:paraId="52A7A84E">
      <w:pPr>
        <w:widowControl/>
        <w:jc w:val="left"/>
        <w:rPr>
          <w:rFonts w:eastAsia="黑体"/>
          <w:sz w:val="28"/>
          <w:szCs w:val="28"/>
        </w:rPr>
      </w:pPr>
    </w:p>
    <w:p w14:paraId="4C5F9249">
      <w:pPr>
        <w:widowControl/>
        <w:jc w:val="left"/>
        <w:rPr>
          <w:rFonts w:eastAsia="黑体"/>
          <w:color w:val="FF0000"/>
          <w:sz w:val="28"/>
          <w:szCs w:val="28"/>
        </w:rPr>
      </w:pPr>
    </w:p>
    <w:p w14:paraId="3A108765">
      <w:pPr>
        <w:widowControl/>
        <w:jc w:val="left"/>
        <w:rPr>
          <w:rFonts w:eastAsia="黑体"/>
          <w:sz w:val="32"/>
        </w:rPr>
      </w:pPr>
      <w:r>
        <w:rPr>
          <w:rFonts w:eastAsia="黑体"/>
          <w:sz w:val="32"/>
        </w:rPr>
        <w:br w:type="page"/>
      </w:r>
    </w:p>
    <w:p w14:paraId="13441BB7">
      <w:pPr>
        <w:widowControl/>
        <w:jc w:val="left"/>
        <w:rPr>
          <w:rFonts w:eastAsia="黑体"/>
          <w:sz w:val="32"/>
        </w:rPr>
        <w:sectPr>
          <w:footerReference r:id="rId4" w:type="default"/>
          <w:pgSz w:w="11907" w:h="16840"/>
          <w:pgMar w:top="1418" w:right="1276" w:bottom="1134" w:left="1276" w:header="1418" w:footer="851" w:gutter="0"/>
          <w:pgNumType w:fmt="upperRoman" w:start="1"/>
          <w:cols w:space="425" w:num="1"/>
          <w:docGrid w:type="lines" w:linePitch="324" w:charSpace="0"/>
        </w:sectPr>
      </w:pPr>
    </w:p>
    <w:p w14:paraId="554F61BF">
      <w:pPr>
        <w:pStyle w:val="3"/>
        <w:spacing w:line="360" w:lineRule="auto"/>
        <w:rPr>
          <w:sz w:val="36"/>
          <w:szCs w:val="36"/>
        </w:rPr>
      </w:pPr>
      <w:bookmarkStart w:id="0" w:name="_Toc151062639"/>
      <w:bookmarkStart w:id="1" w:name="_Toc151062970"/>
      <w:bookmarkStart w:id="2" w:name="_Toc151063107"/>
      <w:r>
        <w:rPr>
          <w:rFonts w:hint="eastAsia"/>
          <w:sz w:val="36"/>
          <w:szCs w:val="36"/>
        </w:rPr>
        <w:t>1  总    则</w:t>
      </w:r>
      <w:bookmarkEnd w:id="0"/>
      <w:bookmarkEnd w:id="1"/>
      <w:bookmarkEnd w:id="2"/>
    </w:p>
    <w:p w14:paraId="2F865510">
      <w:pPr>
        <w:widowControl/>
        <w:snapToGrid w:val="0"/>
        <w:spacing w:line="300" w:lineRule="auto"/>
        <w:jc w:val="left"/>
        <w:rPr>
          <w:rFonts w:ascii="宋体" w:hAnsi="宋体"/>
          <w:sz w:val="28"/>
          <w:szCs w:val="28"/>
        </w:rPr>
      </w:pPr>
      <w:r>
        <w:rPr>
          <w:rFonts w:hint="eastAsia" w:ascii="宋体" w:hAnsi="宋体"/>
          <w:sz w:val="28"/>
          <w:szCs w:val="28"/>
        </w:rPr>
        <w:t>1.0.1  为贯彻《北京城市总体规划（2016年-2035年）》及《北京市城市更新条例》，有效降低既有建筑改造工程的火灾危险，减少火灾危害，保护人身和财产的安全，制定本标准。</w:t>
      </w:r>
    </w:p>
    <w:p w14:paraId="097AEF9B">
      <w:pPr>
        <w:widowControl/>
        <w:snapToGrid w:val="0"/>
        <w:spacing w:line="300" w:lineRule="auto"/>
        <w:jc w:val="left"/>
        <w:rPr>
          <w:rFonts w:ascii="宋体" w:hAnsi="宋体"/>
          <w:sz w:val="28"/>
          <w:szCs w:val="28"/>
        </w:rPr>
      </w:pPr>
      <w:r>
        <w:rPr>
          <w:rFonts w:hint="eastAsia" w:ascii="宋体" w:hAnsi="宋体"/>
          <w:sz w:val="28"/>
          <w:szCs w:val="28"/>
        </w:rPr>
        <w:t>1.0.2  本标准适用于下列既有建筑的改造工程：</w:t>
      </w:r>
    </w:p>
    <w:p w14:paraId="741D9D67">
      <w:pPr>
        <w:widowControl/>
        <w:snapToGrid w:val="0"/>
        <w:spacing w:line="300" w:lineRule="auto"/>
        <w:ind w:left="141" w:leftChars="68" w:firstLine="567" w:firstLineChars="197"/>
        <w:jc w:val="left"/>
        <w:rPr>
          <w:rFonts w:ascii="宋体" w:hAnsi="宋体"/>
          <w:sz w:val="28"/>
          <w:szCs w:val="28"/>
        </w:rPr>
      </w:pPr>
      <w:r>
        <w:rPr>
          <w:rFonts w:hint="eastAsia" w:ascii="宋体" w:hAnsi="宋体"/>
          <w:sz w:val="28"/>
          <w:szCs w:val="28"/>
        </w:rPr>
        <w:t>1</w:t>
      </w:r>
      <w:r>
        <w:rPr>
          <w:rFonts w:ascii="宋体" w:hAnsi="宋体"/>
          <w:sz w:val="28"/>
          <w:szCs w:val="28"/>
        </w:rPr>
        <w:t xml:space="preserve"> </w:t>
      </w:r>
      <w:r>
        <w:rPr>
          <w:rFonts w:hint="eastAsia" w:ascii="宋体" w:hAnsi="宋体"/>
          <w:sz w:val="28"/>
          <w:szCs w:val="28"/>
        </w:rPr>
        <w:t>已完成工程竣工验收的民用和工业建筑改造利用；</w:t>
      </w:r>
    </w:p>
    <w:p w14:paraId="0F9F6B90">
      <w:pPr>
        <w:widowControl/>
        <w:snapToGrid w:val="0"/>
        <w:spacing w:line="300" w:lineRule="auto"/>
        <w:ind w:left="141" w:leftChars="68" w:firstLine="567" w:firstLineChars="197"/>
        <w:jc w:val="left"/>
        <w:rPr>
          <w:rFonts w:ascii="宋体" w:hAnsi="宋体"/>
          <w:sz w:val="28"/>
          <w:szCs w:val="28"/>
        </w:rPr>
      </w:pPr>
      <w:r>
        <w:rPr>
          <w:rFonts w:hint="eastAsia" w:ascii="宋体" w:hAnsi="宋体"/>
          <w:sz w:val="28"/>
          <w:szCs w:val="28"/>
        </w:rPr>
        <w:t>2</w:t>
      </w:r>
      <w:r>
        <w:rPr>
          <w:rFonts w:ascii="宋体" w:hAnsi="宋体"/>
          <w:sz w:val="28"/>
          <w:szCs w:val="28"/>
        </w:rPr>
        <w:t xml:space="preserve"> </w:t>
      </w:r>
      <w:r>
        <w:rPr>
          <w:rFonts w:hint="eastAsia" w:ascii="宋体" w:hAnsi="宋体"/>
          <w:sz w:val="28"/>
          <w:szCs w:val="28"/>
        </w:rPr>
        <w:t>已投入使用或具备使用条件，且已依法取得房屋产权的建筑改造利用；</w:t>
      </w:r>
    </w:p>
    <w:p w14:paraId="2AC9EADB">
      <w:pPr>
        <w:widowControl/>
        <w:snapToGrid w:val="0"/>
        <w:spacing w:line="300" w:lineRule="auto"/>
        <w:ind w:left="141" w:leftChars="68" w:firstLine="567" w:firstLineChars="197"/>
        <w:jc w:val="left"/>
        <w:rPr>
          <w:rFonts w:ascii="宋体" w:hAnsi="宋体"/>
          <w:sz w:val="28"/>
          <w:szCs w:val="28"/>
        </w:rPr>
      </w:pPr>
      <w:r>
        <w:rPr>
          <w:rFonts w:hint="eastAsia" w:ascii="宋体" w:hAnsi="宋体"/>
          <w:sz w:val="28"/>
          <w:szCs w:val="28"/>
        </w:rPr>
        <w:t>3 历史形成的平房院落及平房区。</w:t>
      </w:r>
    </w:p>
    <w:p w14:paraId="5B92B666">
      <w:pPr>
        <w:widowControl/>
        <w:snapToGrid w:val="0"/>
        <w:spacing w:line="300" w:lineRule="auto"/>
        <w:ind w:left="141" w:leftChars="68" w:firstLine="567" w:firstLineChars="197"/>
        <w:jc w:val="left"/>
        <w:rPr>
          <w:rFonts w:ascii="宋体" w:hAnsi="宋体"/>
          <w:sz w:val="28"/>
          <w:szCs w:val="28"/>
        </w:rPr>
      </w:pPr>
      <w:r>
        <w:rPr>
          <w:rFonts w:hint="eastAsia" w:ascii="宋体" w:hAnsi="宋体"/>
          <w:sz w:val="28"/>
          <w:szCs w:val="28"/>
        </w:rPr>
        <w:t>本标准不适用于住宅建筑的户内装修、村民自建住宅建筑、临时性建筑、历史建筑、文物建筑的改造。</w:t>
      </w:r>
    </w:p>
    <w:p w14:paraId="5B0E865F">
      <w:pPr>
        <w:widowControl/>
        <w:snapToGrid w:val="0"/>
        <w:spacing w:line="300" w:lineRule="auto"/>
        <w:jc w:val="left"/>
        <w:rPr>
          <w:rFonts w:ascii="宋体" w:hAnsi="宋体"/>
          <w:sz w:val="28"/>
          <w:szCs w:val="28"/>
        </w:rPr>
      </w:pPr>
      <w:r>
        <w:rPr>
          <w:rFonts w:hint="eastAsia" w:ascii="宋体" w:hAnsi="宋体"/>
          <w:sz w:val="28"/>
          <w:szCs w:val="28"/>
        </w:rPr>
        <w:t>1.0.3</w:t>
      </w:r>
      <w:r>
        <w:rPr>
          <w:rFonts w:ascii="宋体" w:hAnsi="宋体"/>
          <w:sz w:val="28"/>
          <w:szCs w:val="28"/>
        </w:rPr>
        <w:t xml:space="preserve">  </w:t>
      </w:r>
      <w:r>
        <w:rPr>
          <w:rFonts w:hint="eastAsia" w:ascii="宋体" w:hAnsi="宋体"/>
          <w:sz w:val="28"/>
          <w:szCs w:val="28"/>
        </w:rPr>
        <w:t>既有建筑改造工程的防火设计应遵循鼓励更新，整体提升，确保安全，控制成本，创新方法，统筹兼顾的原则。</w:t>
      </w:r>
    </w:p>
    <w:p w14:paraId="7F7D20EE">
      <w:pPr>
        <w:widowControl/>
        <w:snapToGrid w:val="0"/>
        <w:spacing w:line="300" w:lineRule="auto"/>
        <w:jc w:val="left"/>
        <w:rPr>
          <w:rFonts w:ascii="宋体" w:hAnsi="宋体"/>
          <w:sz w:val="28"/>
          <w:szCs w:val="28"/>
        </w:rPr>
      </w:pPr>
      <w:r>
        <w:rPr>
          <w:rFonts w:hint="eastAsia" w:ascii="宋体" w:hAnsi="宋体"/>
          <w:sz w:val="28"/>
          <w:szCs w:val="28"/>
        </w:rPr>
        <w:t>1.0.4</w:t>
      </w:r>
      <w:r>
        <w:rPr>
          <w:rFonts w:ascii="宋体" w:hAnsi="宋体"/>
          <w:sz w:val="28"/>
          <w:szCs w:val="28"/>
        </w:rPr>
        <w:t xml:space="preserve">  </w:t>
      </w:r>
      <w:r>
        <w:rPr>
          <w:rFonts w:hint="eastAsia" w:ascii="宋体" w:hAnsi="宋体"/>
          <w:sz w:val="28"/>
          <w:szCs w:val="28"/>
        </w:rPr>
        <w:t>既有建筑改造工程的防火设计应符合以下要求：</w:t>
      </w:r>
    </w:p>
    <w:p w14:paraId="72F037D8">
      <w:pPr>
        <w:widowControl/>
        <w:snapToGrid w:val="0"/>
        <w:spacing w:line="300" w:lineRule="auto"/>
        <w:ind w:left="141" w:leftChars="68" w:firstLine="567" w:firstLineChars="197"/>
        <w:jc w:val="left"/>
        <w:rPr>
          <w:rFonts w:ascii="宋体" w:hAnsi="宋体"/>
          <w:sz w:val="28"/>
          <w:szCs w:val="28"/>
        </w:rPr>
      </w:pPr>
      <w:r>
        <w:rPr>
          <w:rFonts w:hint="eastAsia" w:ascii="宋体" w:hAnsi="宋体"/>
          <w:sz w:val="28"/>
          <w:szCs w:val="28"/>
        </w:rPr>
        <w:t>1</w:t>
      </w:r>
      <w:r>
        <w:rPr>
          <w:rFonts w:ascii="宋体" w:hAnsi="宋体"/>
          <w:sz w:val="28"/>
          <w:szCs w:val="28"/>
        </w:rPr>
        <w:t xml:space="preserve"> </w:t>
      </w:r>
      <w:r>
        <w:rPr>
          <w:rFonts w:hint="eastAsia" w:ascii="宋体" w:hAnsi="宋体"/>
          <w:sz w:val="28"/>
          <w:szCs w:val="28"/>
        </w:rPr>
        <w:t>依据现行工程建设</w:t>
      </w:r>
      <w:r>
        <w:rPr>
          <w:rFonts w:ascii="宋体" w:hAnsi="宋体"/>
          <w:sz w:val="28"/>
          <w:szCs w:val="28"/>
        </w:rPr>
        <w:t>消防</w:t>
      </w:r>
      <w:r>
        <w:rPr>
          <w:rFonts w:hint="eastAsia" w:ascii="宋体" w:hAnsi="宋体"/>
          <w:sz w:val="28"/>
          <w:szCs w:val="28"/>
        </w:rPr>
        <w:t>技术</w:t>
      </w:r>
      <w:r>
        <w:rPr>
          <w:rFonts w:ascii="宋体" w:hAnsi="宋体"/>
          <w:sz w:val="28"/>
          <w:szCs w:val="28"/>
        </w:rPr>
        <w:t>标准</w:t>
      </w:r>
      <w:r>
        <w:rPr>
          <w:rFonts w:hint="eastAsia" w:ascii="宋体" w:hAnsi="宋体"/>
          <w:sz w:val="28"/>
          <w:szCs w:val="28"/>
        </w:rPr>
        <w:t>设计并建设完成的既有建筑改造，其防火设计应执行现行相关标准；</w:t>
      </w:r>
    </w:p>
    <w:p w14:paraId="24400100">
      <w:pPr>
        <w:widowControl/>
        <w:snapToGrid w:val="0"/>
        <w:spacing w:line="300" w:lineRule="auto"/>
        <w:ind w:left="141" w:leftChars="68" w:firstLine="567" w:firstLineChars="197"/>
        <w:jc w:val="left"/>
        <w:rPr>
          <w:rFonts w:ascii="宋体" w:hAnsi="宋体"/>
          <w:sz w:val="28"/>
          <w:szCs w:val="28"/>
        </w:rPr>
      </w:pPr>
      <w:r>
        <w:rPr>
          <w:rFonts w:hint="eastAsia" w:ascii="宋体" w:hAnsi="宋体"/>
          <w:sz w:val="28"/>
          <w:szCs w:val="28"/>
        </w:rPr>
        <w:t>2</w:t>
      </w:r>
      <w:r>
        <w:rPr>
          <w:rFonts w:ascii="宋体" w:hAnsi="宋体"/>
          <w:sz w:val="28"/>
          <w:szCs w:val="28"/>
        </w:rPr>
        <w:t xml:space="preserve"> </w:t>
      </w:r>
      <w:r>
        <w:rPr>
          <w:rFonts w:hint="eastAsia" w:ascii="宋体" w:hAnsi="宋体"/>
          <w:sz w:val="28"/>
          <w:szCs w:val="28"/>
        </w:rPr>
        <w:t>在现行工程建设消防技术标准发布实施之前设计并完成的建筑，改造时的防火设计宜执行现行相关标准。受既有客观条件限制确实难以满足现行相关标准的要求时，可执行本标准的相关规定；</w:t>
      </w:r>
    </w:p>
    <w:p w14:paraId="6B899F6B">
      <w:pPr>
        <w:widowControl/>
        <w:snapToGrid w:val="0"/>
        <w:spacing w:line="300" w:lineRule="auto"/>
        <w:ind w:left="141" w:leftChars="68" w:firstLine="567" w:firstLineChars="197"/>
        <w:jc w:val="left"/>
        <w:rPr>
          <w:rFonts w:ascii="宋体" w:hAnsi="宋体"/>
          <w:sz w:val="28"/>
          <w:szCs w:val="28"/>
        </w:rPr>
      </w:pPr>
      <w:r>
        <w:rPr>
          <w:rFonts w:hint="eastAsia" w:ascii="宋体" w:hAnsi="宋体"/>
          <w:sz w:val="28"/>
          <w:szCs w:val="28"/>
        </w:rPr>
        <w:t>3</w:t>
      </w:r>
      <w:r>
        <w:rPr>
          <w:rFonts w:ascii="宋体" w:hAnsi="宋体"/>
          <w:sz w:val="28"/>
          <w:szCs w:val="28"/>
        </w:rPr>
        <w:t xml:space="preserve"> </w:t>
      </w:r>
      <w:r>
        <w:rPr>
          <w:rFonts w:hint="eastAsia" w:ascii="宋体" w:hAnsi="宋体"/>
          <w:sz w:val="28"/>
          <w:szCs w:val="28"/>
        </w:rPr>
        <w:t>既有建筑改造难以完全符合现行工程建设消防技术标准及本标准的问题，应采取针对性加强措施，并应经消防设计审查主管部门组织的专家评审。</w:t>
      </w:r>
    </w:p>
    <w:p w14:paraId="735BC957">
      <w:pPr>
        <w:widowControl/>
        <w:snapToGrid w:val="0"/>
        <w:spacing w:line="300" w:lineRule="auto"/>
        <w:jc w:val="left"/>
        <w:rPr>
          <w:rFonts w:ascii="宋体" w:hAnsi="宋体"/>
          <w:sz w:val="28"/>
          <w:szCs w:val="28"/>
        </w:rPr>
      </w:pPr>
      <w:r>
        <w:rPr>
          <w:rFonts w:hint="eastAsia" w:ascii="宋体" w:hAnsi="宋体"/>
          <w:sz w:val="28"/>
          <w:szCs w:val="28"/>
        </w:rPr>
        <w:t>1.0.5</w:t>
      </w:r>
      <w:r>
        <w:rPr>
          <w:rFonts w:ascii="宋体" w:hAnsi="宋体"/>
          <w:sz w:val="28"/>
          <w:szCs w:val="28"/>
        </w:rPr>
        <w:t xml:space="preserve">  </w:t>
      </w:r>
      <w:r>
        <w:rPr>
          <w:rFonts w:hint="eastAsia" w:ascii="宋体" w:hAnsi="宋体"/>
          <w:sz w:val="28"/>
          <w:szCs w:val="28"/>
        </w:rPr>
        <w:t>既有建筑改造工程的防火设计，除应符合本标准的规定外，本标准未规定的，尚应符合国家和北京市现行有关标准的规定。</w:t>
      </w:r>
    </w:p>
    <w:p w14:paraId="2B4CB553">
      <w:pPr>
        <w:widowControl/>
        <w:jc w:val="left"/>
        <w:rPr>
          <w:rFonts w:ascii="宋体" w:hAnsi="宋体"/>
          <w:sz w:val="28"/>
          <w:szCs w:val="28"/>
        </w:rPr>
      </w:pPr>
      <w:r>
        <w:rPr>
          <w:rFonts w:ascii="宋体" w:hAnsi="宋体"/>
          <w:sz w:val="28"/>
          <w:szCs w:val="28"/>
        </w:rPr>
        <w:br w:type="page"/>
      </w:r>
    </w:p>
    <w:p w14:paraId="70CF0CC4">
      <w:pPr>
        <w:pStyle w:val="3"/>
        <w:spacing w:line="360" w:lineRule="auto"/>
        <w:rPr>
          <w:sz w:val="36"/>
          <w:szCs w:val="36"/>
        </w:rPr>
      </w:pPr>
      <w:bookmarkStart w:id="3" w:name="_Toc151063108"/>
      <w:bookmarkStart w:id="4" w:name="_Toc151062971"/>
      <w:bookmarkStart w:id="5" w:name="_Toc151062640"/>
      <w:r>
        <w:rPr>
          <w:rFonts w:hint="eastAsia"/>
          <w:sz w:val="36"/>
          <w:szCs w:val="36"/>
        </w:rPr>
        <w:t>2  术    语</w:t>
      </w:r>
      <w:bookmarkEnd w:id="3"/>
      <w:bookmarkEnd w:id="4"/>
      <w:bookmarkEnd w:id="5"/>
    </w:p>
    <w:p w14:paraId="7A664D0C">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2.0.1</w:t>
      </w:r>
      <w:r>
        <w:rPr>
          <w:rFonts w:ascii="宋体" w:hAnsi="宋体"/>
          <w:color w:val="000000" w:themeColor="text1"/>
          <w:sz w:val="28"/>
          <w:szCs w:val="28"/>
          <w14:textFill>
            <w14:solidFill>
              <w14:schemeClr w14:val="tx1"/>
            </w14:solidFill>
          </w14:textFill>
        </w:rPr>
        <w:t xml:space="preserve">  既有建筑</w:t>
      </w:r>
      <w:r>
        <w:rPr>
          <w:rFonts w:hint="eastAsia" w:ascii="宋体" w:hAnsi="宋体"/>
          <w:color w:val="000000" w:themeColor="text1"/>
          <w:sz w:val="28"/>
          <w:szCs w:val="28"/>
          <w14:textFill>
            <w14:solidFill>
              <w14:schemeClr w14:val="tx1"/>
            </w14:solidFill>
          </w14:textFill>
        </w:rPr>
        <w:t xml:space="preserve">  </w:t>
      </w:r>
      <w:r>
        <w:rPr>
          <w:color w:val="000000" w:themeColor="text1"/>
          <w:sz w:val="28"/>
          <w:szCs w:val="28"/>
          <w14:textFill>
            <w14:solidFill>
              <w14:schemeClr w14:val="tx1"/>
            </w14:solidFill>
          </w14:textFill>
        </w:rPr>
        <w:t>existing buildings</w:t>
      </w:r>
    </w:p>
    <w:p w14:paraId="414F69FE">
      <w:pPr>
        <w:widowControl/>
        <w:snapToGrid w:val="0"/>
        <w:spacing w:line="300" w:lineRule="auto"/>
        <w:ind w:firstLine="567"/>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已建成</w:t>
      </w:r>
      <w:r>
        <w:rPr>
          <w:rFonts w:hint="eastAsia" w:ascii="宋体" w:hAnsi="宋体"/>
          <w:color w:val="000000" w:themeColor="text1"/>
          <w:sz w:val="28"/>
          <w:szCs w:val="28"/>
          <w14:textFill>
            <w14:solidFill>
              <w14:schemeClr w14:val="tx1"/>
            </w14:solidFill>
          </w14:textFill>
        </w:rPr>
        <w:t>可以验收和已投入</w:t>
      </w:r>
      <w:r>
        <w:rPr>
          <w:rFonts w:ascii="宋体" w:hAnsi="宋体"/>
          <w:color w:val="000000" w:themeColor="text1"/>
          <w:sz w:val="28"/>
          <w:szCs w:val="28"/>
          <w14:textFill>
            <w14:solidFill>
              <w14:schemeClr w14:val="tx1"/>
            </w14:solidFill>
          </w14:textFill>
        </w:rPr>
        <w:t>使用的建筑</w:t>
      </w:r>
      <w:r>
        <w:rPr>
          <w:rFonts w:hint="eastAsia" w:ascii="宋体" w:hAnsi="宋体"/>
          <w:color w:val="000000" w:themeColor="text1"/>
          <w:sz w:val="28"/>
          <w:szCs w:val="28"/>
          <w14:textFill>
            <w14:solidFill>
              <w14:schemeClr w14:val="tx1"/>
            </w14:solidFill>
          </w14:textFill>
        </w:rPr>
        <w:t>。</w:t>
      </w:r>
    </w:p>
    <w:p w14:paraId="45EB8299">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2.0.2</w:t>
      </w:r>
      <w:r>
        <w:rPr>
          <w:rFonts w:ascii="宋体" w:hAnsi="宋体"/>
          <w:color w:val="000000" w:themeColor="text1"/>
          <w:sz w:val="28"/>
          <w:szCs w:val="28"/>
          <w14:textFill>
            <w14:solidFill>
              <w14:schemeClr w14:val="tx1"/>
            </w14:solidFill>
          </w14:textFill>
        </w:rPr>
        <w:t xml:space="preserve">  既有建筑改造</w:t>
      </w:r>
      <w:r>
        <w:rPr>
          <w:rFonts w:hint="eastAsia" w:ascii="宋体" w:hAnsi="宋体"/>
          <w:color w:val="000000" w:themeColor="text1"/>
          <w:sz w:val="28"/>
          <w:szCs w:val="28"/>
          <w14:textFill>
            <w14:solidFill>
              <w14:schemeClr w14:val="tx1"/>
            </w14:solidFill>
          </w14:textFill>
        </w:rPr>
        <w:t xml:space="preserve">工程  </w:t>
      </w:r>
      <w:r>
        <w:rPr>
          <w:rFonts w:hint="eastAsia"/>
          <w:color w:val="000000" w:themeColor="text1"/>
          <w:sz w:val="28"/>
          <w:szCs w:val="28"/>
          <w14:textFill>
            <w14:solidFill>
              <w14:schemeClr w14:val="tx1"/>
            </w14:solidFill>
          </w14:textFill>
        </w:rPr>
        <w:t>e</w:t>
      </w:r>
      <w:r>
        <w:rPr>
          <w:color w:val="000000" w:themeColor="text1"/>
          <w:sz w:val="28"/>
          <w:szCs w:val="28"/>
          <w14:textFill>
            <w14:solidFill>
              <w14:schemeClr w14:val="tx1"/>
            </w14:solidFill>
          </w14:textFill>
        </w:rPr>
        <w:t>xisting building renovation project</w:t>
      </w:r>
    </w:p>
    <w:p w14:paraId="449E9B89">
      <w:pPr>
        <w:widowControl/>
        <w:snapToGrid w:val="0"/>
        <w:spacing w:line="300" w:lineRule="auto"/>
        <w:ind w:firstLine="567"/>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根据改造要求和目标，对既有建筑的室外环境、建筑本体、设施设备进行全面、系统的更新，使其建筑空间、结构体系、使用功能得到明显改善的建设工程。</w:t>
      </w:r>
    </w:p>
    <w:p w14:paraId="58891FB5">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2.0.3</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 xml:space="preserve">修缮工程  </w:t>
      </w:r>
      <w:r>
        <w:rPr>
          <w:color w:val="000000" w:themeColor="text1"/>
          <w:sz w:val="28"/>
          <w:szCs w:val="28"/>
          <w14:textFill>
            <w14:solidFill>
              <w14:schemeClr w14:val="tx1"/>
            </w14:solidFill>
          </w14:textFill>
        </w:rPr>
        <w:t>renovation project</w:t>
      </w:r>
    </w:p>
    <w:p w14:paraId="5F9CB636">
      <w:pPr>
        <w:widowControl/>
        <w:snapToGrid w:val="0"/>
        <w:spacing w:line="300" w:lineRule="auto"/>
        <w:ind w:firstLine="564" w:firstLineChars="19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对既有建筑进行维修和养护，使其保持、恢复原有完好程度、使用功能和结构安全的工程。</w:t>
      </w:r>
    </w:p>
    <w:p w14:paraId="16C4BA2D">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2.0.4</w:t>
      </w:r>
      <w:r>
        <w:rPr>
          <w:rFonts w:ascii="宋体" w:hAnsi="宋体"/>
          <w:color w:val="000000" w:themeColor="text1"/>
          <w:sz w:val="28"/>
          <w:szCs w:val="28"/>
          <w14:textFill>
            <w14:solidFill>
              <w14:schemeClr w14:val="tx1"/>
            </w14:solidFill>
          </w14:textFill>
        </w:rPr>
        <w:t xml:space="preserve">  立面改造</w:t>
      </w:r>
      <w:r>
        <w:rPr>
          <w:rFonts w:hint="eastAsia" w:ascii="宋体" w:hAnsi="宋体"/>
          <w:color w:val="000000" w:themeColor="text1"/>
          <w:sz w:val="28"/>
          <w:szCs w:val="28"/>
          <w14:textFill>
            <w14:solidFill>
              <w14:schemeClr w14:val="tx1"/>
            </w14:solidFill>
          </w14:textFill>
        </w:rPr>
        <w:t xml:space="preserve">工程  </w:t>
      </w:r>
      <w:r>
        <w:rPr>
          <w:rFonts w:hint="eastAsia"/>
          <w:color w:val="000000" w:themeColor="text1"/>
          <w:sz w:val="28"/>
          <w:szCs w:val="28"/>
          <w14:textFill>
            <w14:solidFill>
              <w14:schemeClr w14:val="tx1"/>
            </w14:solidFill>
          </w14:textFill>
        </w:rPr>
        <w:t>f</w:t>
      </w:r>
      <w:r>
        <w:rPr>
          <w:color w:val="000000" w:themeColor="text1"/>
          <w:sz w:val="28"/>
          <w:szCs w:val="28"/>
          <w14:textFill>
            <w14:solidFill>
              <w14:schemeClr w14:val="tx1"/>
            </w14:solidFill>
          </w14:textFill>
        </w:rPr>
        <w:t>acade renovation project</w:t>
      </w:r>
    </w:p>
    <w:p w14:paraId="73C64667">
      <w:pPr>
        <w:widowControl/>
        <w:snapToGrid w:val="0"/>
        <w:spacing w:line="300" w:lineRule="auto"/>
        <w:ind w:firstLine="567"/>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为改善建筑外观、提升建筑外围护性能等，仅对建筑外围护部分进行改造的工程。</w:t>
      </w:r>
    </w:p>
    <w:p w14:paraId="6F4AB940">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2.0.5</w:t>
      </w:r>
      <w:r>
        <w:rPr>
          <w:rFonts w:ascii="宋体" w:hAnsi="宋体"/>
          <w:color w:val="000000" w:themeColor="text1"/>
          <w:sz w:val="28"/>
          <w:szCs w:val="28"/>
          <w14:textFill>
            <w14:solidFill>
              <w14:schemeClr w14:val="tx1"/>
            </w14:solidFill>
          </w14:textFill>
        </w:rPr>
        <w:t xml:space="preserve">  内</w:t>
      </w:r>
      <w:r>
        <w:rPr>
          <w:rFonts w:hint="eastAsia" w:ascii="宋体" w:hAnsi="宋体"/>
          <w:color w:val="000000" w:themeColor="text1"/>
          <w:sz w:val="28"/>
          <w:szCs w:val="28"/>
          <w14:textFill>
            <w14:solidFill>
              <w14:schemeClr w14:val="tx1"/>
            </w14:solidFill>
          </w14:textFill>
        </w:rPr>
        <w:t>部</w:t>
      </w:r>
      <w:r>
        <w:rPr>
          <w:rFonts w:ascii="宋体" w:hAnsi="宋体"/>
          <w:color w:val="000000" w:themeColor="text1"/>
          <w:sz w:val="28"/>
          <w:szCs w:val="28"/>
          <w14:textFill>
            <w14:solidFill>
              <w14:schemeClr w14:val="tx1"/>
            </w14:solidFill>
          </w14:textFill>
        </w:rPr>
        <w:t>装修</w:t>
      </w:r>
      <w:r>
        <w:rPr>
          <w:rFonts w:hint="eastAsia" w:ascii="宋体" w:hAnsi="宋体"/>
          <w:color w:val="000000" w:themeColor="text1"/>
          <w:sz w:val="28"/>
          <w:szCs w:val="28"/>
          <w14:textFill>
            <w14:solidFill>
              <w14:schemeClr w14:val="tx1"/>
            </w14:solidFill>
          </w14:textFill>
        </w:rPr>
        <w:t xml:space="preserve">工程  </w:t>
      </w:r>
      <w:r>
        <w:rPr>
          <w:rFonts w:hint="eastAsia"/>
          <w:color w:val="000000" w:themeColor="text1"/>
          <w:sz w:val="28"/>
          <w:szCs w:val="28"/>
          <w14:textFill>
            <w14:solidFill>
              <w14:schemeClr w14:val="tx1"/>
            </w14:solidFill>
          </w14:textFill>
        </w:rPr>
        <w:t>i</w:t>
      </w:r>
      <w:r>
        <w:rPr>
          <w:color w:val="000000" w:themeColor="text1"/>
          <w:sz w:val="28"/>
          <w:szCs w:val="28"/>
          <w14:textFill>
            <w14:solidFill>
              <w14:schemeClr w14:val="tx1"/>
            </w14:solidFill>
          </w14:textFill>
        </w:rPr>
        <w:t>nternal decoration project</w:t>
      </w:r>
    </w:p>
    <w:p w14:paraId="1E515828">
      <w:pPr>
        <w:widowControl/>
        <w:snapToGrid w:val="0"/>
        <w:spacing w:line="300" w:lineRule="auto"/>
        <w:ind w:firstLine="567"/>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为满足建筑功能需求，仅对建筑内部空间进行修饰、保护及固定设施安装等的工程。</w:t>
      </w:r>
    </w:p>
    <w:p w14:paraId="0D3567EB">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2.0.6</w:t>
      </w:r>
      <w:r>
        <w:rPr>
          <w:rFonts w:ascii="宋体" w:hAnsi="宋体"/>
          <w:color w:val="000000" w:themeColor="text1"/>
          <w:sz w:val="28"/>
          <w:szCs w:val="28"/>
          <w14:textFill>
            <w14:solidFill>
              <w14:schemeClr w14:val="tx1"/>
            </w14:solidFill>
          </w14:textFill>
        </w:rPr>
        <w:t xml:space="preserve">  局部改造</w:t>
      </w:r>
      <w:r>
        <w:rPr>
          <w:rFonts w:hint="eastAsia" w:ascii="宋体" w:hAnsi="宋体"/>
          <w:color w:val="000000" w:themeColor="text1"/>
          <w:sz w:val="28"/>
          <w:szCs w:val="28"/>
          <w14:textFill>
            <w14:solidFill>
              <w14:schemeClr w14:val="tx1"/>
            </w14:solidFill>
          </w14:textFill>
        </w:rPr>
        <w:t xml:space="preserve">工程  </w:t>
      </w:r>
      <w:r>
        <w:rPr>
          <w:rFonts w:hint="eastAsia"/>
          <w:color w:val="000000" w:themeColor="text1"/>
          <w:sz w:val="28"/>
          <w:szCs w:val="28"/>
          <w14:textFill>
            <w14:solidFill>
              <w14:schemeClr w14:val="tx1"/>
            </w14:solidFill>
          </w14:textFill>
        </w:rPr>
        <w:t>p</w:t>
      </w:r>
      <w:r>
        <w:rPr>
          <w:color w:val="000000" w:themeColor="text1"/>
          <w:sz w:val="28"/>
          <w:szCs w:val="28"/>
          <w14:textFill>
            <w14:solidFill>
              <w14:schemeClr w14:val="tx1"/>
            </w14:solidFill>
          </w14:textFill>
        </w:rPr>
        <w:t>artial renovation project</w:t>
      </w:r>
    </w:p>
    <w:p w14:paraId="16F28954">
      <w:pPr>
        <w:widowControl/>
        <w:snapToGrid w:val="0"/>
        <w:spacing w:line="300" w:lineRule="auto"/>
        <w:ind w:firstLine="567"/>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改变既有建筑中部分楼层平面分隔或楼层局部平面分隔的工程。</w:t>
      </w:r>
    </w:p>
    <w:p w14:paraId="0C0C45E5">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2.0.7</w:t>
      </w:r>
      <w:r>
        <w:rPr>
          <w:rFonts w:ascii="宋体" w:hAnsi="宋体"/>
          <w:color w:val="000000" w:themeColor="text1"/>
          <w:sz w:val="28"/>
          <w:szCs w:val="28"/>
          <w14:textFill>
            <w14:solidFill>
              <w14:schemeClr w14:val="tx1"/>
            </w14:solidFill>
          </w14:textFill>
        </w:rPr>
        <w:t xml:space="preserve">  整体改造</w:t>
      </w:r>
      <w:r>
        <w:rPr>
          <w:rFonts w:hint="eastAsia" w:ascii="宋体" w:hAnsi="宋体"/>
          <w:color w:val="000000" w:themeColor="text1"/>
          <w:sz w:val="28"/>
          <w:szCs w:val="28"/>
          <w14:textFill>
            <w14:solidFill>
              <w14:schemeClr w14:val="tx1"/>
            </w14:solidFill>
          </w14:textFill>
        </w:rPr>
        <w:t xml:space="preserve">工程  </w:t>
      </w:r>
      <w:r>
        <w:rPr>
          <w:rFonts w:hint="eastAsia"/>
          <w:color w:val="000000" w:themeColor="text1"/>
          <w:sz w:val="28"/>
          <w:szCs w:val="28"/>
          <w14:textFill>
            <w14:solidFill>
              <w14:schemeClr w14:val="tx1"/>
            </w14:solidFill>
          </w14:textFill>
        </w:rPr>
        <w:t>o</w:t>
      </w:r>
      <w:r>
        <w:rPr>
          <w:color w:val="000000" w:themeColor="text1"/>
          <w:sz w:val="28"/>
          <w:szCs w:val="28"/>
          <w14:textFill>
            <w14:solidFill>
              <w14:schemeClr w14:val="tx1"/>
            </w14:solidFill>
          </w14:textFill>
        </w:rPr>
        <w:t>verall renovation project</w:t>
      </w:r>
    </w:p>
    <w:p w14:paraId="2759A547">
      <w:pPr>
        <w:widowControl/>
        <w:snapToGrid w:val="0"/>
        <w:spacing w:line="300" w:lineRule="auto"/>
        <w:ind w:left="141" w:leftChars="68" w:firstLine="420"/>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建筑内部平面布局分隔整体改变</w:t>
      </w:r>
      <w:r>
        <w:rPr>
          <w:rFonts w:ascii="宋体" w:hAnsi="宋体"/>
          <w:color w:val="000000" w:themeColor="text1"/>
          <w:sz w:val="28"/>
          <w:szCs w:val="28"/>
          <w14:textFill>
            <w14:solidFill>
              <w14:schemeClr w14:val="tx1"/>
            </w14:solidFill>
          </w14:textFill>
        </w:rPr>
        <w:t>的</w:t>
      </w:r>
      <w:r>
        <w:rPr>
          <w:rFonts w:hint="eastAsia" w:ascii="宋体" w:hAnsi="宋体"/>
          <w:color w:val="000000" w:themeColor="text1"/>
          <w:sz w:val="28"/>
          <w:szCs w:val="28"/>
          <w14:textFill>
            <w14:solidFill>
              <w14:schemeClr w14:val="tx1"/>
            </w14:solidFill>
          </w14:textFill>
        </w:rPr>
        <w:t>既有建筑改造</w:t>
      </w:r>
      <w:r>
        <w:rPr>
          <w:rFonts w:ascii="宋体" w:hAnsi="宋体"/>
          <w:color w:val="000000" w:themeColor="text1"/>
          <w:sz w:val="28"/>
          <w:szCs w:val="28"/>
          <w14:textFill>
            <w14:solidFill>
              <w14:schemeClr w14:val="tx1"/>
            </w14:solidFill>
          </w14:textFill>
        </w:rPr>
        <w:t>工程</w:t>
      </w:r>
      <w:r>
        <w:rPr>
          <w:rFonts w:hint="eastAsia" w:ascii="宋体" w:hAnsi="宋体"/>
          <w:color w:val="000000" w:themeColor="text1"/>
          <w:sz w:val="28"/>
          <w:szCs w:val="28"/>
          <w14:textFill>
            <w14:solidFill>
              <w14:schemeClr w14:val="tx1"/>
            </w14:solidFill>
          </w14:textFill>
        </w:rPr>
        <w:t>行为。</w:t>
      </w:r>
    </w:p>
    <w:p w14:paraId="57380644">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2.0.8  平房院落  </w:t>
      </w:r>
      <w:r>
        <w:rPr>
          <w:rFonts w:hint="eastAsia"/>
          <w:color w:val="000000" w:themeColor="text1"/>
          <w:sz w:val="28"/>
          <w:szCs w:val="28"/>
          <w14:textFill>
            <w14:solidFill>
              <w14:schemeClr w14:val="tx1"/>
            </w14:solidFill>
          </w14:textFill>
        </w:rPr>
        <w:t>b</w:t>
      </w:r>
      <w:r>
        <w:rPr>
          <w:color w:val="000000" w:themeColor="text1"/>
          <w:sz w:val="28"/>
          <w:szCs w:val="28"/>
          <w14:textFill>
            <w14:solidFill>
              <w14:schemeClr w14:val="tx1"/>
            </w14:solidFill>
          </w14:textFill>
        </w:rPr>
        <w:t>ungalow courtyard</w:t>
      </w:r>
    </w:p>
    <w:p w14:paraId="4AA5A495">
      <w:pPr>
        <w:widowControl/>
        <w:snapToGrid w:val="0"/>
        <w:spacing w:line="300" w:lineRule="auto"/>
        <w:ind w:firstLine="567"/>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平房院落指主要位于首都功能核心区内，以单层建筑为主，局部设有多层（含露台）的建筑或建筑群。建筑形式以砖砌体和木材为主，局部采用混凝土结构或钢结构。</w:t>
      </w:r>
    </w:p>
    <w:p w14:paraId="0C63BBF5">
      <w:pPr>
        <w:widowControl/>
        <w:snapToGrid w:val="0"/>
        <w:spacing w:line="300" w:lineRule="auto"/>
        <w:jc w:val="left"/>
        <w:rPr>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2.0.9  平房院落改造工程  </w:t>
      </w:r>
      <w:r>
        <w:rPr>
          <w:rFonts w:hint="eastAsia"/>
          <w:color w:val="000000" w:themeColor="text1"/>
          <w:sz w:val="28"/>
          <w:szCs w:val="28"/>
          <w14:textFill>
            <w14:solidFill>
              <w14:schemeClr w14:val="tx1"/>
            </w14:solidFill>
          </w14:textFill>
        </w:rPr>
        <w:t xml:space="preserve"> r</w:t>
      </w:r>
      <w:r>
        <w:rPr>
          <w:color w:val="000000" w:themeColor="text1"/>
          <w:sz w:val="28"/>
          <w:szCs w:val="28"/>
          <w14:textFill>
            <w14:solidFill>
              <w14:schemeClr w14:val="tx1"/>
            </w14:solidFill>
          </w14:textFill>
        </w:rPr>
        <w:t>enovation project of bungalow courtyards</w:t>
      </w:r>
    </w:p>
    <w:p w14:paraId="2D2062C9">
      <w:pPr>
        <w:widowControl/>
        <w:snapToGrid w:val="0"/>
        <w:spacing w:line="300" w:lineRule="auto"/>
        <w:ind w:firstLine="567"/>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对既有的以单层建筑为主，局部设有多层（含露台），且一般设置有内庭院的平房院落进行改造提升的工程。</w:t>
      </w:r>
    </w:p>
    <w:p w14:paraId="5C489375">
      <w:pPr>
        <w:widowControl/>
        <w:snapToGrid w:val="0"/>
        <w:spacing w:line="300" w:lineRule="auto"/>
        <w:jc w:val="left"/>
        <w:rPr>
          <w:rFonts w:ascii="宋体" w:hAnsi="宋体"/>
          <w:color w:val="000000" w:themeColor="text1"/>
          <w:sz w:val="28"/>
          <w:szCs w:val="28"/>
          <w14:textFill>
            <w14:solidFill>
              <w14:schemeClr w14:val="tx1"/>
            </w14:solidFill>
          </w14:textFill>
        </w:rPr>
      </w:pPr>
    </w:p>
    <w:p w14:paraId="3A9C62BF">
      <w:pPr>
        <w:widowControl/>
        <w:snapToGrid w:val="0"/>
        <w:spacing w:line="300" w:lineRule="auto"/>
        <w:ind w:firstLine="564" w:firstLineChars="196"/>
        <w:jc w:val="left"/>
        <w:rPr>
          <w:rFonts w:ascii="宋体" w:hAnsi="宋体"/>
          <w:color w:val="000000" w:themeColor="text1"/>
          <w:sz w:val="28"/>
          <w:szCs w:val="28"/>
          <w14:textFill>
            <w14:solidFill>
              <w14:schemeClr w14:val="tx1"/>
            </w14:solidFill>
          </w14:textFill>
        </w:rPr>
      </w:pPr>
    </w:p>
    <w:p w14:paraId="7FEAACCF">
      <w:pPr>
        <w:widowControl/>
        <w:snapToGrid w:val="0"/>
        <w:spacing w:line="300" w:lineRule="auto"/>
        <w:jc w:val="left"/>
        <w:rPr>
          <w:rFonts w:ascii="宋体" w:hAnsi="宋体"/>
          <w:color w:val="FF0000"/>
          <w:sz w:val="28"/>
          <w:szCs w:val="28"/>
        </w:rPr>
      </w:pPr>
    </w:p>
    <w:p w14:paraId="2A6512CD">
      <w:pPr>
        <w:pStyle w:val="3"/>
        <w:spacing w:line="360" w:lineRule="auto"/>
        <w:rPr>
          <w:sz w:val="36"/>
          <w:szCs w:val="36"/>
        </w:rPr>
      </w:pPr>
      <w:bookmarkStart w:id="6" w:name="_Toc457811499"/>
      <w:bookmarkStart w:id="7" w:name="_Toc151062641"/>
      <w:bookmarkStart w:id="8" w:name="_Toc151062972"/>
      <w:bookmarkStart w:id="9" w:name="_Toc151063109"/>
      <w:bookmarkStart w:id="10" w:name="_Toc470274895"/>
      <w:bookmarkStart w:id="11" w:name="_Toc466376578"/>
      <w:bookmarkStart w:id="12" w:name="_Toc477258053"/>
      <w:bookmarkStart w:id="13" w:name="_Toc511660062"/>
      <w:r>
        <w:rPr>
          <w:rFonts w:hint="eastAsia"/>
          <w:sz w:val="36"/>
          <w:szCs w:val="36"/>
        </w:rPr>
        <w:t>3  基本规定</w:t>
      </w:r>
      <w:bookmarkEnd w:id="6"/>
      <w:bookmarkEnd w:id="7"/>
      <w:bookmarkEnd w:id="8"/>
      <w:bookmarkEnd w:id="9"/>
      <w:bookmarkEnd w:id="10"/>
      <w:bookmarkEnd w:id="11"/>
      <w:bookmarkEnd w:id="12"/>
      <w:bookmarkEnd w:id="13"/>
    </w:p>
    <w:p w14:paraId="7CE19AE2">
      <w:pPr>
        <w:pStyle w:val="3"/>
        <w:spacing w:line="360" w:lineRule="auto"/>
        <w:rPr>
          <w:rFonts w:ascii="宋体" w:hAnsi="宋体"/>
          <w:color w:val="000000" w:themeColor="text1"/>
          <w:sz w:val="28"/>
          <w:szCs w:val="28"/>
          <w14:textFill>
            <w14:solidFill>
              <w14:schemeClr w14:val="tx1"/>
            </w14:solidFill>
          </w14:textFill>
        </w:rPr>
      </w:pPr>
      <w:bookmarkStart w:id="14" w:name="_Toc151061844"/>
      <w:bookmarkStart w:id="15" w:name="_Toc151063110"/>
      <w:bookmarkStart w:id="16" w:name="_Toc151062973"/>
      <w:bookmarkStart w:id="17" w:name="_Toc151062642"/>
      <w:r>
        <w:rPr>
          <w:rFonts w:hint="eastAsia" w:ascii="宋体" w:hAnsi="宋体"/>
          <w:color w:val="000000" w:themeColor="text1"/>
          <w:sz w:val="28"/>
          <w:szCs w:val="28"/>
          <w14:textFill>
            <w14:solidFill>
              <w14:schemeClr w14:val="tx1"/>
            </w14:solidFill>
          </w14:textFill>
        </w:rPr>
        <w:t>3.1</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分类和分类设计标准</w:t>
      </w:r>
      <w:bookmarkEnd w:id="14"/>
      <w:bookmarkEnd w:id="15"/>
      <w:bookmarkEnd w:id="16"/>
      <w:bookmarkEnd w:id="17"/>
    </w:p>
    <w:p w14:paraId="408F3BCF">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3.1.1</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既有建筑应根据建筑的现状和改造后的建筑高度、建筑规模、建筑类别、使用性质、火灾危险性和使用人员属性等因素，确定相应的防火设计。</w:t>
      </w:r>
    </w:p>
    <w:p w14:paraId="5106E61B">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3.1.2</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既有民用建筑或场所的火灾危险根据其使用人员属性、使用时段特点可按表3</w:t>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1</w:t>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2分为A、B、C、D、E、F六类。</w:t>
      </w:r>
    </w:p>
    <w:p w14:paraId="5ED126CA">
      <w:pPr>
        <w:spacing w:before="162" w:beforeLines="50" w:line="360" w:lineRule="auto"/>
        <w:jc w:val="center"/>
        <w:rPr>
          <w:rFonts w:ascii="黑体" w:hAnsi="黑体" w:eastAsia="黑体"/>
          <w:bCs/>
          <w:sz w:val="24"/>
        </w:rPr>
      </w:pPr>
      <w:r>
        <w:rPr>
          <w:rFonts w:hint="eastAsia" w:ascii="黑体" w:hAnsi="黑体" w:eastAsia="黑体"/>
          <w:bCs/>
          <w:sz w:val="24"/>
        </w:rPr>
        <w:t>表3</w:t>
      </w:r>
      <w:r>
        <w:rPr>
          <w:rFonts w:ascii="黑体" w:hAnsi="黑体" w:eastAsia="黑体"/>
          <w:bCs/>
          <w:sz w:val="24"/>
        </w:rPr>
        <w:t>.</w:t>
      </w:r>
      <w:r>
        <w:rPr>
          <w:rFonts w:hint="eastAsia" w:ascii="黑体" w:hAnsi="黑体" w:eastAsia="黑体"/>
          <w:bCs/>
          <w:sz w:val="24"/>
        </w:rPr>
        <w:t>1</w:t>
      </w:r>
      <w:r>
        <w:rPr>
          <w:rFonts w:ascii="黑体" w:hAnsi="黑体" w:eastAsia="黑体"/>
          <w:bCs/>
          <w:sz w:val="24"/>
        </w:rPr>
        <w:t>.</w:t>
      </w:r>
      <w:r>
        <w:rPr>
          <w:rFonts w:hint="eastAsia" w:ascii="黑体" w:hAnsi="黑体" w:eastAsia="黑体"/>
          <w:bCs/>
          <w:sz w:val="24"/>
        </w:rPr>
        <w:t>2</w:t>
      </w:r>
      <w:r>
        <w:rPr>
          <w:rFonts w:ascii="黑体" w:hAnsi="黑体" w:eastAsia="黑体"/>
          <w:bCs/>
          <w:sz w:val="24"/>
        </w:rPr>
        <w:t xml:space="preserve"> </w:t>
      </w:r>
      <w:r>
        <w:rPr>
          <w:rFonts w:hint="eastAsia" w:ascii="黑体" w:hAnsi="黑体" w:eastAsia="黑体"/>
          <w:bCs/>
          <w:sz w:val="24"/>
        </w:rPr>
        <w:t>既有民用建筑或场所火灾危险分类表</w:t>
      </w:r>
    </w:p>
    <w:tbl>
      <w:tblPr>
        <w:tblStyle w:val="1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3432"/>
        <w:gridCol w:w="1144"/>
        <w:gridCol w:w="4184"/>
      </w:tblGrid>
      <w:tr w14:paraId="2619B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14:paraId="04DEC2D4">
            <w:pPr>
              <w:spacing w:line="276" w:lineRule="auto"/>
              <w:jc w:val="center"/>
              <w:rPr>
                <w:rFonts w:asciiTheme="minorEastAsia" w:hAnsiTheme="minorEastAsia" w:eastAsiaTheme="minorEastAsia"/>
                <w:spacing w:val="0"/>
                <w:sz w:val="21"/>
                <w:szCs w:val="21"/>
              </w:rPr>
            </w:pPr>
            <w:bookmarkStart w:id="18" w:name="_Hlk146480365"/>
            <w:r>
              <w:rPr>
                <w:rFonts w:hint="eastAsia" w:asciiTheme="minorEastAsia" w:hAnsiTheme="minorEastAsia" w:eastAsiaTheme="minorEastAsia"/>
                <w:spacing w:val="0"/>
                <w:sz w:val="21"/>
                <w:szCs w:val="21"/>
              </w:rPr>
              <w:t>类别</w:t>
            </w:r>
          </w:p>
        </w:tc>
        <w:tc>
          <w:tcPr>
            <w:tcW w:w="2977" w:type="dxa"/>
            <w:vAlign w:val="center"/>
          </w:tcPr>
          <w:p w14:paraId="0E690006">
            <w:pPr>
              <w:spacing w:line="276" w:lineRule="auto"/>
              <w:jc w:val="center"/>
              <w:rPr>
                <w:rFonts w:asciiTheme="minorEastAsia" w:hAnsiTheme="minorEastAsia" w:eastAsiaTheme="minorEastAsia"/>
                <w:spacing w:val="0"/>
                <w:sz w:val="21"/>
                <w:szCs w:val="21"/>
              </w:rPr>
            </w:pPr>
            <w:r>
              <w:rPr>
                <w:rFonts w:hint="eastAsia" w:asciiTheme="minorEastAsia" w:hAnsiTheme="minorEastAsia" w:eastAsiaTheme="minorEastAsia"/>
                <w:spacing w:val="0"/>
                <w:sz w:val="21"/>
                <w:szCs w:val="21"/>
              </w:rPr>
              <w:t>使用人员属性</w:t>
            </w:r>
          </w:p>
        </w:tc>
        <w:tc>
          <w:tcPr>
            <w:tcW w:w="992" w:type="dxa"/>
            <w:vAlign w:val="center"/>
          </w:tcPr>
          <w:p w14:paraId="49BFBEE3">
            <w:pPr>
              <w:spacing w:line="276" w:lineRule="auto"/>
              <w:jc w:val="center"/>
              <w:rPr>
                <w:rFonts w:asciiTheme="minorEastAsia" w:hAnsiTheme="minorEastAsia" w:eastAsiaTheme="minorEastAsia"/>
                <w:spacing w:val="0"/>
                <w:sz w:val="21"/>
                <w:szCs w:val="21"/>
              </w:rPr>
            </w:pPr>
            <w:r>
              <w:rPr>
                <w:rFonts w:hint="eastAsia" w:asciiTheme="minorEastAsia" w:hAnsiTheme="minorEastAsia" w:eastAsiaTheme="minorEastAsia"/>
                <w:spacing w:val="0"/>
                <w:sz w:val="21"/>
                <w:szCs w:val="21"/>
              </w:rPr>
              <w:t>使用</w:t>
            </w:r>
            <w:r>
              <w:rPr>
                <w:rFonts w:asciiTheme="minorEastAsia" w:hAnsiTheme="minorEastAsia" w:eastAsiaTheme="minorEastAsia"/>
                <w:spacing w:val="0"/>
                <w:sz w:val="21"/>
                <w:szCs w:val="21"/>
              </w:rPr>
              <w:br w:type="textWrapping"/>
            </w:r>
            <w:r>
              <w:rPr>
                <w:rFonts w:hint="eastAsia" w:asciiTheme="minorEastAsia" w:hAnsiTheme="minorEastAsia" w:eastAsiaTheme="minorEastAsia"/>
                <w:spacing w:val="0"/>
                <w:sz w:val="21"/>
                <w:szCs w:val="21"/>
              </w:rPr>
              <w:t>时段</w:t>
            </w:r>
          </w:p>
        </w:tc>
        <w:tc>
          <w:tcPr>
            <w:tcW w:w="3629" w:type="dxa"/>
            <w:vAlign w:val="center"/>
          </w:tcPr>
          <w:p w14:paraId="41409076">
            <w:pPr>
              <w:spacing w:line="276" w:lineRule="auto"/>
              <w:jc w:val="center"/>
              <w:rPr>
                <w:rFonts w:asciiTheme="minorEastAsia" w:hAnsiTheme="minorEastAsia" w:eastAsiaTheme="minorEastAsia"/>
                <w:spacing w:val="0"/>
                <w:sz w:val="21"/>
                <w:szCs w:val="21"/>
              </w:rPr>
            </w:pPr>
            <w:r>
              <w:rPr>
                <w:rFonts w:hint="eastAsia" w:asciiTheme="minorEastAsia" w:hAnsiTheme="minorEastAsia" w:eastAsiaTheme="minorEastAsia"/>
                <w:spacing w:val="0"/>
                <w:sz w:val="21"/>
                <w:szCs w:val="21"/>
              </w:rPr>
              <w:t>典型建筑场所</w:t>
            </w:r>
          </w:p>
        </w:tc>
      </w:tr>
      <w:tr w14:paraId="32F8C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14:paraId="580DC2CC">
            <w:pPr>
              <w:spacing w:line="276" w:lineRule="auto"/>
              <w:jc w:val="center"/>
              <w:rPr>
                <w:rFonts w:asciiTheme="minorEastAsia" w:hAnsiTheme="minorEastAsia" w:eastAsiaTheme="minorEastAsia"/>
                <w:bCs/>
                <w:spacing w:val="0"/>
                <w:sz w:val="21"/>
                <w:szCs w:val="21"/>
              </w:rPr>
            </w:pPr>
            <w:r>
              <w:rPr>
                <w:rFonts w:hint="eastAsia" w:asciiTheme="minorEastAsia" w:hAnsiTheme="minorEastAsia" w:eastAsiaTheme="minorEastAsia"/>
                <w:bCs/>
                <w:spacing w:val="0"/>
                <w:sz w:val="21"/>
                <w:szCs w:val="21"/>
              </w:rPr>
              <w:t>A</w:t>
            </w:r>
          </w:p>
        </w:tc>
        <w:tc>
          <w:tcPr>
            <w:tcW w:w="2977" w:type="dxa"/>
            <w:vAlign w:val="center"/>
          </w:tcPr>
          <w:p w14:paraId="1FA27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inorEastAsia" w:hAnsiTheme="minorEastAsia" w:eastAsiaTheme="minorEastAsia"/>
                <w:bCs/>
                <w:spacing w:val="0"/>
                <w:sz w:val="21"/>
                <w:szCs w:val="21"/>
              </w:rPr>
            </w:pPr>
            <w:r>
              <w:rPr>
                <w:rFonts w:hint="eastAsia" w:cs="宋体" w:asciiTheme="minorEastAsia" w:hAnsiTheme="minorEastAsia" w:eastAsiaTheme="minorEastAsia"/>
                <w:spacing w:val="0"/>
                <w:kern w:val="0"/>
                <w:sz w:val="21"/>
                <w:szCs w:val="21"/>
              </w:rPr>
              <w:t>通常熟悉疏散路径，具有自主疏散能力</w:t>
            </w:r>
          </w:p>
        </w:tc>
        <w:tc>
          <w:tcPr>
            <w:tcW w:w="992" w:type="dxa"/>
            <w:vAlign w:val="center"/>
          </w:tcPr>
          <w:p w14:paraId="5EEA10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cs="宋体" w:asciiTheme="minorEastAsia" w:hAnsiTheme="minorEastAsia" w:eastAsiaTheme="minorEastAsia"/>
                <w:spacing w:val="0"/>
                <w:kern w:val="0"/>
                <w:sz w:val="21"/>
                <w:szCs w:val="21"/>
              </w:rPr>
            </w:pPr>
            <w:r>
              <w:rPr>
                <w:rFonts w:hint="eastAsia" w:cs="宋体" w:asciiTheme="minorEastAsia" w:hAnsiTheme="minorEastAsia" w:eastAsiaTheme="minorEastAsia"/>
                <w:spacing w:val="0"/>
                <w:kern w:val="0"/>
                <w:sz w:val="21"/>
                <w:szCs w:val="21"/>
              </w:rPr>
              <w:t>白天</w:t>
            </w:r>
          </w:p>
        </w:tc>
        <w:tc>
          <w:tcPr>
            <w:tcW w:w="3629" w:type="dxa"/>
            <w:vAlign w:val="center"/>
          </w:tcPr>
          <w:p w14:paraId="3DEE5E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cs="宋体" w:asciiTheme="minorEastAsia" w:hAnsiTheme="minorEastAsia" w:eastAsiaTheme="minorEastAsia"/>
                <w:spacing w:val="0"/>
                <w:kern w:val="0"/>
                <w:sz w:val="21"/>
                <w:szCs w:val="21"/>
              </w:rPr>
            </w:pPr>
            <w:r>
              <w:rPr>
                <w:rFonts w:hint="eastAsia" w:cs="宋体" w:asciiTheme="minorEastAsia" w:hAnsiTheme="minorEastAsia" w:eastAsiaTheme="minorEastAsia"/>
                <w:spacing w:val="0"/>
                <w:kern w:val="0"/>
                <w:sz w:val="21"/>
                <w:szCs w:val="21"/>
              </w:rPr>
              <w:t>办公建筑，科学实验建筑中科研楼、实验楼</w:t>
            </w:r>
          </w:p>
        </w:tc>
      </w:tr>
      <w:tr w14:paraId="00AA4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14:paraId="3424D13E">
            <w:pPr>
              <w:spacing w:line="276" w:lineRule="auto"/>
              <w:jc w:val="center"/>
              <w:rPr>
                <w:rFonts w:asciiTheme="minorEastAsia" w:hAnsiTheme="minorEastAsia" w:eastAsiaTheme="minorEastAsia"/>
                <w:bCs/>
                <w:spacing w:val="0"/>
                <w:sz w:val="21"/>
                <w:szCs w:val="21"/>
              </w:rPr>
            </w:pPr>
            <w:r>
              <w:rPr>
                <w:rFonts w:hint="eastAsia" w:asciiTheme="minorEastAsia" w:hAnsiTheme="minorEastAsia" w:eastAsiaTheme="minorEastAsia"/>
                <w:bCs/>
                <w:spacing w:val="0"/>
                <w:sz w:val="21"/>
                <w:szCs w:val="21"/>
              </w:rPr>
              <w:t>B</w:t>
            </w:r>
          </w:p>
        </w:tc>
        <w:tc>
          <w:tcPr>
            <w:tcW w:w="2977" w:type="dxa"/>
            <w:vAlign w:val="center"/>
          </w:tcPr>
          <w:p w14:paraId="6C96BAAC">
            <w:pPr>
              <w:spacing w:line="276" w:lineRule="auto"/>
              <w:rPr>
                <w:rFonts w:asciiTheme="minorEastAsia" w:hAnsiTheme="minorEastAsia" w:eastAsiaTheme="minorEastAsia"/>
                <w:bCs/>
                <w:spacing w:val="0"/>
                <w:sz w:val="21"/>
                <w:szCs w:val="21"/>
              </w:rPr>
            </w:pPr>
            <w:r>
              <w:rPr>
                <w:rFonts w:hint="eastAsia" w:cs="宋体" w:asciiTheme="minorEastAsia" w:hAnsiTheme="minorEastAsia" w:eastAsiaTheme="minorEastAsia"/>
                <w:spacing w:val="0"/>
                <w:kern w:val="0"/>
                <w:sz w:val="21"/>
                <w:szCs w:val="21"/>
              </w:rPr>
              <w:t>通常大部分人员熟悉疏散路径，具有自主疏散能力</w:t>
            </w:r>
          </w:p>
        </w:tc>
        <w:tc>
          <w:tcPr>
            <w:tcW w:w="992" w:type="dxa"/>
            <w:vAlign w:val="center"/>
          </w:tcPr>
          <w:p w14:paraId="4BEB124F">
            <w:pPr>
              <w:spacing w:line="276" w:lineRule="auto"/>
              <w:jc w:val="center"/>
              <w:rPr>
                <w:rFonts w:cs="宋体" w:asciiTheme="minorEastAsia" w:hAnsiTheme="minorEastAsia" w:eastAsiaTheme="minorEastAsia"/>
                <w:spacing w:val="0"/>
                <w:kern w:val="0"/>
                <w:sz w:val="21"/>
                <w:szCs w:val="21"/>
              </w:rPr>
            </w:pPr>
            <w:r>
              <w:rPr>
                <w:rFonts w:hint="eastAsia" w:cs="宋体" w:asciiTheme="minorEastAsia" w:hAnsiTheme="minorEastAsia" w:eastAsiaTheme="minorEastAsia"/>
                <w:spacing w:val="0"/>
                <w:kern w:val="0"/>
                <w:sz w:val="21"/>
                <w:szCs w:val="21"/>
              </w:rPr>
              <w:t>白天</w:t>
            </w:r>
          </w:p>
        </w:tc>
        <w:tc>
          <w:tcPr>
            <w:tcW w:w="3629" w:type="dxa"/>
            <w:vAlign w:val="center"/>
          </w:tcPr>
          <w:p w14:paraId="7500C798">
            <w:pPr>
              <w:spacing w:line="276" w:lineRule="auto"/>
              <w:rPr>
                <w:rFonts w:cs="宋体" w:asciiTheme="minorEastAsia" w:hAnsiTheme="minorEastAsia" w:eastAsiaTheme="minorEastAsia"/>
                <w:spacing w:val="0"/>
                <w:kern w:val="0"/>
                <w:sz w:val="21"/>
                <w:szCs w:val="21"/>
              </w:rPr>
            </w:pPr>
            <w:r>
              <w:rPr>
                <w:rFonts w:hint="eastAsia" w:cs="宋体" w:asciiTheme="minorEastAsia" w:hAnsiTheme="minorEastAsia" w:eastAsiaTheme="minorEastAsia"/>
                <w:spacing w:val="0"/>
                <w:kern w:val="0"/>
                <w:sz w:val="21"/>
                <w:szCs w:val="21"/>
              </w:rPr>
              <w:t>教育建筑中中小学教育场所、中等教育场所、高等教育场所，体育建筑中大众健身场所</w:t>
            </w:r>
          </w:p>
        </w:tc>
      </w:tr>
      <w:tr w14:paraId="050A4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14:paraId="287E862F">
            <w:pPr>
              <w:spacing w:line="276" w:lineRule="auto"/>
              <w:jc w:val="center"/>
              <w:rPr>
                <w:rFonts w:asciiTheme="minorEastAsia" w:hAnsiTheme="minorEastAsia" w:eastAsiaTheme="minorEastAsia"/>
                <w:bCs/>
                <w:spacing w:val="0"/>
                <w:sz w:val="21"/>
                <w:szCs w:val="21"/>
              </w:rPr>
            </w:pPr>
            <w:r>
              <w:rPr>
                <w:rFonts w:hint="eastAsia" w:asciiTheme="minorEastAsia" w:hAnsiTheme="minorEastAsia" w:eastAsiaTheme="minorEastAsia"/>
                <w:bCs/>
                <w:spacing w:val="0"/>
                <w:sz w:val="21"/>
                <w:szCs w:val="21"/>
              </w:rPr>
              <w:t>C</w:t>
            </w:r>
          </w:p>
        </w:tc>
        <w:tc>
          <w:tcPr>
            <w:tcW w:w="2977" w:type="dxa"/>
            <w:vAlign w:val="center"/>
          </w:tcPr>
          <w:p w14:paraId="3416FB60">
            <w:pPr>
              <w:spacing w:line="276" w:lineRule="auto"/>
              <w:rPr>
                <w:rFonts w:asciiTheme="minorEastAsia" w:hAnsiTheme="minorEastAsia" w:eastAsiaTheme="minorEastAsia"/>
                <w:bCs/>
                <w:spacing w:val="0"/>
                <w:sz w:val="21"/>
                <w:szCs w:val="21"/>
              </w:rPr>
            </w:pPr>
            <w:r>
              <w:rPr>
                <w:rFonts w:hint="eastAsia" w:cs="宋体" w:asciiTheme="minorEastAsia" w:hAnsiTheme="minorEastAsia" w:eastAsiaTheme="minorEastAsia"/>
                <w:spacing w:val="0"/>
                <w:kern w:val="0"/>
                <w:sz w:val="21"/>
                <w:szCs w:val="21"/>
              </w:rPr>
              <w:t>人员密度大，通常不熟悉路径，具有自主疏散能力</w:t>
            </w:r>
          </w:p>
        </w:tc>
        <w:tc>
          <w:tcPr>
            <w:tcW w:w="992" w:type="dxa"/>
            <w:vAlign w:val="center"/>
          </w:tcPr>
          <w:p w14:paraId="61C2D3A6">
            <w:pPr>
              <w:spacing w:line="276" w:lineRule="auto"/>
              <w:jc w:val="center"/>
              <w:rPr>
                <w:rFonts w:cs="宋体" w:asciiTheme="minorEastAsia" w:hAnsiTheme="minorEastAsia" w:eastAsiaTheme="minorEastAsia"/>
                <w:spacing w:val="0"/>
                <w:kern w:val="0"/>
                <w:sz w:val="21"/>
                <w:szCs w:val="21"/>
              </w:rPr>
            </w:pPr>
            <w:r>
              <w:rPr>
                <w:rFonts w:hint="eastAsia" w:cs="宋体" w:asciiTheme="minorEastAsia" w:hAnsiTheme="minorEastAsia" w:eastAsiaTheme="minorEastAsia"/>
                <w:spacing w:val="0"/>
                <w:kern w:val="0"/>
                <w:sz w:val="21"/>
                <w:szCs w:val="21"/>
              </w:rPr>
              <w:t>白天</w:t>
            </w:r>
          </w:p>
        </w:tc>
        <w:tc>
          <w:tcPr>
            <w:tcW w:w="3629" w:type="dxa"/>
            <w:vAlign w:val="center"/>
          </w:tcPr>
          <w:p w14:paraId="1BDD1F9B">
            <w:pPr>
              <w:spacing w:line="276" w:lineRule="auto"/>
              <w:rPr>
                <w:rFonts w:cs="宋体" w:asciiTheme="minorEastAsia" w:hAnsiTheme="minorEastAsia" w:eastAsiaTheme="minorEastAsia"/>
                <w:spacing w:val="0"/>
                <w:kern w:val="0"/>
                <w:sz w:val="21"/>
                <w:szCs w:val="21"/>
              </w:rPr>
            </w:pPr>
            <w:r>
              <w:rPr>
                <w:rFonts w:hint="eastAsia" w:cs="宋体" w:asciiTheme="minorEastAsia" w:hAnsiTheme="minorEastAsia" w:eastAsiaTheme="minorEastAsia"/>
                <w:spacing w:val="0"/>
                <w:kern w:val="0"/>
                <w:sz w:val="21"/>
                <w:szCs w:val="21"/>
              </w:rPr>
              <w:t>商业建筑中售卖场所、维修服务场所，饮食建筑中餐馆、饮食店，文化建筑中文化活动场所、会议展览场所，交通场站中旅客车站、航站楼、地铁车站</w:t>
            </w:r>
          </w:p>
        </w:tc>
      </w:tr>
      <w:tr w14:paraId="1A0C6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14:paraId="20D767AD">
            <w:pPr>
              <w:spacing w:line="276" w:lineRule="auto"/>
              <w:jc w:val="center"/>
              <w:rPr>
                <w:rFonts w:asciiTheme="minorEastAsia" w:hAnsiTheme="minorEastAsia" w:eastAsiaTheme="minorEastAsia"/>
                <w:bCs/>
                <w:spacing w:val="0"/>
                <w:sz w:val="21"/>
                <w:szCs w:val="21"/>
              </w:rPr>
            </w:pPr>
            <w:r>
              <w:rPr>
                <w:rFonts w:asciiTheme="minorEastAsia" w:hAnsiTheme="minorEastAsia" w:eastAsiaTheme="minorEastAsia"/>
                <w:bCs/>
                <w:spacing w:val="0"/>
                <w:sz w:val="21"/>
                <w:szCs w:val="21"/>
              </w:rPr>
              <w:t>D</w:t>
            </w:r>
          </w:p>
        </w:tc>
        <w:tc>
          <w:tcPr>
            <w:tcW w:w="2977" w:type="dxa"/>
            <w:vAlign w:val="center"/>
          </w:tcPr>
          <w:p w14:paraId="5A128287">
            <w:pPr>
              <w:spacing w:line="276" w:lineRule="auto"/>
              <w:rPr>
                <w:rFonts w:asciiTheme="minorEastAsia" w:hAnsiTheme="minorEastAsia" w:eastAsiaTheme="minorEastAsia"/>
                <w:bCs/>
                <w:spacing w:val="0"/>
                <w:sz w:val="21"/>
                <w:szCs w:val="21"/>
              </w:rPr>
            </w:pPr>
            <w:r>
              <w:rPr>
                <w:rFonts w:hint="eastAsia" w:cs="宋体" w:asciiTheme="minorEastAsia" w:hAnsiTheme="minorEastAsia" w:eastAsiaTheme="minorEastAsia"/>
                <w:spacing w:val="0"/>
                <w:kern w:val="0"/>
                <w:sz w:val="21"/>
                <w:szCs w:val="21"/>
              </w:rPr>
              <w:t>通常熟悉疏散路径，具有自主疏散能力</w:t>
            </w:r>
          </w:p>
        </w:tc>
        <w:tc>
          <w:tcPr>
            <w:tcW w:w="992" w:type="dxa"/>
            <w:vAlign w:val="center"/>
          </w:tcPr>
          <w:p w14:paraId="344573BB">
            <w:pPr>
              <w:spacing w:line="276" w:lineRule="auto"/>
              <w:jc w:val="center"/>
              <w:rPr>
                <w:rFonts w:cs="宋体" w:asciiTheme="minorEastAsia" w:hAnsiTheme="minorEastAsia" w:eastAsiaTheme="minorEastAsia"/>
                <w:spacing w:val="0"/>
                <w:kern w:val="0"/>
                <w:sz w:val="21"/>
                <w:szCs w:val="21"/>
              </w:rPr>
            </w:pPr>
            <w:r>
              <w:rPr>
                <w:rFonts w:hint="eastAsia" w:asciiTheme="minorEastAsia" w:hAnsiTheme="minorEastAsia" w:eastAsiaTheme="minorEastAsia"/>
                <w:bCs/>
                <w:spacing w:val="0"/>
                <w:sz w:val="21"/>
                <w:szCs w:val="21"/>
              </w:rPr>
              <w:t>全天</w:t>
            </w:r>
          </w:p>
        </w:tc>
        <w:tc>
          <w:tcPr>
            <w:tcW w:w="3629" w:type="dxa"/>
            <w:vAlign w:val="center"/>
          </w:tcPr>
          <w:p w14:paraId="1378C93A">
            <w:pPr>
              <w:spacing w:line="276" w:lineRule="auto"/>
              <w:rPr>
                <w:rFonts w:asciiTheme="minorEastAsia" w:hAnsiTheme="minorEastAsia" w:eastAsiaTheme="minorEastAsia"/>
                <w:bCs/>
                <w:spacing w:val="0"/>
                <w:sz w:val="21"/>
                <w:szCs w:val="21"/>
              </w:rPr>
            </w:pPr>
            <w:r>
              <w:rPr>
                <w:rFonts w:hint="eastAsia" w:cs="宋体" w:asciiTheme="minorEastAsia" w:hAnsiTheme="minorEastAsia" w:eastAsiaTheme="minorEastAsia"/>
                <w:spacing w:val="0"/>
                <w:kern w:val="0"/>
                <w:sz w:val="21"/>
                <w:szCs w:val="21"/>
              </w:rPr>
              <w:t>住宅建筑，宿舍类建筑中专家公寓、长租公寓、学生宿舍</w:t>
            </w:r>
          </w:p>
        </w:tc>
      </w:tr>
      <w:tr w14:paraId="316B6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14:paraId="3F77336E">
            <w:pPr>
              <w:spacing w:line="276" w:lineRule="auto"/>
              <w:jc w:val="center"/>
              <w:rPr>
                <w:rFonts w:asciiTheme="minorEastAsia" w:hAnsiTheme="minorEastAsia" w:eastAsiaTheme="minorEastAsia"/>
                <w:bCs/>
                <w:spacing w:val="0"/>
                <w:sz w:val="21"/>
                <w:szCs w:val="21"/>
              </w:rPr>
            </w:pPr>
            <w:r>
              <w:rPr>
                <w:rFonts w:hint="eastAsia" w:asciiTheme="minorEastAsia" w:hAnsiTheme="minorEastAsia" w:eastAsiaTheme="minorEastAsia"/>
                <w:bCs/>
                <w:spacing w:val="0"/>
                <w:sz w:val="21"/>
                <w:szCs w:val="21"/>
              </w:rPr>
              <w:t>E</w:t>
            </w:r>
          </w:p>
        </w:tc>
        <w:tc>
          <w:tcPr>
            <w:tcW w:w="2977" w:type="dxa"/>
            <w:vAlign w:val="center"/>
          </w:tcPr>
          <w:p w14:paraId="5CECA417">
            <w:pPr>
              <w:spacing w:line="276" w:lineRule="auto"/>
              <w:rPr>
                <w:rFonts w:asciiTheme="minorEastAsia" w:hAnsiTheme="minorEastAsia" w:eastAsiaTheme="minorEastAsia"/>
                <w:bCs/>
                <w:spacing w:val="0"/>
                <w:sz w:val="21"/>
                <w:szCs w:val="21"/>
              </w:rPr>
            </w:pPr>
            <w:r>
              <w:rPr>
                <w:rFonts w:hint="eastAsia" w:cs="宋体" w:asciiTheme="minorEastAsia" w:hAnsiTheme="minorEastAsia" w:eastAsiaTheme="minorEastAsia"/>
                <w:spacing w:val="0"/>
                <w:kern w:val="0"/>
                <w:sz w:val="21"/>
                <w:szCs w:val="21"/>
              </w:rPr>
              <w:t>通常不熟悉疏散路径，具有自主疏散能力</w:t>
            </w:r>
          </w:p>
        </w:tc>
        <w:tc>
          <w:tcPr>
            <w:tcW w:w="992" w:type="dxa"/>
            <w:vAlign w:val="center"/>
          </w:tcPr>
          <w:p w14:paraId="03B55EC2">
            <w:pPr>
              <w:spacing w:line="276" w:lineRule="auto"/>
              <w:jc w:val="center"/>
              <w:rPr>
                <w:rFonts w:cs="宋体" w:asciiTheme="minorEastAsia" w:hAnsiTheme="minorEastAsia" w:eastAsiaTheme="minorEastAsia"/>
                <w:spacing w:val="0"/>
                <w:kern w:val="0"/>
                <w:sz w:val="21"/>
                <w:szCs w:val="21"/>
              </w:rPr>
            </w:pPr>
            <w:r>
              <w:rPr>
                <w:rFonts w:hint="eastAsia" w:asciiTheme="minorEastAsia" w:hAnsiTheme="minorEastAsia" w:eastAsiaTheme="minorEastAsia"/>
                <w:bCs/>
                <w:spacing w:val="0"/>
                <w:sz w:val="21"/>
                <w:szCs w:val="21"/>
              </w:rPr>
              <w:t>全天</w:t>
            </w:r>
          </w:p>
        </w:tc>
        <w:tc>
          <w:tcPr>
            <w:tcW w:w="3629" w:type="dxa"/>
            <w:vAlign w:val="center"/>
          </w:tcPr>
          <w:p w14:paraId="76BE4C7D">
            <w:pPr>
              <w:spacing w:line="276" w:lineRule="auto"/>
              <w:rPr>
                <w:rFonts w:asciiTheme="minorEastAsia" w:hAnsiTheme="minorEastAsia" w:eastAsiaTheme="minorEastAsia"/>
                <w:bCs/>
                <w:spacing w:val="0"/>
                <w:sz w:val="21"/>
                <w:szCs w:val="21"/>
              </w:rPr>
            </w:pPr>
            <w:r>
              <w:rPr>
                <w:rFonts w:hint="eastAsia" w:cs="宋体" w:asciiTheme="minorEastAsia" w:hAnsiTheme="minorEastAsia" w:eastAsiaTheme="minorEastAsia"/>
                <w:spacing w:val="0"/>
                <w:kern w:val="0"/>
                <w:sz w:val="21"/>
                <w:szCs w:val="21"/>
              </w:rPr>
              <w:t>旅馆建筑中酒店、宾馆、招待所，商业建筑休闲场所中卡拉O</w:t>
            </w:r>
            <w:r>
              <w:rPr>
                <w:rFonts w:cs="宋体" w:asciiTheme="minorEastAsia" w:hAnsiTheme="minorEastAsia" w:eastAsiaTheme="minorEastAsia"/>
                <w:spacing w:val="0"/>
                <w:kern w:val="0"/>
                <w:sz w:val="21"/>
                <w:szCs w:val="21"/>
              </w:rPr>
              <w:t>K</w:t>
            </w:r>
            <w:r>
              <w:rPr>
                <w:rFonts w:hint="eastAsia" w:cs="宋体" w:asciiTheme="minorEastAsia" w:hAnsiTheme="minorEastAsia" w:eastAsiaTheme="minorEastAsia"/>
                <w:spacing w:val="0"/>
                <w:kern w:val="0"/>
                <w:sz w:val="21"/>
                <w:szCs w:val="21"/>
              </w:rPr>
              <w:t>厅</w:t>
            </w:r>
          </w:p>
        </w:tc>
      </w:tr>
      <w:tr w14:paraId="05F46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14:paraId="6B79CA16">
            <w:pPr>
              <w:spacing w:line="276" w:lineRule="auto"/>
              <w:jc w:val="center"/>
              <w:rPr>
                <w:rFonts w:asciiTheme="minorEastAsia" w:hAnsiTheme="minorEastAsia" w:eastAsiaTheme="minorEastAsia"/>
                <w:bCs/>
                <w:spacing w:val="0"/>
                <w:sz w:val="21"/>
                <w:szCs w:val="21"/>
              </w:rPr>
            </w:pPr>
            <w:r>
              <w:rPr>
                <w:rFonts w:hint="eastAsia" w:asciiTheme="minorEastAsia" w:hAnsiTheme="minorEastAsia" w:eastAsiaTheme="minorEastAsia"/>
                <w:bCs/>
                <w:spacing w:val="0"/>
                <w:sz w:val="21"/>
                <w:szCs w:val="21"/>
              </w:rPr>
              <w:t>F</w:t>
            </w:r>
          </w:p>
        </w:tc>
        <w:tc>
          <w:tcPr>
            <w:tcW w:w="2977" w:type="dxa"/>
            <w:vAlign w:val="center"/>
          </w:tcPr>
          <w:p w14:paraId="06CBC3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inorEastAsia" w:hAnsiTheme="minorEastAsia" w:eastAsiaTheme="minorEastAsia"/>
                <w:bCs/>
                <w:spacing w:val="0"/>
                <w:sz w:val="21"/>
                <w:szCs w:val="21"/>
              </w:rPr>
            </w:pPr>
            <w:r>
              <w:rPr>
                <w:rFonts w:hint="eastAsia" w:cs="宋体" w:asciiTheme="minorEastAsia" w:hAnsiTheme="minorEastAsia" w:eastAsiaTheme="minorEastAsia"/>
                <w:spacing w:val="0"/>
                <w:kern w:val="0"/>
                <w:sz w:val="21"/>
                <w:szCs w:val="21"/>
              </w:rPr>
              <w:t>无自主疏散能力</w:t>
            </w:r>
          </w:p>
        </w:tc>
        <w:tc>
          <w:tcPr>
            <w:tcW w:w="992" w:type="dxa"/>
            <w:vAlign w:val="center"/>
          </w:tcPr>
          <w:p w14:paraId="38A22C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cs="宋体" w:asciiTheme="minorEastAsia" w:hAnsiTheme="minorEastAsia" w:eastAsiaTheme="minorEastAsia"/>
                <w:spacing w:val="0"/>
                <w:kern w:val="0"/>
                <w:sz w:val="21"/>
                <w:szCs w:val="21"/>
              </w:rPr>
            </w:pPr>
            <w:r>
              <w:rPr>
                <w:rFonts w:hint="eastAsia" w:cs="宋体" w:asciiTheme="minorEastAsia" w:hAnsiTheme="minorEastAsia" w:eastAsiaTheme="minorEastAsia"/>
                <w:spacing w:val="0"/>
                <w:kern w:val="0"/>
                <w:sz w:val="21"/>
                <w:szCs w:val="21"/>
              </w:rPr>
              <w:t>白天或</w:t>
            </w:r>
            <w:r>
              <w:rPr>
                <w:rFonts w:hint="eastAsia" w:asciiTheme="minorEastAsia" w:hAnsiTheme="minorEastAsia" w:eastAsiaTheme="minorEastAsia"/>
                <w:bCs/>
                <w:spacing w:val="0"/>
                <w:sz w:val="21"/>
                <w:szCs w:val="21"/>
              </w:rPr>
              <w:t>全天</w:t>
            </w:r>
          </w:p>
        </w:tc>
        <w:tc>
          <w:tcPr>
            <w:tcW w:w="3629" w:type="dxa"/>
            <w:vAlign w:val="center"/>
          </w:tcPr>
          <w:p w14:paraId="25F304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cs="宋体" w:asciiTheme="minorEastAsia" w:hAnsiTheme="minorEastAsia" w:eastAsiaTheme="minorEastAsia"/>
                <w:spacing w:val="0"/>
                <w:kern w:val="0"/>
                <w:sz w:val="21"/>
                <w:szCs w:val="21"/>
              </w:rPr>
            </w:pPr>
            <w:r>
              <w:rPr>
                <w:rFonts w:hint="eastAsia" w:cs="宋体" w:asciiTheme="minorEastAsia" w:hAnsiTheme="minorEastAsia" w:eastAsiaTheme="minorEastAsia"/>
                <w:spacing w:val="0"/>
                <w:kern w:val="0"/>
                <w:sz w:val="21"/>
                <w:szCs w:val="21"/>
              </w:rPr>
              <w:t>民政建筑中养老院、敬老院、老年人活动场所，医疗建筑中住院楼，教育建筑中</w:t>
            </w:r>
            <w:r>
              <w:rPr>
                <w:rFonts w:hint="eastAsia" w:asciiTheme="minorEastAsia" w:hAnsiTheme="minorEastAsia" w:eastAsiaTheme="minorEastAsia"/>
                <w:bCs/>
                <w:spacing w:val="0"/>
                <w:sz w:val="21"/>
                <w:szCs w:val="21"/>
              </w:rPr>
              <w:t>托儿所、幼儿园</w:t>
            </w:r>
            <w:r>
              <w:rPr>
                <w:rFonts w:hint="eastAsia" w:cs="宋体" w:asciiTheme="minorEastAsia" w:hAnsiTheme="minorEastAsia" w:eastAsiaTheme="minorEastAsia"/>
                <w:spacing w:val="0"/>
                <w:kern w:val="0"/>
                <w:sz w:val="21"/>
                <w:szCs w:val="21"/>
              </w:rPr>
              <w:t>，商业建筑休闲场所中室内儿童乐园</w:t>
            </w:r>
          </w:p>
        </w:tc>
      </w:tr>
      <w:bookmarkEnd w:id="18"/>
    </w:tbl>
    <w:p w14:paraId="77EA4C61">
      <w:pPr>
        <w:widowControl/>
        <w:adjustRightInd w:val="0"/>
        <w:snapToGrid w:val="0"/>
        <w:spacing w:before="162" w:beforeLines="50" w:after="162" w:afterLines="50" w:line="360" w:lineRule="auto"/>
        <w:rPr>
          <w:rFonts w:ascii="宋体" w:hAnsi="宋体"/>
          <w:bCs/>
          <w:sz w:val="18"/>
          <w:szCs w:val="18"/>
        </w:rPr>
      </w:pPr>
      <w:r>
        <w:rPr>
          <w:rFonts w:hint="eastAsia" w:ascii="宋体" w:hAnsi="宋体"/>
          <w:bCs/>
          <w:sz w:val="18"/>
          <w:szCs w:val="18"/>
        </w:rPr>
        <w:t>注：使用时段中的全天含营业时间超过</w:t>
      </w:r>
      <w:r>
        <w:rPr>
          <w:rFonts w:ascii="宋体" w:hAnsi="宋体"/>
          <w:bCs/>
          <w:sz w:val="18"/>
          <w:szCs w:val="18"/>
        </w:rPr>
        <w:t>23</w:t>
      </w:r>
      <w:r>
        <w:rPr>
          <w:rFonts w:hint="eastAsia" w:ascii="宋体" w:hAnsi="宋体"/>
          <w:bCs/>
          <w:sz w:val="18"/>
          <w:szCs w:val="18"/>
        </w:rPr>
        <w:t>:</w:t>
      </w:r>
      <w:r>
        <w:rPr>
          <w:rFonts w:ascii="宋体" w:hAnsi="宋体"/>
          <w:bCs/>
          <w:sz w:val="18"/>
          <w:szCs w:val="18"/>
        </w:rPr>
        <w:t>00</w:t>
      </w:r>
      <w:r>
        <w:rPr>
          <w:rFonts w:hint="eastAsia" w:ascii="宋体" w:hAnsi="宋体"/>
          <w:bCs/>
          <w:sz w:val="18"/>
          <w:szCs w:val="18"/>
        </w:rPr>
        <w:t>的经营场所。</w:t>
      </w:r>
    </w:p>
    <w:p w14:paraId="392B6EE1">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3.1.3</w:t>
      </w:r>
      <w:r>
        <w:rPr>
          <w:rFonts w:ascii="宋体" w:hAnsi="宋体"/>
          <w:color w:val="000000" w:themeColor="text1"/>
          <w:sz w:val="28"/>
          <w:szCs w:val="28"/>
          <w14:textFill>
            <w14:solidFill>
              <w14:schemeClr w14:val="tx1"/>
            </w14:solidFill>
          </w14:textFill>
        </w:rPr>
        <w:t xml:space="preserve">  既有建筑改造</w:t>
      </w:r>
      <w:r>
        <w:rPr>
          <w:rFonts w:hint="eastAsia" w:ascii="宋体" w:hAnsi="宋体"/>
          <w:color w:val="000000" w:themeColor="text1"/>
          <w:sz w:val="28"/>
          <w:szCs w:val="28"/>
          <w14:textFill>
            <w14:solidFill>
              <w14:schemeClr w14:val="tx1"/>
            </w14:solidFill>
          </w14:textFill>
        </w:rPr>
        <w:t>按改造内容可</w:t>
      </w:r>
      <w:r>
        <w:rPr>
          <w:rFonts w:ascii="宋体" w:hAnsi="宋体"/>
          <w:color w:val="000000" w:themeColor="text1"/>
          <w:sz w:val="28"/>
          <w:szCs w:val="28"/>
          <w14:textFill>
            <w14:solidFill>
              <w14:schemeClr w14:val="tx1"/>
            </w14:solidFill>
          </w14:textFill>
        </w:rPr>
        <w:t>分为</w:t>
      </w:r>
      <w:r>
        <w:rPr>
          <w:rFonts w:hint="eastAsia" w:ascii="宋体" w:hAnsi="宋体"/>
          <w:color w:val="000000" w:themeColor="text1"/>
          <w:sz w:val="28"/>
          <w:szCs w:val="28"/>
          <w14:textFill>
            <w14:solidFill>
              <w14:schemeClr w14:val="tx1"/>
            </w14:solidFill>
          </w14:textFill>
        </w:rPr>
        <w:t>修缮工程、</w:t>
      </w:r>
      <w:r>
        <w:rPr>
          <w:rFonts w:ascii="宋体" w:hAnsi="宋体"/>
          <w:color w:val="000000" w:themeColor="text1"/>
          <w:sz w:val="28"/>
          <w:szCs w:val="28"/>
          <w14:textFill>
            <w14:solidFill>
              <w14:schemeClr w14:val="tx1"/>
            </w14:solidFill>
          </w14:textFill>
        </w:rPr>
        <w:t>立面改造</w:t>
      </w:r>
      <w:r>
        <w:rPr>
          <w:rFonts w:hint="eastAsia" w:ascii="宋体" w:hAnsi="宋体"/>
          <w:color w:val="000000" w:themeColor="text1"/>
          <w:sz w:val="28"/>
          <w:szCs w:val="28"/>
          <w14:textFill>
            <w14:solidFill>
              <w14:schemeClr w14:val="tx1"/>
            </w14:solidFill>
          </w14:textFill>
        </w:rPr>
        <w:t>工程</w:t>
      </w:r>
      <w:r>
        <w:rPr>
          <w:rFonts w:ascii="宋体" w:hAnsi="宋体"/>
          <w:color w:val="000000" w:themeColor="text1"/>
          <w:sz w:val="28"/>
          <w:szCs w:val="28"/>
          <w14:textFill>
            <w14:solidFill>
              <w14:schemeClr w14:val="tx1"/>
            </w14:solidFill>
          </w14:textFill>
        </w:rPr>
        <w:t>、内部装修</w:t>
      </w:r>
      <w:r>
        <w:rPr>
          <w:rFonts w:hint="eastAsia" w:ascii="宋体" w:hAnsi="宋体"/>
          <w:color w:val="000000" w:themeColor="text1"/>
          <w:sz w:val="28"/>
          <w:szCs w:val="28"/>
          <w14:textFill>
            <w14:solidFill>
              <w14:schemeClr w14:val="tx1"/>
            </w14:solidFill>
          </w14:textFill>
        </w:rPr>
        <w:t>工程</w:t>
      </w:r>
      <w:r>
        <w:rPr>
          <w:rFonts w:ascii="宋体" w:hAnsi="宋体"/>
          <w:color w:val="000000" w:themeColor="text1"/>
          <w:sz w:val="28"/>
          <w:szCs w:val="28"/>
          <w14:textFill>
            <w14:solidFill>
              <w14:schemeClr w14:val="tx1"/>
            </w14:solidFill>
          </w14:textFill>
        </w:rPr>
        <w:t>、局部改造</w:t>
      </w:r>
      <w:r>
        <w:rPr>
          <w:rFonts w:hint="eastAsia" w:ascii="宋体" w:hAnsi="宋体"/>
          <w:color w:val="000000" w:themeColor="text1"/>
          <w:sz w:val="28"/>
          <w:szCs w:val="28"/>
          <w14:textFill>
            <w14:solidFill>
              <w14:schemeClr w14:val="tx1"/>
            </w14:solidFill>
          </w14:textFill>
        </w:rPr>
        <w:t>工程</w:t>
      </w:r>
      <w:r>
        <w:rPr>
          <w:rFonts w:ascii="宋体" w:hAnsi="宋体"/>
          <w:color w:val="000000" w:themeColor="text1"/>
          <w:sz w:val="28"/>
          <w:szCs w:val="28"/>
          <w14:textFill>
            <w14:solidFill>
              <w14:schemeClr w14:val="tx1"/>
            </w14:solidFill>
          </w14:textFill>
        </w:rPr>
        <w:t>、整体改造</w:t>
      </w:r>
      <w:r>
        <w:rPr>
          <w:rFonts w:hint="eastAsia" w:ascii="宋体" w:hAnsi="宋体"/>
          <w:color w:val="000000" w:themeColor="text1"/>
          <w:sz w:val="28"/>
          <w:szCs w:val="28"/>
          <w14:textFill>
            <w14:solidFill>
              <w14:schemeClr w14:val="tx1"/>
            </w14:solidFill>
          </w14:textFill>
        </w:rPr>
        <w:t>工程、平房院落改造工程</w:t>
      </w:r>
      <w:r>
        <w:rPr>
          <w:rFonts w:ascii="宋体" w:hAnsi="宋体"/>
          <w:color w:val="000000" w:themeColor="text1"/>
          <w:sz w:val="28"/>
          <w:szCs w:val="28"/>
          <w14:textFill>
            <w14:solidFill>
              <w14:schemeClr w14:val="tx1"/>
            </w14:solidFill>
          </w14:textFill>
        </w:rPr>
        <w:t>。</w:t>
      </w:r>
    </w:p>
    <w:p w14:paraId="0C256EC0">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3.1.4</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修缮工程应按以下防火设计标准进行防火设计：</w:t>
      </w:r>
    </w:p>
    <w:p w14:paraId="50090DC4">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修缮工程拆换或增设的建筑设施或构件、</w:t>
      </w:r>
      <w:r>
        <w:rPr>
          <w:rFonts w:ascii="宋体" w:hAnsi="宋体"/>
          <w:color w:val="000000" w:themeColor="text1"/>
          <w:sz w:val="28"/>
          <w:szCs w:val="28"/>
          <w14:textFill>
            <w14:solidFill>
              <w14:schemeClr w14:val="tx1"/>
            </w14:solidFill>
          </w14:textFill>
        </w:rPr>
        <w:t>设备</w:t>
      </w:r>
      <w:r>
        <w:rPr>
          <w:rFonts w:hint="eastAsia" w:ascii="宋体" w:hAnsi="宋体"/>
          <w:color w:val="000000" w:themeColor="text1"/>
          <w:sz w:val="28"/>
          <w:szCs w:val="28"/>
          <w14:textFill>
            <w14:solidFill>
              <w14:schemeClr w14:val="tx1"/>
            </w14:solidFill>
          </w14:textFill>
        </w:rPr>
        <w:t>、管线、应急照明和疏散指示系统灯具，均应满足现行产品和施工标准要求；</w:t>
      </w:r>
    </w:p>
    <w:p w14:paraId="79045599">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修缮工程中其他未涉及改造的部分可维持现状。</w:t>
      </w:r>
    </w:p>
    <w:p w14:paraId="18181244">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3.1.5</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立面改造工程应按以下防火设计标准进行防火设计：</w:t>
      </w:r>
    </w:p>
    <w:p w14:paraId="0783F4D5">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立面改造工程不应改变既有建筑的建筑结构、使用功能和内部平面布局；</w:t>
      </w:r>
    </w:p>
    <w:p w14:paraId="6F08B976">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建筑外墙上</w:t>
      </w:r>
      <w:bookmarkStart w:id="19" w:name="_Hlk71654867"/>
      <w:r>
        <w:rPr>
          <w:rFonts w:hint="eastAsia" w:ascii="宋体" w:hAnsi="宋体"/>
          <w:color w:val="000000" w:themeColor="text1"/>
          <w:sz w:val="28"/>
          <w:szCs w:val="28"/>
          <w14:textFill>
            <w14:solidFill>
              <w14:schemeClr w14:val="tx1"/>
            </w14:solidFill>
          </w14:textFill>
        </w:rPr>
        <w:t>新增或更换有耐火完整性要求的外门、窗应符合现行</w:t>
      </w:r>
      <w:bookmarkEnd w:id="19"/>
      <w:r>
        <w:rPr>
          <w:rFonts w:hint="eastAsia" w:ascii="宋体" w:hAnsi="宋体"/>
          <w:color w:val="000000" w:themeColor="text1"/>
          <w:sz w:val="28"/>
          <w:szCs w:val="28"/>
          <w14:textFill>
            <w14:solidFill>
              <w14:schemeClr w14:val="tx1"/>
            </w14:solidFill>
          </w14:textFill>
        </w:rPr>
        <w:t>国家标准《建筑设计防火规范》</w:t>
      </w:r>
      <w:r>
        <w:rPr>
          <w:rFonts w:ascii="宋体" w:hAnsi="宋体"/>
          <w:color w:val="000000" w:themeColor="text1"/>
          <w:sz w:val="28"/>
          <w:szCs w:val="28"/>
          <w14:textFill>
            <w14:solidFill>
              <w14:schemeClr w14:val="tx1"/>
            </w14:solidFill>
          </w14:textFill>
        </w:rPr>
        <w:t>GB50016</w:t>
      </w:r>
      <w:r>
        <w:rPr>
          <w:rFonts w:hint="eastAsia" w:ascii="宋体" w:hAnsi="宋体"/>
          <w:color w:val="000000" w:themeColor="text1"/>
          <w:sz w:val="28"/>
          <w:szCs w:val="28"/>
          <w14:textFill>
            <w14:solidFill>
              <w14:schemeClr w14:val="tx1"/>
            </w14:solidFill>
          </w14:textFill>
        </w:rPr>
        <w:t>的规定，</w:t>
      </w:r>
      <w:bookmarkStart w:id="20" w:name="_Hlk71655176"/>
      <w:r>
        <w:rPr>
          <w:rFonts w:hint="eastAsia" w:ascii="宋体" w:hAnsi="宋体"/>
          <w:color w:val="000000" w:themeColor="text1"/>
          <w:sz w:val="28"/>
          <w:szCs w:val="28"/>
          <w14:textFill>
            <w14:solidFill>
              <w14:schemeClr w14:val="tx1"/>
            </w14:solidFill>
          </w14:textFill>
        </w:rPr>
        <w:t>未做更换的外门、窗可维持现状</w:t>
      </w:r>
      <w:bookmarkEnd w:id="20"/>
      <w:r>
        <w:rPr>
          <w:rFonts w:hint="eastAsia" w:ascii="宋体" w:hAnsi="宋体"/>
          <w:color w:val="000000" w:themeColor="text1"/>
          <w:sz w:val="28"/>
          <w:szCs w:val="28"/>
          <w14:textFill>
            <w14:solidFill>
              <w14:schemeClr w14:val="tx1"/>
            </w14:solidFill>
          </w14:textFill>
        </w:rPr>
        <w:t>；</w:t>
      </w:r>
    </w:p>
    <w:p w14:paraId="0AA951B8">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w:t>
      </w:r>
      <w:r>
        <w:rPr>
          <w:rFonts w:ascii="宋体" w:hAnsi="宋体"/>
          <w:color w:val="000000" w:themeColor="text1"/>
          <w:sz w:val="28"/>
          <w:szCs w:val="28"/>
          <w14:textFill>
            <w14:solidFill>
              <w14:schemeClr w14:val="tx1"/>
            </w14:solidFill>
          </w14:textFill>
        </w:rPr>
        <w:t xml:space="preserve"> 仅更换外门窗或饰面涂刷更新的立面改造工程</w:t>
      </w:r>
      <w:r>
        <w:rPr>
          <w:rFonts w:hint="eastAsia" w:ascii="宋体" w:hAnsi="宋体"/>
          <w:color w:val="000000" w:themeColor="text1"/>
          <w:sz w:val="28"/>
          <w:szCs w:val="28"/>
          <w14:textFill>
            <w14:solidFill>
              <w14:schemeClr w14:val="tx1"/>
            </w14:solidFill>
          </w14:textFill>
        </w:rPr>
        <w:t>，其</w:t>
      </w:r>
      <w:r>
        <w:rPr>
          <w:rFonts w:ascii="宋体" w:hAnsi="宋体"/>
          <w:color w:val="000000" w:themeColor="text1"/>
          <w:sz w:val="28"/>
          <w:szCs w:val="28"/>
          <w14:textFill>
            <w14:solidFill>
              <w14:schemeClr w14:val="tx1"/>
            </w14:solidFill>
          </w14:textFill>
        </w:rPr>
        <w:t>外墙</w:t>
      </w:r>
      <w:r>
        <w:rPr>
          <w:rFonts w:hint="eastAsia" w:ascii="宋体" w:hAnsi="宋体"/>
          <w:color w:val="000000" w:themeColor="text1"/>
          <w:sz w:val="28"/>
          <w:szCs w:val="28"/>
          <w14:textFill>
            <w14:solidFill>
              <w14:schemeClr w14:val="tx1"/>
            </w14:solidFill>
          </w14:textFill>
        </w:rPr>
        <w:t>外保温</w:t>
      </w:r>
      <w:r>
        <w:rPr>
          <w:rFonts w:ascii="宋体" w:hAnsi="宋体"/>
          <w:color w:val="000000" w:themeColor="text1"/>
          <w:sz w:val="28"/>
          <w:szCs w:val="28"/>
          <w14:textFill>
            <w14:solidFill>
              <w14:schemeClr w14:val="tx1"/>
            </w14:solidFill>
          </w14:textFill>
        </w:rPr>
        <w:t>系统</w:t>
      </w:r>
      <w:r>
        <w:rPr>
          <w:rFonts w:hint="eastAsia" w:ascii="宋体" w:hAnsi="宋体"/>
          <w:color w:val="000000" w:themeColor="text1"/>
          <w:sz w:val="28"/>
          <w:szCs w:val="28"/>
          <w14:textFill>
            <w14:solidFill>
              <w14:schemeClr w14:val="tx1"/>
            </w14:solidFill>
          </w14:textFill>
        </w:rPr>
        <w:t>、屋面保温系统、建筑立面防火性能和措施可</w:t>
      </w:r>
      <w:r>
        <w:rPr>
          <w:rFonts w:ascii="宋体" w:hAnsi="宋体"/>
          <w:color w:val="000000" w:themeColor="text1"/>
          <w:sz w:val="28"/>
          <w:szCs w:val="28"/>
          <w14:textFill>
            <w14:solidFill>
              <w14:schemeClr w14:val="tx1"/>
            </w14:solidFill>
          </w14:textFill>
        </w:rPr>
        <w:t>维持现状</w:t>
      </w:r>
      <w:r>
        <w:rPr>
          <w:rFonts w:hint="eastAsia" w:ascii="宋体" w:hAnsi="宋体"/>
          <w:color w:val="000000" w:themeColor="text1"/>
          <w:sz w:val="28"/>
          <w:szCs w:val="28"/>
          <w14:textFill>
            <w14:solidFill>
              <w14:schemeClr w14:val="tx1"/>
            </w14:solidFill>
          </w14:textFill>
        </w:rPr>
        <w:t>：</w:t>
      </w:r>
    </w:p>
    <w:p w14:paraId="12B55974">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w:t>
      </w:r>
      <w:r>
        <w:rPr>
          <w:rFonts w:ascii="宋体" w:hAnsi="宋体"/>
          <w:color w:val="000000" w:themeColor="text1"/>
          <w:sz w:val="28"/>
          <w:szCs w:val="28"/>
          <w14:textFill>
            <w14:solidFill>
              <w14:schemeClr w14:val="tx1"/>
            </w14:solidFill>
          </w14:textFill>
        </w:rPr>
        <w:t xml:space="preserve"> 建筑外围护结构改造</w:t>
      </w: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14:textFill>
            <w14:solidFill>
              <w14:schemeClr w14:val="tx1"/>
            </w14:solidFill>
          </w14:textFill>
        </w:rPr>
        <w:t>更换外墙装饰材料的立面改造工程，</w:t>
      </w:r>
      <w:r>
        <w:rPr>
          <w:rFonts w:hint="eastAsia" w:ascii="宋体" w:hAnsi="宋体"/>
          <w:color w:val="000000" w:themeColor="text1"/>
          <w:sz w:val="28"/>
          <w:szCs w:val="28"/>
          <w14:textFill>
            <w14:solidFill>
              <w14:schemeClr w14:val="tx1"/>
            </w14:solidFill>
          </w14:textFill>
        </w:rPr>
        <w:t>其</w:t>
      </w:r>
      <w:r>
        <w:rPr>
          <w:rFonts w:ascii="宋体" w:hAnsi="宋体"/>
          <w:color w:val="000000" w:themeColor="text1"/>
          <w:sz w:val="28"/>
          <w:szCs w:val="28"/>
          <w14:textFill>
            <w14:solidFill>
              <w14:schemeClr w14:val="tx1"/>
            </w14:solidFill>
          </w14:textFill>
        </w:rPr>
        <w:t>外墙系统和外保温系统的防火设计</w:t>
      </w:r>
      <w:r>
        <w:rPr>
          <w:rFonts w:hint="eastAsia" w:ascii="宋体" w:hAnsi="宋体"/>
          <w:color w:val="000000" w:themeColor="text1"/>
          <w:sz w:val="28"/>
          <w:szCs w:val="28"/>
          <w14:textFill>
            <w14:solidFill>
              <w14:schemeClr w14:val="tx1"/>
            </w14:solidFill>
          </w14:textFill>
        </w:rPr>
        <w:t>应符合现行工程建设消防技术标准的规定</w:t>
      </w:r>
      <w:r>
        <w:rPr>
          <w:rFonts w:ascii="宋体" w:hAnsi="宋体"/>
          <w:color w:val="000000" w:themeColor="text1"/>
          <w:sz w:val="28"/>
          <w:szCs w:val="28"/>
          <w14:textFill>
            <w14:solidFill>
              <w14:schemeClr w14:val="tx1"/>
            </w14:solidFill>
          </w14:textFill>
        </w:rPr>
        <w:t>。</w:t>
      </w:r>
    </w:p>
    <w:p w14:paraId="1E4176FF">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3.1.6</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内部装修工程应按以下防火设计标准进行防火设计：</w:t>
      </w:r>
    </w:p>
    <w:p w14:paraId="16AE5D22">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内部装修工程的使用功能类型、使用人数、平面布置、防火分区和防火分隔划分、疏散和避难设施、消防设施等均不应改变；</w:t>
      </w:r>
    </w:p>
    <w:p w14:paraId="56C8C60E">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2 </w:t>
      </w:r>
      <w:r>
        <w:rPr>
          <w:rFonts w:hint="eastAsia" w:ascii="宋体" w:hAnsi="宋体"/>
          <w:color w:val="000000" w:themeColor="text1"/>
          <w:sz w:val="28"/>
          <w:szCs w:val="28"/>
          <w14:textFill>
            <w14:solidFill>
              <w14:schemeClr w14:val="tx1"/>
            </w14:solidFill>
          </w14:textFill>
        </w:rPr>
        <w:t>内部装修工程的防火设计应符合现行国家标准《建筑防火通用规范》</w:t>
      </w:r>
      <w:r>
        <w:rPr>
          <w:rFonts w:ascii="宋体" w:hAnsi="宋体"/>
          <w:color w:val="000000" w:themeColor="text1"/>
          <w:sz w:val="28"/>
          <w:szCs w:val="28"/>
          <w14:textFill>
            <w14:solidFill>
              <w14:schemeClr w14:val="tx1"/>
            </w14:solidFill>
          </w14:textFill>
        </w:rPr>
        <w:t>GB55037</w:t>
      </w:r>
      <w:r>
        <w:rPr>
          <w:rFonts w:hint="eastAsia" w:ascii="宋体" w:hAnsi="宋体"/>
          <w:color w:val="000000" w:themeColor="text1"/>
          <w:sz w:val="28"/>
          <w:szCs w:val="28"/>
          <w14:textFill>
            <w14:solidFill>
              <w14:schemeClr w14:val="tx1"/>
            </w14:solidFill>
          </w14:textFill>
        </w:rPr>
        <w:t>第6.5节、《建筑内部装修设计防火规范》</w:t>
      </w:r>
      <w:r>
        <w:rPr>
          <w:rFonts w:ascii="宋体" w:hAnsi="宋体"/>
          <w:color w:val="000000" w:themeColor="text1"/>
          <w:sz w:val="28"/>
          <w:szCs w:val="28"/>
          <w14:textFill>
            <w14:solidFill>
              <w14:schemeClr w14:val="tx1"/>
            </w14:solidFill>
          </w14:textFill>
        </w:rPr>
        <w:t>GB50222</w:t>
      </w:r>
      <w:r>
        <w:rPr>
          <w:rFonts w:hint="eastAsia" w:ascii="宋体" w:hAnsi="宋体"/>
          <w:color w:val="000000" w:themeColor="text1"/>
          <w:sz w:val="28"/>
          <w:szCs w:val="28"/>
          <w14:textFill>
            <w14:solidFill>
              <w14:schemeClr w14:val="tx1"/>
            </w14:solidFill>
          </w14:textFill>
        </w:rPr>
        <w:t>及《建筑灭火器配置设计规范》GB50140的相关规定；</w:t>
      </w:r>
    </w:p>
    <w:p w14:paraId="64B04BA9">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内部装修范围内拆换或增设的建筑设施或构件、</w:t>
      </w:r>
      <w:r>
        <w:rPr>
          <w:rFonts w:ascii="宋体" w:hAnsi="宋体"/>
          <w:color w:val="000000" w:themeColor="text1"/>
          <w:sz w:val="28"/>
          <w:szCs w:val="28"/>
          <w14:textFill>
            <w14:solidFill>
              <w14:schemeClr w14:val="tx1"/>
            </w14:solidFill>
          </w14:textFill>
        </w:rPr>
        <w:t>设备</w:t>
      </w:r>
      <w:r>
        <w:rPr>
          <w:rFonts w:hint="eastAsia" w:ascii="宋体" w:hAnsi="宋体"/>
          <w:color w:val="000000" w:themeColor="text1"/>
          <w:sz w:val="28"/>
          <w:szCs w:val="28"/>
          <w14:textFill>
            <w14:solidFill>
              <w14:schemeClr w14:val="tx1"/>
            </w14:solidFill>
          </w14:textFill>
        </w:rPr>
        <w:t>、管线、应急照明和疏散指示系统灯具，均应满足现行产品和施工标准要求；</w:t>
      </w:r>
    </w:p>
    <w:p w14:paraId="1534CE45">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内部装修范围内拆换或增设的内保温材料或制品，应符合以下规定：</w:t>
      </w:r>
    </w:p>
    <w:p w14:paraId="12221BCF">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 F类火灾危险场所，人员密集场所，使用明火、燃油、燃气等有火灾危险的场所，疏散楼梯间及其前室，消防电梯前室或合用前室，避难走道、避难层，避难间均应为A级；</w:t>
      </w:r>
    </w:p>
    <w:p w14:paraId="7B32AAA9">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 其他场所或部位均不应低于B1级。当采用B1级燃烧性能的保温材料时，应在保温系统的外表面设置不燃材料防护层或采取其他防火措施。</w:t>
      </w:r>
    </w:p>
    <w:p w14:paraId="3BFEEE05">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5 </w:t>
      </w:r>
      <w:r>
        <w:rPr>
          <w:rFonts w:hint="eastAsia" w:ascii="宋体" w:hAnsi="宋体"/>
          <w:color w:val="000000" w:themeColor="text1"/>
          <w:sz w:val="28"/>
          <w:szCs w:val="28"/>
          <w14:textFill>
            <w14:solidFill>
              <w14:schemeClr w14:val="tx1"/>
            </w14:solidFill>
          </w14:textFill>
        </w:rPr>
        <w:t>内部装修中拆改</w:t>
      </w:r>
      <w:r>
        <w:rPr>
          <w:rFonts w:ascii="宋体" w:hAnsi="宋体"/>
          <w:color w:val="000000" w:themeColor="text1"/>
          <w:sz w:val="28"/>
          <w:szCs w:val="28"/>
          <w14:textFill>
            <w14:solidFill>
              <w14:schemeClr w14:val="tx1"/>
            </w14:solidFill>
          </w14:textFill>
        </w:rPr>
        <w:t>或增设的结构构件尚应执行本标准第4章的结构构件防火设计要求。</w:t>
      </w:r>
    </w:p>
    <w:p w14:paraId="0138B541">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6 </w:t>
      </w:r>
      <w:r>
        <w:rPr>
          <w:rFonts w:hint="eastAsia" w:ascii="宋体" w:hAnsi="宋体"/>
          <w:color w:val="000000" w:themeColor="text1"/>
          <w:sz w:val="28"/>
          <w:szCs w:val="28"/>
          <w14:textFill>
            <w14:solidFill>
              <w14:schemeClr w14:val="tx1"/>
            </w14:solidFill>
          </w14:textFill>
        </w:rPr>
        <w:t>内部装修范围内未涉及改造的部分可维持原设计。</w:t>
      </w:r>
    </w:p>
    <w:p w14:paraId="5057557A">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3.1.7</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局部改造工程应按以下防火设计标准进行防火设计：</w:t>
      </w:r>
      <w:r>
        <w:rPr>
          <w:rFonts w:ascii="宋体" w:hAnsi="宋体"/>
          <w:color w:val="000000" w:themeColor="text1"/>
          <w:sz w:val="28"/>
          <w:szCs w:val="28"/>
          <w14:textFill>
            <w14:solidFill>
              <w14:schemeClr w14:val="tx1"/>
            </w14:solidFill>
          </w14:textFill>
        </w:rPr>
        <w:t xml:space="preserve"> </w:t>
      </w:r>
    </w:p>
    <w:p w14:paraId="6658FD62">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局部改造区域与相关非改造区域的安全疏散、消防设施等应进行统一防火设计；</w:t>
      </w:r>
    </w:p>
    <w:p w14:paraId="5E0A0B18">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局部改造区域不得对相关非改造区域的消防安全造成不利影响，并应保证非改造区域的相应消防设施正常运行；</w:t>
      </w:r>
    </w:p>
    <w:p w14:paraId="53BF50A6">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局部改造工程不涉及立面改造时，建筑既有的</w:t>
      </w:r>
      <w:r>
        <w:rPr>
          <w:rFonts w:ascii="宋体" w:hAnsi="宋体"/>
          <w:color w:val="000000" w:themeColor="text1"/>
          <w:sz w:val="28"/>
          <w:szCs w:val="28"/>
          <w14:textFill>
            <w14:solidFill>
              <w14:schemeClr w14:val="tx1"/>
            </w14:solidFill>
          </w14:textFill>
        </w:rPr>
        <w:t>外墙</w:t>
      </w:r>
      <w:r>
        <w:rPr>
          <w:rFonts w:hint="eastAsia" w:ascii="宋体" w:hAnsi="宋体"/>
          <w:color w:val="000000" w:themeColor="text1"/>
          <w:sz w:val="28"/>
          <w:szCs w:val="28"/>
          <w14:textFill>
            <w14:solidFill>
              <w14:schemeClr w14:val="tx1"/>
            </w14:solidFill>
          </w14:textFill>
        </w:rPr>
        <w:t>外保温</w:t>
      </w:r>
      <w:r>
        <w:rPr>
          <w:rFonts w:ascii="宋体" w:hAnsi="宋体"/>
          <w:color w:val="000000" w:themeColor="text1"/>
          <w:sz w:val="28"/>
          <w:szCs w:val="28"/>
          <w14:textFill>
            <w14:solidFill>
              <w14:schemeClr w14:val="tx1"/>
            </w14:solidFill>
          </w14:textFill>
        </w:rPr>
        <w:t>系统</w:t>
      </w:r>
      <w:r>
        <w:rPr>
          <w:rFonts w:hint="eastAsia" w:ascii="宋体" w:hAnsi="宋体"/>
          <w:color w:val="000000" w:themeColor="text1"/>
          <w:sz w:val="28"/>
          <w:szCs w:val="28"/>
          <w14:textFill>
            <w14:solidFill>
              <w14:schemeClr w14:val="tx1"/>
            </w14:solidFill>
          </w14:textFill>
        </w:rPr>
        <w:t>、屋面保温系统、建筑立面防火性能和措施可</w:t>
      </w:r>
      <w:r>
        <w:rPr>
          <w:rFonts w:ascii="宋体" w:hAnsi="宋体"/>
          <w:color w:val="000000" w:themeColor="text1"/>
          <w:sz w:val="28"/>
          <w:szCs w:val="28"/>
          <w14:textFill>
            <w14:solidFill>
              <w14:schemeClr w14:val="tx1"/>
            </w14:solidFill>
          </w14:textFill>
        </w:rPr>
        <w:t>维持现状</w:t>
      </w:r>
      <w:r>
        <w:rPr>
          <w:rFonts w:hint="eastAsia" w:ascii="宋体" w:hAnsi="宋体"/>
          <w:color w:val="000000" w:themeColor="text1"/>
          <w:sz w:val="28"/>
          <w:szCs w:val="28"/>
          <w14:textFill>
            <w14:solidFill>
              <w14:schemeClr w14:val="tx1"/>
            </w14:solidFill>
          </w14:textFill>
        </w:rPr>
        <w:t>；局部改造工程涉及立面改造时，尚应执行本标准第3.1</w:t>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5条的相关规定；</w:t>
      </w:r>
    </w:p>
    <w:p w14:paraId="40FF087F">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局部改造工程尚应执行本标准第4章、第5章、第6章的具体规定。</w:t>
      </w:r>
    </w:p>
    <w:p w14:paraId="6BAF48EC">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3.1.8</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整体改造工程应按以下防火设计标准进行防火设计：</w:t>
      </w:r>
      <w:r>
        <w:rPr>
          <w:rFonts w:ascii="宋体" w:hAnsi="宋体"/>
          <w:color w:val="000000" w:themeColor="text1"/>
          <w:sz w:val="28"/>
          <w:szCs w:val="28"/>
          <w14:textFill>
            <w14:solidFill>
              <w14:schemeClr w14:val="tx1"/>
            </w14:solidFill>
          </w14:textFill>
        </w:rPr>
        <w:t xml:space="preserve"> </w:t>
      </w:r>
    </w:p>
    <w:p w14:paraId="780D32CE">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仅保留主要结构柱、承重墙、楼板、楼梯等结构构件的整体改造工程，应按现行消防技术标准进行设计。当建筑防火间距、场地的条件按照现行消防技术标准执行确有困难时，应符合本标准第4.1.1条、第4</w:t>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5</w:t>
      </w:r>
      <w:r>
        <w:rPr>
          <w:rFonts w:ascii="宋体" w:hAnsi="宋体"/>
          <w:color w:val="000000" w:themeColor="text1"/>
          <w:sz w:val="28"/>
          <w:szCs w:val="28"/>
          <w14:textFill>
            <w14:solidFill>
              <w14:schemeClr w14:val="tx1"/>
            </w14:solidFill>
          </w14:textFill>
        </w:rPr>
        <w:t>.1条、第</w:t>
      </w:r>
      <w:r>
        <w:rPr>
          <w:rFonts w:hint="eastAsia" w:ascii="宋体" w:hAnsi="宋体"/>
          <w:color w:val="000000" w:themeColor="text1"/>
          <w:sz w:val="28"/>
          <w:szCs w:val="28"/>
          <w14:textFill>
            <w14:solidFill>
              <w14:schemeClr w14:val="tx1"/>
            </w14:solidFill>
          </w14:textFill>
        </w:rPr>
        <w:t>4</w:t>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5</w:t>
      </w:r>
      <w:r>
        <w:rPr>
          <w:rFonts w:ascii="宋体" w:hAnsi="宋体"/>
          <w:color w:val="000000" w:themeColor="text1"/>
          <w:sz w:val="28"/>
          <w:szCs w:val="28"/>
          <w14:textFill>
            <w14:solidFill>
              <w14:schemeClr w14:val="tx1"/>
            </w14:solidFill>
          </w14:textFill>
        </w:rPr>
        <w:t>.2条</w:t>
      </w:r>
      <w:r>
        <w:rPr>
          <w:rFonts w:hint="eastAsia" w:ascii="宋体" w:hAnsi="宋体"/>
          <w:color w:val="000000" w:themeColor="text1"/>
          <w:sz w:val="28"/>
          <w:szCs w:val="28"/>
          <w14:textFill>
            <w14:solidFill>
              <w14:schemeClr w14:val="tx1"/>
            </w14:solidFill>
          </w14:textFill>
        </w:rPr>
        <w:t>的规定；</w:t>
      </w:r>
    </w:p>
    <w:p w14:paraId="0AB0E47A">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有地下室的既有建筑改造工程，当地上部分全部改造时，应视为整体改造；</w:t>
      </w:r>
    </w:p>
    <w:p w14:paraId="76113BEB">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整体改造工程不涉及立面改造且火灾危险类别未增加时，其</w:t>
      </w:r>
      <w:r>
        <w:rPr>
          <w:rFonts w:ascii="宋体" w:hAnsi="宋体"/>
          <w:color w:val="000000" w:themeColor="text1"/>
          <w:sz w:val="28"/>
          <w:szCs w:val="28"/>
          <w14:textFill>
            <w14:solidFill>
              <w14:schemeClr w14:val="tx1"/>
            </w14:solidFill>
          </w14:textFill>
        </w:rPr>
        <w:t>外墙</w:t>
      </w:r>
      <w:r>
        <w:rPr>
          <w:rFonts w:hint="eastAsia" w:ascii="宋体" w:hAnsi="宋体"/>
          <w:color w:val="000000" w:themeColor="text1"/>
          <w:sz w:val="28"/>
          <w:szCs w:val="28"/>
          <w14:textFill>
            <w14:solidFill>
              <w14:schemeClr w14:val="tx1"/>
            </w14:solidFill>
          </w14:textFill>
        </w:rPr>
        <w:t>外保温</w:t>
      </w:r>
      <w:r>
        <w:rPr>
          <w:rFonts w:ascii="宋体" w:hAnsi="宋体"/>
          <w:color w:val="000000" w:themeColor="text1"/>
          <w:sz w:val="28"/>
          <w:szCs w:val="28"/>
          <w14:textFill>
            <w14:solidFill>
              <w14:schemeClr w14:val="tx1"/>
            </w14:solidFill>
          </w14:textFill>
        </w:rPr>
        <w:t>系统</w:t>
      </w:r>
      <w:r>
        <w:rPr>
          <w:rFonts w:hint="eastAsia" w:ascii="宋体" w:hAnsi="宋体"/>
          <w:color w:val="000000" w:themeColor="text1"/>
          <w:sz w:val="28"/>
          <w:szCs w:val="28"/>
          <w14:textFill>
            <w14:solidFill>
              <w14:schemeClr w14:val="tx1"/>
            </w14:solidFill>
          </w14:textFill>
        </w:rPr>
        <w:t>、屋面保温系统、建筑立面防火性能和措施可</w:t>
      </w:r>
      <w:r>
        <w:rPr>
          <w:rFonts w:ascii="宋体" w:hAnsi="宋体"/>
          <w:color w:val="000000" w:themeColor="text1"/>
          <w:sz w:val="28"/>
          <w:szCs w:val="28"/>
          <w14:textFill>
            <w14:solidFill>
              <w14:schemeClr w14:val="tx1"/>
            </w14:solidFill>
          </w14:textFill>
        </w:rPr>
        <w:t>维持现状</w:t>
      </w:r>
      <w:r>
        <w:rPr>
          <w:rFonts w:hint="eastAsia" w:ascii="宋体" w:hAnsi="宋体"/>
          <w:color w:val="000000" w:themeColor="text1"/>
          <w:sz w:val="28"/>
          <w:szCs w:val="28"/>
          <w14:textFill>
            <w14:solidFill>
              <w14:schemeClr w14:val="tx1"/>
            </w14:solidFill>
          </w14:textFill>
        </w:rPr>
        <w:t>；整体改造工程涉及立面改造时，尚应执行本标准第3.1</w:t>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5条的相关规定；</w:t>
      </w:r>
    </w:p>
    <w:p w14:paraId="12F5E682">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整体改造工程尚应执行本标准第4章、第5章、第6章的相关规定。</w:t>
      </w:r>
    </w:p>
    <w:p w14:paraId="25F54D01">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3.1.9</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平房院落改造工程应针对即有平房区防火间距不足、防火分隔困难、结构耐火性能较低、消防车难以进入等特点，在尊重现实、不破坏现有风貌的情况下，采取技术措施提升区域的消防安全性，并应按以下防火设计标准进行防火设计：</w:t>
      </w:r>
    </w:p>
    <w:p w14:paraId="6FFAA325">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平房区的整体优化、提升、基础设施的改进和更新等应执行本标准第7</w:t>
      </w:r>
      <w:r>
        <w:rPr>
          <w:rFonts w:ascii="宋体" w:hAnsi="宋体"/>
          <w:color w:val="000000" w:themeColor="text1"/>
          <w:sz w:val="28"/>
          <w:szCs w:val="28"/>
          <w14:textFill>
            <w14:solidFill>
              <w14:schemeClr w14:val="tx1"/>
            </w14:solidFill>
          </w14:textFill>
        </w:rPr>
        <w:t>.1</w:t>
      </w:r>
      <w:r>
        <w:rPr>
          <w:rFonts w:hint="eastAsia" w:ascii="宋体" w:hAnsi="宋体"/>
          <w:color w:val="000000" w:themeColor="text1"/>
          <w:sz w:val="28"/>
          <w:szCs w:val="28"/>
          <w14:textFill>
            <w14:solidFill>
              <w14:schemeClr w14:val="tx1"/>
            </w14:solidFill>
          </w14:textFill>
        </w:rPr>
        <w:t>节的相关规定；</w:t>
      </w:r>
    </w:p>
    <w:p w14:paraId="753A03E9">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2 </w:t>
      </w:r>
      <w:r>
        <w:rPr>
          <w:rFonts w:hint="eastAsia" w:ascii="宋体" w:hAnsi="宋体"/>
          <w:color w:val="000000" w:themeColor="text1"/>
          <w:sz w:val="28"/>
          <w:szCs w:val="28"/>
          <w14:textFill>
            <w14:solidFill>
              <w14:schemeClr w14:val="tx1"/>
            </w14:solidFill>
          </w14:textFill>
        </w:rPr>
        <w:t>平房院落的改造应执行本标准第7</w:t>
      </w:r>
      <w:r>
        <w:rPr>
          <w:rFonts w:ascii="宋体" w:hAnsi="宋体"/>
          <w:color w:val="000000" w:themeColor="text1"/>
          <w:sz w:val="28"/>
          <w:szCs w:val="28"/>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节的相关规定；</w:t>
      </w:r>
    </w:p>
    <w:p w14:paraId="741C8745">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用于商业零售、餐饮、民宿等功能的场所应执行本标准第7</w:t>
      </w:r>
      <w:r>
        <w:rPr>
          <w:rFonts w:ascii="宋体" w:hAnsi="宋体"/>
          <w:color w:val="000000" w:themeColor="text1"/>
          <w:sz w:val="28"/>
          <w:szCs w:val="28"/>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、7</w:t>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3节的相关规定；</w:t>
      </w:r>
    </w:p>
    <w:p w14:paraId="0F9F521E">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纳入北京市保护对象的平房区和平房院落的改造应执行本标准第7章的相关规定。</w:t>
      </w:r>
    </w:p>
    <w:p w14:paraId="669F9ADF">
      <w:pPr>
        <w:widowControl/>
        <w:snapToGrid w:val="0"/>
        <w:spacing w:line="300" w:lineRule="auto"/>
        <w:jc w:val="left"/>
        <w:rPr>
          <w:rFonts w:ascii="宋体" w:hAnsi="宋体"/>
          <w:color w:val="000000" w:themeColor="text1"/>
          <w:sz w:val="28"/>
          <w:szCs w:val="28"/>
          <w14:textFill>
            <w14:solidFill>
              <w14:schemeClr w14:val="tx1"/>
            </w14:solidFill>
          </w14:textFill>
        </w:rPr>
      </w:pPr>
    </w:p>
    <w:p w14:paraId="7742CE68">
      <w:pPr>
        <w:pStyle w:val="3"/>
        <w:spacing w:line="360" w:lineRule="auto"/>
        <w:rPr>
          <w:rFonts w:ascii="宋体" w:hAnsi="宋体"/>
          <w:color w:val="000000" w:themeColor="text1"/>
          <w:sz w:val="28"/>
          <w:szCs w:val="28"/>
          <w14:textFill>
            <w14:solidFill>
              <w14:schemeClr w14:val="tx1"/>
            </w14:solidFill>
          </w14:textFill>
        </w:rPr>
      </w:pPr>
      <w:bookmarkStart w:id="21" w:name="_Toc151062974"/>
      <w:bookmarkStart w:id="22" w:name="_Toc151063111"/>
      <w:bookmarkStart w:id="23" w:name="_Toc151061845"/>
      <w:bookmarkStart w:id="24" w:name="_Toc151062643"/>
      <w:r>
        <w:rPr>
          <w:rFonts w:hint="eastAsia" w:ascii="宋体" w:hAnsi="宋体"/>
          <w:color w:val="000000" w:themeColor="text1"/>
          <w:sz w:val="28"/>
          <w:szCs w:val="28"/>
          <w14:textFill>
            <w14:solidFill>
              <w14:schemeClr w14:val="tx1"/>
            </w14:solidFill>
          </w14:textFill>
        </w:rPr>
        <w:t>3.2</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消防安全评价</w:t>
      </w:r>
      <w:bookmarkEnd w:id="21"/>
      <w:bookmarkEnd w:id="22"/>
      <w:bookmarkEnd w:id="23"/>
      <w:bookmarkEnd w:id="24"/>
    </w:p>
    <w:p w14:paraId="20FE5EB5">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3.2.1</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既有建筑</w:t>
      </w:r>
      <w:r>
        <w:rPr>
          <w:rFonts w:ascii="宋体" w:hAnsi="宋体"/>
          <w:color w:val="000000" w:themeColor="text1"/>
          <w:sz w:val="28"/>
          <w:szCs w:val="28"/>
          <w14:textFill>
            <w14:solidFill>
              <w14:schemeClr w14:val="tx1"/>
            </w14:solidFill>
          </w14:textFill>
        </w:rPr>
        <w:t>局部改造</w:t>
      </w:r>
      <w:r>
        <w:rPr>
          <w:rFonts w:hint="eastAsia" w:ascii="宋体" w:hAnsi="宋体"/>
          <w:color w:val="000000" w:themeColor="text1"/>
          <w:sz w:val="28"/>
          <w:szCs w:val="28"/>
          <w14:textFill>
            <w14:solidFill>
              <w14:schemeClr w14:val="tx1"/>
            </w14:solidFill>
          </w14:textFill>
        </w:rPr>
        <w:t>或</w:t>
      </w:r>
      <w:r>
        <w:rPr>
          <w:rFonts w:ascii="宋体" w:hAnsi="宋体"/>
          <w:color w:val="000000" w:themeColor="text1"/>
          <w:sz w:val="28"/>
          <w:szCs w:val="28"/>
          <w14:textFill>
            <w14:solidFill>
              <w14:schemeClr w14:val="tx1"/>
            </w14:solidFill>
          </w14:textFill>
        </w:rPr>
        <w:t>整体改造</w:t>
      </w:r>
      <w:r>
        <w:rPr>
          <w:rFonts w:hint="eastAsia" w:ascii="宋体" w:hAnsi="宋体"/>
          <w:color w:val="000000" w:themeColor="text1"/>
          <w:sz w:val="28"/>
          <w:szCs w:val="28"/>
          <w14:textFill>
            <w14:solidFill>
              <w14:schemeClr w14:val="tx1"/>
            </w14:solidFill>
          </w14:textFill>
        </w:rPr>
        <w:t>设计实施前，建设单位应组织开展消防安全评价，并形成消防安全评价报告。</w:t>
      </w:r>
    </w:p>
    <w:p w14:paraId="40BF56CE">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3.2.2</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当改造工程的消防设计能够执行现行消防技术标准时，应在设计文件中说明，可不再另行提供消防安全评价报告。</w:t>
      </w:r>
    </w:p>
    <w:p w14:paraId="20059F86">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3.2.3</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消防安全评价包括但不限于以下内容：</w:t>
      </w:r>
    </w:p>
    <w:p w14:paraId="716510CF">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 工程概况；</w:t>
      </w:r>
    </w:p>
    <w:p w14:paraId="77C6F424">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 既有建筑执行原消防技术标准和消防设施现状，目前使用状态下的消防安全性能；</w:t>
      </w:r>
    </w:p>
    <w:p w14:paraId="6A27B50D">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3 </w:t>
      </w:r>
      <w:r>
        <w:rPr>
          <w:rFonts w:hint="eastAsia" w:ascii="宋体" w:hAnsi="宋体"/>
          <w:color w:val="000000" w:themeColor="text1"/>
          <w:sz w:val="28"/>
          <w:szCs w:val="28"/>
          <w14:textFill>
            <w14:solidFill>
              <w14:schemeClr w14:val="tx1"/>
            </w14:solidFill>
          </w14:textFill>
        </w:rPr>
        <w:t>改造方案的防火设计情况专项说明；</w:t>
      </w:r>
    </w:p>
    <w:p w14:paraId="474EF54C">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改造方案所涉及新、旧消防技术标准的差异以及执行现行标准的难度；</w:t>
      </w:r>
    </w:p>
    <w:p w14:paraId="7030BC36">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拟采取的改造方案防火设计，技术措施的安全性、可行性、合理性和经济性；</w:t>
      </w:r>
    </w:p>
    <w:p w14:paraId="4864D748">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6 局部改造</w:t>
      </w:r>
      <w:r>
        <w:rPr>
          <w:rFonts w:hint="eastAsia" w:ascii="宋体" w:hAnsi="宋体"/>
          <w:color w:val="000000" w:themeColor="text1"/>
          <w:sz w:val="28"/>
          <w:szCs w:val="28"/>
          <w14:textFill>
            <w14:solidFill>
              <w14:schemeClr w14:val="tx1"/>
            </w14:solidFill>
          </w14:textFill>
        </w:rPr>
        <w:t>对非改造区域的消防安全产生的影响；</w:t>
      </w:r>
    </w:p>
    <w:p w14:paraId="62A653CF">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7 </w:t>
      </w:r>
      <w:r>
        <w:rPr>
          <w:rFonts w:hint="eastAsia" w:ascii="宋体" w:hAnsi="宋体"/>
          <w:color w:val="000000" w:themeColor="text1"/>
          <w:sz w:val="28"/>
          <w:szCs w:val="28"/>
          <w14:textFill>
            <w14:solidFill>
              <w14:schemeClr w14:val="tx1"/>
            </w14:solidFill>
          </w14:textFill>
        </w:rPr>
        <w:t>对后期使用阶段保证消防安全的管理要求。</w:t>
      </w:r>
    </w:p>
    <w:p w14:paraId="0B92EB90">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3.2.4</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消防安全评价报告用于设计依据时应经设计责任主体认定。</w:t>
      </w:r>
    </w:p>
    <w:p w14:paraId="57880CAD">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3.2.5  </w:t>
      </w:r>
      <w:r>
        <w:rPr>
          <w:rFonts w:hint="eastAsia" w:ascii="宋体" w:hAnsi="宋体"/>
          <w:color w:val="000000" w:themeColor="text1"/>
          <w:sz w:val="28"/>
          <w:szCs w:val="28"/>
          <w14:textFill>
            <w14:solidFill>
              <w14:schemeClr w14:val="tx1"/>
            </w14:solidFill>
          </w14:textFill>
        </w:rPr>
        <w:t>既有建筑改造项目的结构设计应根据消防安全评价报告中结构相关评价内容及其他所有结构检测鉴定报告结论进行，保证结构整体安全并满足耐火性能要求。</w:t>
      </w:r>
    </w:p>
    <w:p w14:paraId="2A019E7C">
      <w:pPr>
        <w:pStyle w:val="3"/>
        <w:spacing w:line="360" w:lineRule="auto"/>
        <w:rPr>
          <w:sz w:val="36"/>
          <w:szCs w:val="36"/>
        </w:rPr>
        <w:sectPr>
          <w:footerReference r:id="rId5" w:type="default"/>
          <w:pgSz w:w="11907" w:h="16840"/>
          <w:pgMar w:top="1418" w:right="1276" w:bottom="1134" w:left="1276" w:header="1418" w:footer="851" w:gutter="0"/>
          <w:pgNumType w:start="1"/>
          <w:cols w:space="425" w:num="1"/>
          <w:docGrid w:type="lines" w:linePitch="324" w:charSpace="0"/>
        </w:sectPr>
      </w:pPr>
      <w:bookmarkStart w:id="25" w:name="_Toc151063112"/>
      <w:bookmarkStart w:id="26" w:name="_Toc151061846"/>
      <w:bookmarkStart w:id="27" w:name="_Toc151062975"/>
      <w:bookmarkStart w:id="28" w:name="_Toc151062644"/>
    </w:p>
    <w:p w14:paraId="1BC6D124">
      <w:pPr>
        <w:pStyle w:val="3"/>
        <w:spacing w:line="360" w:lineRule="auto"/>
        <w:rPr>
          <w:rFonts w:ascii="宋体" w:hAnsi="宋体"/>
        </w:rPr>
      </w:pPr>
      <w:r>
        <w:rPr>
          <w:rFonts w:hint="eastAsia"/>
          <w:sz w:val="36"/>
          <w:szCs w:val="36"/>
        </w:rPr>
        <w:t xml:space="preserve">4 </w:t>
      </w:r>
      <w:r>
        <w:rPr>
          <w:sz w:val="36"/>
          <w:szCs w:val="36"/>
        </w:rPr>
        <w:t xml:space="preserve"> </w:t>
      </w:r>
      <w:r>
        <w:rPr>
          <w:rFonts w:hint="eastAsia"/>
          <w:sz w:val="36"/>
          <w:szCs w:val="36"/>
        </w:rPr>
        <w:t>建筑设计</w:t>
      </w:r>
      <w:bookmarkEnd w:id="25"/>
      <w:bookmarkEnd w:id="26"/>
      <w:bookmarkEnd w:id="27"/>
      <w:bookmarkEnd w:id="28"/>
      <w:bookmarkStart w:id="29" w:name="_Toc511660081"/>
    </w:p>
    <w:bookmarkEnd w:id="29"/>
    <w:p w14:paraId="02B4E0C9">
      <w:pPr>
        <w:pStyle w:val="3"/>
        <w:spacing w:line="360" w:lineRule="auto"/>
        <w:rPr>
          <w:rFonts w:ascii="宋体" w:hAnsi="宋体"/>
          <w:sz w:val="28"/>
          <w:szCs w:val="28"/>
        </w:rPr>
      </w:pPr>
      <w:bookmarkStart w:id="30" w:name="_Toc151061847"/>
      <w:bookmarkStart w:id="31" w:name="_Toc151062645"/>
      <w:bookmarkStart w:id="32" w:name="_Toc151062976"/>
      <w:bookmarkStart w:id="33" w:name="_Toc151063113"/>
      <w:r>
        <w:rPr>
          <w:rFonts w:hint="eastAsia" w:ascii="宋体" w:hAnsi="宋体"/>
          <w:sz w:val="28"/>
          <w:szCs w:val="28"/>
        </w:rPr>
        <w:t>4.1</w:t>
      </w:r>
      <w:r>
        <w:rPr>
          <w:rFonts w:ascii="宋体" w:hAnsi="宋体"/>
          <w:sz w:val="28"/>
          <w:szCs w:val="28"/>
        </w:rPr>
        <w:t xml:space="preserve">  </w:t>
      </w:r>
      <w:r>
        <w:rPr>
          <w:rFonts w:hint="eastAsia" w:ascii="宋体" w:hAnsi="宋体"/>
          <w:sz w:val="28"/>
          <w:szCs w:val="28"/>
        </w:rPr>
        <w:t>总平面布局</w:t>
      </w:r>
      <w:bookmarkEnd w:id="30"/>
      <w:bookmarkEnd w:id="31"/>
      <w:bookmarkEnd w:id="32"/>
      <w:bookmarkEnd w:id="33"/>
    </w:p>
    <w:p w14:paraId="06C1400A">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4.1.1</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除涉及与既有的建筑高度大于100m的民用建筑主体，甲、乙类物品运输车的汽车库、修车库、停车场，甲类厂房和甲、乙类仓库的之间的防火间距以外，其他改造工程与相邻既有</w:t>
      </w:r>
      <w:bookmarkStart w:id="34" w:name="_Hlk69052073"/>
      <w:r>
        <w:rPr>
          <w:rFonts w:hint="eastAsia" w:ascii="宋体" w:hAnsi="宋体"/>
          <w:color w:val="000000" w:themeColor="text1"/>
          <w:sz w:val="28"/>
          <w:szCs w:val="28"/>
          <w14:textFill>
            <w14:solidFill>
              <w14:schemeClr w14:val="tx1"/>
            </w14:solidFill>
          </w14:textFill>
        </w:rPr>
        <w:t>建筑之间的防火间距</w:t>
      </w:r>
      <w:bookmarkEnd w:id="34"/>
      <w:bookmarkStart w:id="35" w:name="_Hlk69051026"/>
      <w:r>
        <w:rPr>
          <w:rFonts w:hint="eastAsia" w:ascii="宋体" w:hAnsi="宋体"/>
          <w:color w:val="000000" w:themeColor="text1"/>
          <w:sz w:val="28"/>
          <w:szCs w:val="28"/>
          <w14:textFill>
            <w14:solidFill>
              <w14:schemeClr w14:val="tx1"/>
            </w14:solidFill>
          </w14:textFill>
        </w:rPr>
        <w:t>难以满足现行</w:t>
      </w:r>
      <w:bookmarkEnd w:id="35"/>
      <w:r>
        <w:rPr>
          <w:rFonts w:hint="eastAsia" w:ascii="宋体" w:hAnsi="宋体"/>
          <w:color w:val="000000" w:themeColor="text1"/>
          <w:sz w:val="28"/>
          <w:szCs w:val="28"/>
          <w14:textFill>
            <w14:solidFill>
              <w14:schemeClr w14:val="tx1"/>
            </w14:solidFill>
          </w14:textFill>
        </w:rPr>
        <w:t>消防技术标准要求，并维持现位置时，建筑相邻外墙的耐火极限之和不应低于3.00h，并应符合下列规定：</w:t>
      </w:r>
    </w:p>
    <w:p w14:paraId="738CD6E2">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 建筑外墙上开设的门、窗、洞口，应设置为不可开启或火灾时能自动关闭的甲级防火门、窗；</w:t>
      </w:r>
    </w:p>
    <w:p w14:paraId="6436CD21">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屋面高度低于相邻既有建筑的改造工程，改造工程屋面板的耐火极限不应低于1.00h；屋面开设的天窗应设置为不可开启或火灾时能自动关闭的甲级防火天窗。</w:t>
      </w:r>
    </w:p>
    <w:p w14:paraId="4D8F81F3">
      <w:pPr>
        <w:pStyle w:val="3"/>
        <w:spacing w:line="360" w:lineRule="auto"/>
        <w:rPr>
          <w:rFonts w:ascii="宋体" w:hAnsi="宋体"/>
          <w:sz w:val="28"/>
          <w:szCs w:val="28"/>
        </w:rPr>
      </w:pPr>
      <w:bookmarkStart w:id="36" w:name="_Toc151062977"/>
      <w:bookmarkStart w:id="37" w:name="_Toc151061848"/>
      <w:bookmarkStart w:id="38" w:name="_Toc151063114"/>
      <w:bookmarkStart w:id="39" w:name="_Toc151062646"/>
      <w:r>
        <w:rPr>
          <w:rFonts w:hint="eastAsia" w:ascii="宋体" w:hAnsi="宋体"/>
          <w:sz w:val="28"/>
          <w:szCs w:val="28"/>
        </w:rPr>
        <w:t>4.2</w:t>
      </w:r>
      <w:r>
        <w:rPr>
          <w:rFonts w:ascii="宋体" w:hAnsi="宋体"/>
          <w:sz w:val="28"/>
          <w:szCs w:val="28"/>
        </w:rPr>
        <w:t xml:space="preserve">  </w:t>
      </w:r>
      <w:r>
        <w:rPr>
          <w:rFonts w:hint="eastAsia" w:ascii="宋体" w:hAnsi="宋体"/>
          <w:sz w:val="28"/>
          <w:szCs w:val="28"/>
        </w:rPr>
        <w:t>防火分区和平面布置</w:t>
      </w:r>
      <w:bookmarkEnd w:id="36"/>
      <w:bookmarkEnd w:id="37"/>
      <w:bookmarkEnd w:id="38"/>
      <w:bookmarkEnd w:id="39"/>
    </w:p>
    <w:p w14:paraId="27D3F8C3">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w:t>
      </w:r>
      <w:r>
        <w:rPr>
          <w:rFonts w:ascii="宋体" w:hAnsi="宋体"/>
          <w:color w:val="000000" w:themeColor="text1"/>
          <w:sz w:val="28"/>
          <w:szCs w:val="28"/>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.1</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改造区域内的F类火灾危险场所及人员密集的场所宜设置于靠近室外地面的楼层。</w:t>
      </w:r>
    </w:p>
    <w:p w14:paraId="0E2917FB">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w:t>
      </w:r>
      <w:r>
        <w:rPr>
          <w:rFonts w:ascii="宋体" w:hAnsi="宋体"/>
          <w:color w:val="000000" w:themeColor="text1"/>
          <w:sz w:val="28"/>
          <w:szCs w:val="28"/>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.2</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既有住宅建筑的地下一、二层改造为社区公共配套服务及便民服务设施时，应符合下列规定：</w:t>
      </w:r>
    </w:p>
    <w:p w14:paraId="54E7BAB1">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 严禁经营、存放和使用甲、乙类火灾危险性物品；</w:t>
      </w:r>
    </w:p>
    <w:p w14:paraId="0D5D911D">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每个防火分区至少应设置1个独立使用的安全出口。当利用通往住宅部分的疏散楼梯作为第二安全出口并需设置门禁系统时，应设置火灾时能手动或联动开启的门禁系统及明显的标识，地下封闭楼梯应通过防火隔间进入；</w:t>
      </w:r>
    </w:p>
    <w:p w14:paraId="71727563">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 居民仓储库房每间使用面积不宜大于15m2，并应采用耐火极限不低于2.00h的防火隔墙和甲级防火门分隔；</w:t>
      </w:r>
    </w:p>
    <w:p w14:paraId="70E43DF1">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4 </w:t>
      </w:r>
      <w:r>
        <w:rPr>
          <w:rFonts w:hint="eastAsia" w:ascii="宋体" w:hAnsi="宋体"/>
          <w:color w:val="000000" w:themeColor="text1"/>
          <w:sz w:val="28"/>
          <w:szCs w:val="28"/>
          <w14:textFill>
            <w14:solidFill>
              <w14:schemeClr w14:val="tx1"/>
            </w14:solidFill>
          </w14:textFill>
        </w:rPr>
        <w:t>建筑内房间的顶棚、墙面、地面均应采用A级装修材料；</w:t>
      </w:r>
    </w:p>
    <w:p w14:paraId="3DB57FE2">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5 </w:t>
      </w:r>
      <w:r>
        <w:rPr>
          <w:rFonts w:hint="eastAsia" w:ascii="宋体" w:hAnsi="宋体"/>
          <w:color w:val="000000" w:themeColor="text1"/>
          <w:sz w:val="28"/>
          <w:szCs w:val="28"/>
          <w14:textFill>
            <w14:solidFill>
              <w14:schemeClr w14:val="tx1"/>
            </w14:solidFill>
          </w14:textFill>
        </w:rPr>
        <w:t>室内消火栓系统按现行国家消防技术标准执行，可采用市政水源为消火栓系统供水；</w:t>
      </w:r>
      <w:r>
        <w:rPr>
          <w:rFonts w:ascii="宋体" w:hAnsi="宋体"/>
          <w:color w:val="000000" w:themeColor="text1"/>
          <w:sz w:val="28"/>
          <w:szCs w:val="28"/>
          <w14:textFill>
            <w14:solidFill>
              <w14:schemeClr w14:val="tx1"/>
            </w14:solidFill>
          </w14:textFill>
        </w:rPr>
        <w:t xml:space="preserve"> </w:t>
      </w:r>
    </w:p>
    <w:p w14:paraId="34FA1766">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6 </w:t>
      </w:r>
      <w:r>
        <w:rPr>
          <w:rFonts w:hint="eastAsia" w:ascii="宋体" w:hAnsi="宋体"/>
          <w:color w:val="000000" w:themeColor="text1"/>
          <w:sz w:val="28"/>
          <w:szCs w:val="28"/>
          <w14:textFill>
            <w14:solidFill>
              <w14:schemeClr w14:val="tx1"/>
            </w14:solidFill>
          </w14:textFill>
        </w:rPr>
        <w:t>自动喷水灭火系统按现行国家消防技术标准执行。当满足北京市地方标准《简易自动喷水灭火系统设计规程》DB11/1022-2013的要求时，可设置简易自动喷水灭火系统；</w:t>
      </w:r>
      <w:r>
        <w:rPr>
          <w:rFonts w:ascii="宋体" w:hAnsi="宋体"/>
          <w:color w:val="000000" w:themeColor="text1"/>
          <w:sz w:val="28"/>
          <w:szCs w:val="28"/>
          <w14:textFill>
            <w14:solidFill>
              <w14:schemeClr w14:val="tx1"/>
            </w14:solidFill>
          </w14:textFill>
        </w:rPr>
        <w:t xml:space="preserve"> </w:t>
      </w:r>
    </w:p>
    <w:p w14:paraId="760BA59A">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7 </w:t>
      </w:r>
      <w:r>
        <w:rPr>
          <w:rFonts w:hint="eastAsia" w:ascii="宋体" w:hAnsi="宋体"/>
          <w:color w:val="000000" w:themeColor="text1"/>
          <w:sz w:val="28"/>
          <w:szCs w:val="28"/>
          <w14:textFill>
            <w14:solidFill>
              <w14:schemeClr w14:val="tx1"/>
            </w14:solidFill>
          </w14:textFill>
        </w:rPr>
        <w:t>灭火器、火灾自动报警系统、消防应急照明和疏散指示标志、电气设备选型及线路敷设应按现行消防技术标准设置。</w:t>
      </w:r>
    </w:p>
    <w:p w14:paraId="1367391D">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w:t>
      </w:r>
      <w:r>
        <w:rPr>
          <w:rFonts w:ascii="宋体" w:hAnsi="宋体"/>
          <w:color w:val="000000" w:themeColor="text1"/>
          <w:sz w:val="28"/>
          <w:szCs w:val="28"/>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.3</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设置在四层及四层以上楼层的既有会议室、多功能厅等人员密集的场所，当改变楼层位置确有困难时，应符合下列规定：</w:t>
      </w:r>
    </w:p>
    <w:p w14:paraId="3EA82420">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 建筑的耐火等级不应低于二级；</w:t>
      </w:r>
    </w:p>
    <w:p w14:paraId="799B2D44">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一个厅、室的疏散门不应少于2个，且建筑面积不宜大于500m²；</w:t>
      </w:r>
    </w:p>
    <w:p w14:paraId="2F763A77">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3 </w:t>
      </w:r>
      <w:r>
        <w:rPr>
          <w:rFonts w:hint="eastAsia" w:ascii="宋体" w:hAnsi="宋体"/>
          <w:color w:val="000000" w:themeColor="text1"/>
          <w:sz w:val="28"/>
          <w:szCs w:val="28"/>
          <w14:textFill>
            <w14:solidFill>
              <w14:schemeClr w14:val="tx1"/>
            </w14:solidFill>
          </w14:textFill>
        </w:rPr>
        <w:t>使用人数不应超过400人；</w:t>
      </w:r>
    </w:p>
    <w:p w14:paraId="2B1A0890">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 与其他部位应采用耐火极限不低于2.00h的防火隔墙和甲级防火门分隔；</w:t>
      </w:r>
    </w:p>
    <w:p w14:paraId="60D9CFE3">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5 </w:t>
      </w:r>
      <w:r>
        <w:rPr>
          <w:rFonts w:hint="eastAsia" w:ascii="宋体" w:hAnsi="宋体"/>
          <w:color w:val="000000" w:themeColor="text1"/>
          <w:sz w:val="28"/>
          <w:szCs w:val="28"/>
          <w14:textFill>
            <w14:solidFill>
              <w14:schemeClr w14:val="tx1"/>
            </w14:solidFill>
          </w14:textFill>
        </w:rPr>
        <w:t>位于两个安全出口之间的房间疏散门至最近安全出口的直线距离不应大于20</w:t>
      </w:r>
      <w:r>
        <w:rPr>
          <w:rFonts w:ascii="宋体" w:hAnsi="宋体"/>
          <w:color w:val="000000" w:themeColor="text1"/>
          <w:sz w:val="28"/>
          <w:szCs w:val="28"/>
          <w14:textFill>
            <w14:solidFill>
              <w14:schemeClr w14:val="tx1"/>
            </w14:solidFill>
          </w14:textFill>
        </w:rPr>
        <w:t>m</w:t>
      </w:r>
      <w:r>
        <w:rPr>
          <w:rFonts w:hint="eastAsia" w:ascii="宋体" w:hAnsi="宋体"/>
          <w:color w:val="000000" w:themeColor="text1"/>
          <w:sz w:val="28"/>
          <w:szCs w:val="28"/>
          <w14:textFill>
            <w14:solidFill>
              <w14:schemeClr w14:val="tx1"/>
            </w14:solidFill>
          </w14:textFill>
        </w:rPr>
        <w:t>，位于袋形走道两侧或尽端的房间疏散门至最近安全出口的直线距离不应大于10</w:t>
      </w:r>
      <w:r>
        <w:rPr>
          <w:rFonts w:ascii="宋体" w:hAnsi="宋体"/>
          <w:color w:val="000000" w:themeColor="text1"/>
          <w:sz w:val="28"/>
          <w:szCs w:val="28"/>
          <w14:textFill>
            <w14:solidFill>
              <w14:schemeClr w14:val="tx1"/>
            </w14:solidFill>
          </w14:textFill>
        </w:rPr>
        <w:t>m</w:t>
      </w:r>
      <w:r>
        <w:rPr>
          <w:rFonts w:hint="eastAsia" w:ascii="宋体" w:hAnsi="宋体"/>
          <w:color w:val="000000" w:themeColor="text1"/>
          <w:sz w:val="28"/>
          <w:szCs w:val="28"/>
          <w14:textFill>
            <w14:solidFill>
              <w14:schemeClr w14:val="tx1"/>
            </w14:solidFill>
          </w14:textFill>
        </w:rPr>
        <w:t>；</w:t>
      </w:r>
    </w:p>
    <w:p w14:paraId="29B1D066">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6 </w:t>
      </w:r>
      <w:r>
        <w:rPr>
          <w:rFonts w:hint="eastAsia" w:ascii="宋体" w:hAnsi="宋体"/>
          <w:color w:val="000000" w:themeColor="text1"/>
          <w:sz w:val="28"/>
          <w:szCs w:val="28"/>
          <w14:textFill>
            <w14:solidFill>
              <w14:schemeClr w14:val="tx1"/>
            </w14:solidFill>
          </w14:textFill>
        </w:rPr>
        <w:t>走道等公共区域应设置可开启外窗或设置室外阳台。</w:t>
      </w:r>
    </w:p>
    <w:p w14:paraId="57E1C77F">
      <w:pPr>
        <w:widowControl/>
        <w:snapToGrid w:val="0"/>
        <w:spacing w:line="300" w:lineRule="auto"/>
        <w:jc w:val="left"/>
        <w:rPr>
          <w:rFonts w:ascii="宋体" w:hAnsi="宋体"/>
          <w:color w:val="000000" w:themeColor="text1"/>
          <w:sz w:val="28"/>
          <w:szCs w:val="28"/>
          <w14:textFill>
            <w14:solidFill>
              <w14:schemeClr w14:val="tx1"/>
            </w14:solidFill>
          </w14:textFill>
        </w:rPr>
      </w:pPr>
      <w:bookmarkStart w:id="40" w:name="_Hlk71555693"/>
      <w:bookmarkStart w:id="41" w:name="_Hlk69055123"/>
      <w:r>
        <w:rPr>
          <w:rFonts w:hint="eastAsia" w:ascii="宋体" w:hAnsi="宋体"/>
          <w:color w:val="000000" w:themeColor="text1"/>
          <w:sz w:val="28"/>
          <w:szCs w:val="28"/>
          <w14:textFill>
            <w14:solidFill>
              <w14:schemeClr w14:val="tx1"/>
            </w14:solidFill>
          </w14:textFill>
        </w:rPr>
        <w:t>4.</w:t>
      </w:r>
      <w:r>
        <w:rPr>
          <w:rFonts w:ascii="宋体" w:hAnsi="宋体"/>
          <w:color w:val="000000" w:themeColor="text1"/>
          <w:sz w:val="28"/>
          <w:szCs w:val="28"/>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.4</w:t>
      </w:r>
      <w:r>
        <w:rPr>
          <w:rFonts w:ascii="宋体" w:hAnsi="宋体"/>
          <w:color w:val="000000" w:themeColor="text1"/>
          <w:sz w:val="28"/>
          <w:szCs w:val="28"/>
          <w14:textFill>
            <w14:solidFill>
              <w14:schemeClr w14:val="tx1"/>
            </w14:solidFill>
          </w14:textFill>
        </w:rPr>
        <w:t xml:space="preserve">  </w:t>
      </w:r>
      <w:bookmarkEnd w:id="40"/>
      <w:bookmarkEnd w:id="41"/>
      <w:r>
        <w:rPr>
          <w:rFonts w:hint="eastAsia" w:ascii="宋体" w:hAnsi="宋体"/>
          <w:color w:val="000000" w:themeColor="text1"/>
          <w:sz w:val="28"/>
          <w:szCs w:val="28"/>
          <w14:textFill>
            <w14:solidFill>
              <w14:schemeClr w14:val="tx1"/>
            </w14:solidFill>
          </w14:textFill>
        </w:rPr>
        <w:t>既有建筑中的柴油发电机房、消防水泵房、燃油或燃气锅炉房、带有油浸变压器、充有可燃油的高压电容器和多油开关等的电气用房，当难以按照现行工程建设消防技术标准要求改变楼层位置时，其防火分隔、消防设施和结构防火等防火技术措施及要求应符合现行工程建设消防技术标准，消防水泵房的门口及其进出的路线上尚应设置引导指示标识。</w:t>
      </w:r>
    </w:p>
    <w:p w14:paraId="2B87CF4A">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4.2.5</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改造后为下列使用功能的场所应符合下列规定：</w:t>
      </w:r>
    </w:p>
    <w:p w14:paraId="34583DDD">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网吧、酒吧、棋牌室、剧本杀、密室逃脱、足浴店、洗浴中心（除洗浴室部分）、蒸拿房、水疗美容、电竞酒店客房等公共娱乐场所，沉浸式观演场所、室内拍摄棚等公共文化活动场所，应符合现行消防技术标准中有关歌舞娱乐放映游艺场所的规定；</w:t>
      </w:r>
    </w:p>
    <w:p w14:paraId="2EEA3789">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12岁以下儿童培训场所应符合现行消防技术标准中有关儿童活动场所的规定；</w:t>
      </w:r>
    </w:p>
    <w:p w14:paraId="2D8156B6">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密室逃脱、剧本杀、电竞酒店客房等公共娱乐场所，应设置电气火灾监控系统，并应根据应用场景设置火灾探测器，应急广播、消防应急照明和疏散指示系统。</w:t>
      </w:r>
    </w:p>
    <w:p w14:paraId="2A8282D8">
      <w:pPr>
        <w:pStyle w:val="3"/>
        <w:spacing w:line="360" w:lineRule="auto"/>
        <w:rPr>
          <w:rFonts w:ascii="宋体" w:hAnsi="宋体"/>
          <w:sz w:val="28"/>
          <w:szCs w:val="28"/>
        </w:rPr>
      </w:pPr>
      <w:bookmarkStart w:id="42" w:name="_Toc151062978"/>
      <w:bookmarkStart w:id="43" w:name="_Toc151062647"/>
      <w:bookmarkStart w:id="44" w:name="_Toc151063115"/>
      <w:bookmarkStart w:id="45" w:name="_Toc151061849"/>
      <w:r>
        <w:rPr>
          <w:rFonts w:hint="eastAsia" w:ascii="宋体" w:hAnsi="宋体"/>
          <w:sz w:val="28"/>
          <w:szCs w:val="28"/>
        </w:rPr>
        <w:t xml:space="preserve">4.3 </w:t>
      </w:r>
      <w:r>
        <w:rPr>
          <w:rFonts w:ascii="宋体" w:hAnsi="宋体"/>
          <w:sz w:val="28"/>
          <w:szCs w:val="28"/>
        </w:rPr>
        <w:t xml:space="preserve"> </w:t>
      </w:r>
      <w:r>
        <w:rPr>
          <w:rFonts w:hint="eastAsia" w:ascii="宋体" w:hAnsi="宋体"/>
          <w:sz w:val="28"/>
          <w:szCs w:val="28"/>
        </w:rPr>
        <w:t>安全疏散和避难</w:t>
      </w:r>
      <w:bookmarkEnd w:id="42"/>
      <w:bookmarkEnd w:id="43"/>
      <w:bookmarkEnd w:id="44"/>
      <w:bookmarkEnd w:id="45"/>
    </w:p>
    <w:p w14:paraId="2C915CB5">
      <w:pPr>
        <w:widowControl/>
        <w:snapToGrid w:val="0"/>
        <w:spacing w:line="300" w:lineRule="auto"/>
        <w:jc w:val="left"/>
        <w:rPr>
          <w:rFonts w:ascii="宋体" w:hAnsi="宋体"/>
          <w:color w:val="000000" w:themeColor="text1"/>
          <w:sz w:val="28"/>
          <w:szCs w:val="28"/>
          <w14:textFill>
            <w14:solidFill>
              <w14:schemeClr w14:val="tx1"/>
            </w14:solidFill>
          </w14:textFill>
        </w:rPr>
      </w:pPr>
      <w:bookmarkStart w:id="46" w:name="_Hlk71611535"/>
      <w:r>
        <w:rPr>
          <w:rFonts w:hint="eastAsia" w:ascii="宋体" w:hAnsi="宋体"/>
          <w:color w:val="000000" w:themeColor="text1"/>
          <w:sz w:val="28"/>
          <w:szCs w:val="28"/>
          <w14:textFill>
            <w14:solidFill>
              <w14:schemeClr w14:val="tx1"/>
            </w14:solidFill>
          </w14:textFill>
        </w:rPr>
        <w:t>4.</w:t>
      </w:r>
      <w:r>
        <w:rPr>
          <w:rFonts w:ascii="宋体" w:hAnsi="宋体"/>
          <w:color w:val="000000" w:themeColor="text1"/>
          <w:sz w:val="28"/>
          <w:szCs w:val="28"/>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.1</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除E、F类火灾危险场所、歌舞娱乐放映游艺场所外</w:t>
      </w:r>
      <w:bookmarkEnd w:id="46"/>
      <w:r>
        <w:rPr>
          <w:rFonts w:hint="eastAsia" w:ascii="宋体" w:hAnsi="宋体"/>
          <w:color w:val="000000" w:themeColor="text1"/>
          <w:sz w:val="28"/>
          <w:szCs w:val="28"/>
          <w14:textFill>
            <w14:solidFill>
              <w14:schemeClr w14:val="tx1"/>
            </w14:solidFill>
          </w14:textFill>
        </w:rPr>
        <w:t>，其他既有建筑改造工程中，</w:t>
      </w:r>
      <w:bookmarkStart w:id="47" w:name="_Hlk69064795"/>
      <w:r>
        <w:rPr>
          <w:rFonts w:hint="eastAsia" w:ascii="宋体" w:hAnsi="宋体"/>
          <w:color w:val="000000" w:themeColor="text1"/>
          <w:sz w:val="28"/>
          <w:szCs w:val="28"/>
          <w14:textFill>
            <w14:solidFill>
              <w14:schemeClr w14:val="tx1"/>
            </w14:solidFill>
          </w14:textFill>
        </w:rPr>
        <w:t>仅有一个安全出口或一部疏散楼梯的楼层，当难以增加安全出口或疏散楼梯时，应符合下列规定：</w:t>
      </w:r>
      <w:bookmarkEnd w:id="47"/>
    </w:p>
    <w:p w14:paraId="00BF62F6">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建筑耐火等级不应低于二级；</w:t>
      </w:r>
    </w:p>
    <w:p w14:paraId="47CC4067">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建筑层数不应大于</w:t>
      </w:r>
      <w:r>
        <w:rPr>
          <w:rFonts w:ascii="宋体" w:hAnsi="宋体"/>
          <w:color w:val="000000" w:themeColor="text1"/>
          <w:sz w:val="28"/>
          <w:szCs w:val="28"/>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层，每层最大建筑面积不应大于</w:t>
      </w:r>
      <w:r>
        <w:rPr>
          <w:rFonts w:ascii="宋体" w:hAnsi="宋体"/>
          <w:color w:val="000000" w:themeColor="text1"/>
          <w:sz w:val="28"/>
          <w:szCs w:val="28"/>
          <w14:textFill>
            <w14:solidFill>
              <w14:schemeClr w14:val="tx1"/>
            </w14:solidFill>
          </w14:textFill>
        </w:rPr>
        <w:t>500m</w:t>
      </w:r>
      <w:r>
        <w:rPr>
          <w:rFonts w:hint="eastAsia" w:ascii="宋体" w:hAnsi="宋体"/>
          <w:color w:val="000000" w:themeColor="text1"/>
          <w:sz w:val="28"/>
          <w:szCs w:val="28"/>
          <w14:textFill>
            <w14:solidFill>
              <w14:schemeClr w14:val="tx1"/>
            </w14:solidFill>
          </w14:textFill>
        </w:rPr>
        <w:t>²；</w:t>
      </w:r>
    </w:p>
    <w:p w14:paraId="56C93A22">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第二层和第三层使用人数之和不应超过</w:t>
      </w:r>
      <w:r>
        <w:rPr>
          <w:rFonts w:ascii="宋体" w:hAnsi="宋体"/>
          <w:color w:val="000000" w:themeColor="text1"/>
          <w:sz w:val="28"/>
          <w:szCs w:val="28"/>
          <w14:textFill>
            <w14:solidFill>
              <w14:schemeClr w14:val="tx1"/>
            </w14:solidFill>
          </w14:textFill>
        </w:rPr>
        <w:t>50</w:t>
      </w:r>
      <w:r>
        <w:rPr>
          <w:rFonts w:hint="eastAsia" w:ascii="宋体" w:hAnsi="宋体"/>
          <w:color w:val="000000" w:themeColor="text1"/>
          <w:sz w:val="28"/>
          <w:szCs w:val="28"/>
          <w14:textFill>
            <w14:solidFill>
              <w14:schemeClr w14:val="tx1"/>
            </w14:solidFill>
          </w14:textFill>
        </w:rPr>
        <w:t>人；</w:t>
      </w:r>
    </w:p>
    <w:p w14:paraId="3058C686">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房间疏散门至安全出口的直线距离不应大于2</w:t>
      </w:r>
      <w:r>
        <w:rPr>
          <w:rFonts w:ascii="宋体" w:hAnsi="宋体"/>
          <w:color w:val="000000" w:themeColor="text1"/>
          <w:sz w:val="28"/>
          <w:szCs w:val="28"/>
          <w14:textFill>
            <w14:solidFill>
              <w14:schemeClr w14:val="tx1"/>
            </w14:solidFill>
          </w14:textFill>
        </w:rPr>
        <w:t>2m</w:t>
      </w:r>
      <w:r>
        <w:rPr>
          <w:rFonts w:hint="eastAsia" w:ascii="宋体" w:hAnsi="宋体"/>
          <w:color w:val="000000" w:themeColor="text1"/>
          <w:sz w:val="28"/>
          <w:szCs w:val="28"/>
          <w14:textFill>
            <w14:solidFill>
              <w14:schemeClr w14:val="tx1"/>
            </w14:solidFill>
          </w14:textFill>
        </w:rPr>
        <w:t>，房间内任一点至房间疏散门的直线距离不应大于15</w:t>
      </w:r>
      <w:r>
        <w:rPr>
          <w:rFonts w:ascii="宋体" w:hAnsi="宋体"/>
          <w:color w:val="000000" w:themeColor="text1"/>
          <w:sz w:val="28"/>
          <w:szCs w:val="28"/>
          <w14:textFill>
            <w14:solidFill>
              <w14:schemeClr w14:val="tx1"/>
            </w14:solidFill>
          </w14:textFill>
        </w:rPr>
        <w:t>m</w:t>
      </w:r>
      <w:r>
        <w:rPr>
          <w:rFonts w:hint="eastAsia" w:ascii="宋体" w:hAnsi="宋体"/>
          <w:color w:val="000000" w:themeColor="text1"/>
          <w:sz w:val="28"/>
          <w:szCs w:val="28"/>
          <w14:textFill>
            <w14:solidFill>
              <w14:schemeClr w14:val="tx1"/>
            </w14:solidFill>
          </w14:textFill>
        </w:rPr>
        <w:t>；</w:t>
      </w:r>
    </w:p>
    <w:p w14:paraId="6C5EB411">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开敞式办公、展厅、餐厅、营业厅等大空间内任一点至安全出口的直线距离不应大于2</w:t>
      </w:r>
      <w:r>
        <w:rPr>
          <w:rFonts w:ascii="宋体" w:hAnsi="宋体"/>
          <w:color w:val="000000" w:themeColor="text1"/>
          <w:sz w:val="28"/>
          <w:szCs w:val="28"/>
          <w14:textFill>
            <w14:solidFill>
              <w14:schemeClr w14:val="tx1"/>
            </w14:solidFill>
          </w14:textFill>
        </w:rPr>
        <w:t>2m</w:t>
      </w:r>
      <w:r>
        <w:rPr>
          <w:rFonts w:hint="eastAsia" w:ascii="宋体" w:hAnsi="宋体"/>
          <w:color w:val="000000" w:themeColor="text1"/>
          <w:sz w:val="28"/>
          <w:szCs w:val="28"/>
          <w14:textFill>
            <w14:solidFill>
              <w14:schemeClr w14:val="tx1"/>
            </w14:solidFill>
          </w14:textFill>
        </w:rPr>
        <w:t>；</w:t>
      </w:r>
    </w:p>
    <w:p w14:paraId="1D971080">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6</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疏散楼梯应采用封闭楼梯间或室外疏散楼梯；</w:t>
      </w:r>
    </w:p>
    <w:p w14:paraId="4A2630B7">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bookmarkStart w:id="48" w:name="_Hlk71611090"/>
      <w:r>
        <w:rPr>
          <w:rFonts w:hint="eastAsia" w:ascii="宋体" w:hAnsi="宋体"/>
          <w:color w:val="000000" w:themeColor="text1"/>
          <w:sz w:val="28"/>
          <w:szCs w:val="28"/>
          <w14:textFill>
            <w14:solidFill>
              <w14:schemeClr w14:val="tx1"/>
            </w14:solidFill>
          </w14:textFill>
        </w:rPr>
        <w:t>7</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走道等公共区域或每个有人员活动的房间</w:t>
      </w:r>
      <w:bookmarkEnd w:id="48"/>
      <w:r>
        <w:rPr>
          <w:rFonts w:hint="eastAsia" w:ascii="宋体" w:hAnsi="宋体"/>
          <w:color w:val="000000" w:themeColor="text1"/>
          <w:sz w:val="28"/>
          <w:szCs w:val="28"/>
          <w14:textFill>
            <w14:solidFill>
              <w14:schemeClr w14:val="tx1"/>
            </w14:solidFill>
          </w14:textFill>
        </w:rPr>
        <w:t>应设置不小于</w:t>
      </w:r>
      <w:r>
        <w:rPr>
          <w:rFonts w:ascii="宋体" w:hAnsi="宋体"/>
          <w:color w:val="000000" w:themeColor="text1"/>
          <w:sz w:val="28"/>
          <w:szCs w:val="28"/>
          <w14:textFill>
            <w14:solidFill>
              <w14:schemeClr w14:val="tx1"/>
            </w14:solidFill>
          </w14:textFill>
        </w:rPr>
        <w:t>0</w:t>
      </w: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14:textFill>
            <w14:solidFill>
              <w14:schemeClr w14:val="tx1"/>
            </w14:solidFill>
          </w14:textFill>
        </w:rPr>
        <w:t>8m</w:t>
      </w: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14:textFill>
            <w14:solidFill>
              <w14:schemeClr w14:val="tx1"/>
            </w14:solidFill>
          </w14:textFill>
        </w:rPr>
        <w:t>0</w:t>
      </w:r>
      <w:r>
        <w:rPr>
          <w:rFonts w:hint="eastAsia" w:ascii="宋体" w:hAnsi="宋体"/>
          <w:color w:val="000000" w:themeColor="text1"/>
          <w:sz w:val="28"/>
          <w:szCs w:val="28"/>
          <w14:textFill>
            <w14:solidFill>
              <w14:schemeClr w14:val="tx1"/>
            </w14:solidFill>
          </w14:textFill>
        </w:rPr>
        <w:t>.8m的</w:t>
      </w:r>
      <w:bookmarkStart w:id="49" w:name="_Hlk71611195"/>
      <w:r>
        <w:rPr>
          <w:rFonts w:hint="eastAsia" w:ascii="宋体" w:hAnsi="宋体"/>
          <w:color w:val="000000" w:themeColor="text1"/>
          <w:sz w:val="28"/>
          <w:szCs w:val="28"/>
          <w14:textFill>
            <w14:solidFill>
              <w14:schemeClr w14:val="tx1"/>
            </w14:solidFill>
          </w14:textFill>
        </w:rPr>
        <w:t>可开启外窗或设置室外阳台</w:t>
      </w:r>
      <w:bookmarkEnd w:id="49"/>
      <w:r>
        <w:rPr>
          <w:rFonts w:hint="eastAsia" w:ascii="宋体" w:hAnsi="宋体"/>
          <w:color w:val="000000" w:themeColor="text1"/>
          <w:sz w:val="28"/>
          <w:szCs w:val="28"/>
          <w14:textFill>
            <w14:solidFill>
              <w14:schemeClr w14:val="tx1"/>
            </w14:solidFill>
          </w14:textFill>
        </w:rPr>
        <w:t>；</w:t>
      </w:r>
    </w:p>
    <w:p w14:paraId="5BC51A35">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8</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开向疏散走道的房间疏散门应具用自动关闭的功能。</w:t>
      </w:r>
    </w:p>
    <w:p w14:paraId="410A47EB">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w:t>
      </w:r>
      <w:r>
        <w:rPr>
          <w:rFonts w:ascii="宋体" w:hAnsi="宋体"/>
          <w:color w:val="000000" w:themeColor="text1"/>
          <w:sz w:val="28"/>
          <w:szCs w:val="28"/>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.2</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改造为老年人照料设施的既有建筑，设置辅助人员疏散的电梯确有困难的防火分区，应划分2个及2个以上的防火分隔单元，防火分隔单元之间应采用耐火极限不低于2.00h的防火隔墙和甲级防火门分隔。</w:t>
      </w:r>
    </w:p>
    <w:p w14:paraId="30F48CC8">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w:t>
      </w:r>
      <w:r>
        <w:rPr>
          <w:rFonts w:ascii="宋体" w:hAnsi="宋体"/>
          <w:color w:val="000000" w:themeColor="text1"/>
          <w:sz w:val="28"/>
          <w:szCs w:val="28"/>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.3</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楼梯间在首层直通室外确有困难时，应在首层将门厅作为扩大的封闭楼梯间或防烟楼梯间前室，且直通室外的疏散距离不应大于30m。除卫生间、登记室、行李间、商务室等附设房间外，门厅内不应设置其他使用功能及房间，附设房间开向门厅的门应采用乙级防火门。</w:t>
      </w:r>
    </w:p>
    <w:p w14:paraId="6E6F5818">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w:t>
      </w:r>
      <w:r>
        <w:rPr>
          <w:rFonts w:ascii="宋体" w:hAnsi="宋体"/>
          <w:color w:val="000000" w:themeColor="text1"/>
          <w:sz w:val="28"/>
          <w:szCs w:val="28"/>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.4</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商业与其他建筑功能组合的既有建筑改造工程，除与住宅、F类火灾危险场所组合外，当商业部分与建筑其他功能部分分别设置疏散楼梯确有困难需在竖向共用疏散楼梯时，共用的疏散楼梯应分别设置不同的前室或防火隔间，前室或防火隔间的使用面积应根据楼梯疏散人数的1/4，按照人均不小于0.2</w:t>
      </w:r>
      <w:r>
        <w:rPr>
          <w:rFonts w:ascii="宋体" w:hAnsi="宋体"/>
          <w:color w:val="000000" w:themeColor="text1"/>
          <w:sz w:val="28"/>
          <w:szCs w:val="28"/>
          <w14:textFill>
            <w14:solidFill>
              <w14:schemeClr w14:val="tx1"/>
            </w14:solidFill>
          </w14:textFill>
        </w:rPr>
        <w:t>m</w:t>
      </w:r>
      <w:r>
        <w:rPr>
          <w:rFonts w:hint="eastAsia" w:ascii="宋体" w:hAnsi="宋体"/>
          <w:color w:val="000000" w:themeColor="text1"/>
          <w:sz w:val="28"/>
          <w:szCs w:val="28"/>
          <w14:textFill>
            <w14:solidFill>
              <w14:schemeClr w14:val="tx1"/>
            </w14:solidFill>
          </w14:textFill>
        </w:rPr>
        <w:t>²的标准计算确定。公共建筑部分尚应不小于6.0m²。</w:t>
      </w:r>
    </w:p>
    <w:p w14:paraId="4B2B4728">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w:t>
      </w:r>
      <w:r>
        <w:rPr>
          <w:rFonts w:ascii="宋体" w:hAnsi="宋体"/>
          <w:color w:val="000000" w:themeColor="text1"/>
          <w:sz w:val="28"/>
          <w:szCs w:val="28"/>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.5</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除F类火灾危险场所及电影院外，既有公共建筑分别设置疏散楼梯确有困难，需两个防火分区共用一部疏散楼梯时，应符合下列规定：</w:t>
      </w:r>
    </w:p>
    <w:p w14:paraId="52E950D0">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每个防火分区应在通向共用疏散楼梯处分别设置前室，前室的使用面积不应小于</w:t>
      </w:r>
      <w:r>
        <w:rPr>
          <w:rFonts w:ascii="宋体" w:hAnsi="宋体"/>
          <w:color w:val="000000" w:themeColor="text1"/>
          <w:sz w:val="28"/>
          <w:szCs w:val="28"/>
          <w14:textFill>
            <w14:solidFill>
              <w14:schemeClr w14:val="tx1"/>
            </w14:solidFill>
          </w14:textFill>
        </w:rPr>
        <w:t>6.0m</w:t>
      </w:r>
      <w:r>
        <w:rPr>
          <w:rFonts w:hint="eastAsia" w:ascii="宋体" w:hAnsi="宋体"/>
          <w:color w:val="000000" w:themeColor="text1"/>
          <w:sz w:val="28"/>
          <w:szCs w:val="28"/>
          <w14:textFill>
            <w14:solidFill>
              <w14:schemeClr w14:val="tx1"/>
            </w14:solidFill>
          </w14:textFill>
        </w:rPr>
        <w:t>²；</w:t>
      </w:r>
    </w:p>
    <w:p w14:paraId="285C96E1">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共用疏散楼梯的净宽度应满足此两个防火分区通向该疏散楼梯的疏散净宽度之和；</w:t>
      </w:r>
    </w:p>
    <w:p w14:paraId="2A5E3FD3">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每个防火分区利用共用疏散楼梯的疏散净宽度与其通向相邻防火分区的疏散净宽度之和不应大于该防火分区所需疏散总净宽度的30%。</w:t>
      </w:r>
    </w:p>
    <w:p w14:paraId="242272C0">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w:t>
      </w:r>
      <w:r>
        <w:rPr>
          <w:rFonts w:ascii="宋体" w:hAnsi="宋体"/>
          <w:color w:val="000000" w:themeColor="text1"/>
          <w:sz w:val="28"/>
          <w:szCs w:val="28"/>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.6</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图书馆、展览建筑、会议中心及类似使用功能的既有建筑改造工程，当地上既有敞开楼梯间难以改造为封闭楼梯间时，其建筑层数不应大于</w:t>
      </w:r>
      <w:r>
        <w:rPr>
          <w:rFonts w:ascii="宋体" w:hAnsi="宋体"/>
          <w:color w:val="000000" w:themeColor="text1"/>
          <w:sz w:val="28"/>
          <w:szCs w:val="28"/>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层，楼梯间应具有天然采光和良好的自然通风条件。</w:t>
      </w:r>
    </w:p>
    <w:p w14:paraId="41EC88FB">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w:t>
      </w:r>
      <w:r>
        <w:rPr>
          <w:rFonts w:ascii="宋体" w:hAnsi="宋体"/>
          <w:color w:val="000000" w:themeColor="text1"/>
          <w:sz w:val="28"/>
          <w:szCs w:val="28"/>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.7</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既有建筑改造工程中的敞开楼梯间，当需改造为封闭楼梯间且难以设置可开启外窗时，应设置防烟系统，防烟系统可采用顶部直灌式风机的加压送风方式。既有建筑中围绕电梯设置的敞开楼梯间，当需改造为封闭楼梯间且电梯门必须开向楼梯间内时，电梯轿厢的内部装修应采用不燃材料，电梯门的耐火性能应满足现行消防技术标准要求。</w:t>
      </w:r>
    </w:p>
    <w:p w14:paraId="044EA1F8">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w:t>
      </w:r>
      <w:r>
        <w:rPr>
          <w:rFonts w:ascii="宋体" w:hAnsi="宋体"/>
          <w:color w:val="000000" w:themeColor="text1"/>
          <w:sz w:val="28"/>
          <w:szCs w:val="28"/>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.8</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一、二级耐火等级既有商业建筑，商业营业厅疏散设计应符合下列规定：</w:t>
      </w:r>
    </w:p>
    <w:p w14:paraId="0B754565">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除建筑面积不大于1</w:t>
      </w:r>
      <w:r>
        <w:rPr>
          <w:rFonts w:ascii="宋体" w:hAnsi="宋体"/>
          <w:color w:val="000000" w:themeColor="text1"/>
          <w:sz w:val="28"/>
          <w:szCs w:val="28"/>
          <w14:textFill>
            <w14:solidFill>
              <w14:schemeClr w14:val="tx1"/>
            </w14:solidFill>
          </w14:textFill>
        </w:rPr>
        <w:t>00</w:t>
      </w:r>
      <w:r>
        <w:rPr>
          <w:rFonts w:hint="eastAsia" w:ascii="宋体" w:hAnsi="宋体"/>
          <w:color w:val="000000" w:themeColor="text1"/>
          <w:sz w:val="28"/>
          <w:szCs w:val="28"/>
          <w14:textFill>
            <w14:solidFill>
              <w14:schemeClr w14:val="tx1"/>
            </w14:solidFill>
          </w14:textFill>
        </w:rPr>
        <w:t>㎡的小型店铺外，其他区域任一点至相邻两个疏散出口门中点连线之间的夹角均不应小于3</w:t>
      </w:r>
      <w:r>
        <w:rPr>
          <w:rFonts w:ascii="宋体" w:hAnsi="宋体"/>
          <w:color w:val="000000" w:themeColor="text1"/>
          <w:sz w:val="28"/>
          <w:szCs w:val="28"/>
          <w14:textFill>
            <w14:solidFill>
              <w14:schemeClr w14:val="tx1"/>
            </w14:solidFill>
          </w14:textFill>
        </w:rPr>
        <w:t>0</w:t>
      </w:r>
      <w:r>
        <w:rPr>
          <w:rFonts w:hint="eastAsia" w:ascii="宋体" w:hAnsi="宋体"/>
          <w:color w:val="000000" w:themeColor="text1"/>
          <w:sz w:val="28"/>
          <w:szCs w:val="28"/>
          <w14:textFill>
            <w14:solidFill>
              <w14:schemeClr w14:val="tx1"/>
            </w14:solidFill>
          </w14:textFill>
        </w:rPr>
        <w:t>°；</w:t>
      </w:r>
    </w:p>
    <w:p w14:paraId="0E2A79E9">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疏散宽度应依据疏散人数和现行消防技术标准中百人最小疏散净宽度指标计算确定。各功能区域的疏散人员密度不应小于表4</w:t>
      </w:r>
      <w:r>
        <w:rPr>
          <w:rFonts w:ascii="宋体" w:hAnsi="宋体"/>
          <w:color w:val="000000" w:themeColor="text1"/>
          <w:sz w:val="28"/>
          <w:szCs w:val="28"/>
          <w14:textFill>
            <w14:solidFill>
              <w14:schemeClr w14:val="tx1"/>
            </w14:solidFill>
          </w14:textFill>
        </w:rPr>
        <w:t>.3.8</w:t>
      </w:r>
      <w:r>
        <w:rPr>
          <w:rFonts w:hint="eastAsia" w:ascii="宋体" w:hAnsi="宋体"/>
          <w:color w:val="000000" w:themeColor="text1"/>
          <w:sz w:val="28"/>
          <w:szCs w:val="28"/>
          <w14:textFill>
            <w14:solidFill>
              <w14:schemeClr w14:val="tx1"/>
            </w14:solidFill>
          </w14:textFill>
        </w:rPr>
        <w:t>的规定值：</w:t>
      </w:r>
    </w:p>
    <w:p w14:paraId="60063BA6">
      <w:pPr>
        <w:pStyle w:val="110"/>
        <w:spacing w:before="162" w:beforeLines="50" w:line="360" w:lineRule="auto"/>
        <w:ind w:left="2912" w:firstLine="0" w:firstLineChars="0"/>
        <w:jc w:val="left"/>
        <w:rPr>
          <w:rFonts w:ascii="黑体" w:hAnsi="黑体" w:eastAsia="黑体"/>
          <w:bCs/>
          <w:sz w:val="24"/>
        </w:rPr>
      </w:pPr>
      <w:r>
        <w:rPr>
          <w:rFonts w:ascii="黑体" w:hAnsi="黑体" w:eastAsia="黑体"/>
          <w:bCs/>
          <w:sz w:val="24"/>
        </w:rPr>
        <w:t>表</w:t>
      </w:r>
      <w:r>
        <w:rPr>
          <w:rFonts w:hint="eastAsia" w:ascii="黑体" w:hAnsi="黑体" w:eastAsia="黑体"/>
          <w:bCs/>
          <w:sz w:val="24"/>
        </w:rPr>
        <w:t>4</w:t>
      </w:r>
      <w:r>
        <w:rPr>
          <w:rFonts w:ascii="黑体" w:hAnsi="黑体" w:eastAsia="黑体"/>
          <w:bCs/>
          <w:sz w:val="24"/>
        </w:rPr>
        <w:t>.3.8商业</w:t>
      </w:r>
      <w:r>
        <w:rPr>
          <w:rFonts w:hint="eastAsia" w:ascii="黑体" w:hAnsi="黑体" w:eastAsia="黑体"/>
          <w:bCs/>
          <w:sz w:val="24"/>
        </w:rPr>
        <w:t>各功能区域人员密度</w:t>
      </w:r>
    </w:p>
    <w:tbl>
      <w:tblPr>
        <w:tblStyle w:val="33"/>
        <w:tblW w:w="0" w:type="auto"/>
        <w:tblInd w:w="0" w:type="dxa"/>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2689"/>
        <w:gridCol w:w="3446"/>
        <w:gridCol w:w="3210"/>
      </w:tblGrid>
      <w:tr w14:paraId="19B61E8D">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25" w:hRule="atLeast"/>
          <w:tblHeader/>
        </w:trPr>
        <w:tc>
          <w:tcPr>
            <w:tcW w:w="61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A1B53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cs="宋体"/>
                <w:kern w:val="0"/>
                <w:sz w:val="21"/>
                <w:szCs w:val="21"/>
              </w:rPr>
            </w:pPr>
            <w:r>
              <w:rPr>
                <w:rFonts w:hint="eastAsia" w:ascii="宋体" w:hAnsi="宋体" w:cs="宋体"/>
                <w:kern w:val="0"/>
                <w:sz w:val="21"/>
                <w:szCs w:val="21"/>
              </w:rPr>
              <w:t>功能区域及分类</w:t>
            </w:r>
          </w:p>
        </w:tc>
        <w:tc>
          <w:tcPr>
            <w:tcW w:w="3210" w:type="dxa"/>
            <w:tcBorders>
              <w:top w:val="single" w:color="auto" w:sz="4" w:space="0"/>
              <w:left w:val="single" w:color="auto" w:sz="4" w:space="0"/>
              <w:bottom w:val="single" w:color="auto" w:sz="4" w:space="0"/>
              <w:right w:val="single" w:color="auto" w:sz="4" w:space="0"/>
            </w:tcBorders>
            <w:shd w:val="clear" w:color="auto" w:fill="auto"/>
            <w:vAlign w:val="center"/>
          </w:tcPr>
          <w:p w14:paraId="0C53DB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cs="宋体"/>
                <w:kern w:val="0"/>
                <w:sz w:val="21"/>
                <w:szCs w:val="21"/>
              </w:rPr>
            </w:pPr>
            <w:r>
              <w:rPr>
                <w:rFonts w:ascii="宋体" w:hAnsi="宋体" w:cs="宋体"/>
                <w:kern w:val="0"/>
                <w:sz w:val="21"/>
                <w:szCs w:val="21"/>
              </w:rPr>
              <w:t>人员</w:t>
            </w:r>
            <w:r>
              <w:rPr>
                <w:rFonts w:hint="eastAsia" w:ascii="宋体" w:hAnsi="宋体" w:cs="宋体"/>
                <w:kern w:val="0"/>
                <w:sz w:val="21"/>
                <w:szCs w:val="21"/>
              </w:rPr>
              <w:t>密度</w:t>
            </w:r>
            <w:r>
              <w:rPr>
                <w:rFonts w:ascii="宋体" w:hAnsi="宋体" w:cs="宋体"/>
                <w:kern w:val="0"/>
                <w:sz w:val="21"/>
                <w:szCs w:val="21"/>
              </w:rPr>
              <w:t>（人/m</w:t>
            </w:r>
            <w:r>
              <w:rPr>
                <w:rFonts w:ascii="宋体" w:hAnsi="宋体" w:cs="宋体"/>
                <w:kern w:val="0"/>
                <w:sz w:val="21"/>
                <w:szCs w:val="21"/>
                <w:vertAlign w:val="superscript"/>
              </w:rPr>
              <w:t>2</w:t>
            </w:r>
            <w:r>
              <w:rPr>
                <w:rFonts w:ascii="宋体" w:hAnsi="宋体" w:cs="宋体"/>
                <w:kern w:val="0"/>
                <w:sz w:val="21"/>
                <w:szCs w:val="21"/>
              </w:rPr>
              <w:t>）</w:t>
            </w:r>
          </w:p>
        </w:tc>
      </w:tr>
      <w:tr w14:paraId="4BCDF790">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26" w:hRule="atLeast"/>
        </w:trPr>
        <w:tc>
          <w:tcPr>
            <w:tcW w:w="26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6EA0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cs="宋体"/>
                <w:kern w:val="0"/>
                <w:sz w:val="21"/>
                <w:szCs w:val="21"/>
              </w:rPr>
            </w:pPr>
            <w:r>
              <w:rPr>
                <w:rFonts w:hint="eastAsia" w:ascii="宋体" w:hAnsi="宋体" w:cs="宋体"/>
                <w:kern w:val="0"/>
                <w:sz w:val="21"/>
                <w:szCs w:val="21"/>
              </w:rPr>
              <w:t>售卖</w:t>
            </w:r>
            <w:r>
              <w:rPr>
                <w:rFonts w:ascii="宋体" w:hAnsi="宋体" w:cs="宋体"/>
                <w:kern w:val="0"/>
                <w:sz w:val="21"/>
                <w:szCs w:val="21"/>
              </w:rPr>
              <w:t>区</w:t>
            </w:r>
          </w:p>
        </w:tc>
        <w:tc>
          <w:tcPr>
            <w:tcW w:w="3446" w:type="dxa"/>
            <w:tcBorders>
              <w:top w:val="single" w:color="auto" w:sz="4" w:space="0"/>
              <w:left w:val="single" w:color="auto" w:sz="4" w:space="0"/>
              <w:bottom w:val="single" w:color="auto" w:sz="4" w:space="0"/>
              <w:right w:val="single" w:color="auto" w:sz="4" w:space="0"/>
            </w:tcBorders>
            <w:shd w:val="clear" w:color="auto" w:fill="auto"/>
            <w:vAlign w:val="center"/>
          </w:tcPr>
          <w:p w14:paraId="71CC6D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cs="宋体"/>
                <w:kern w:val="0"/>
                <w:sz w:val="21"/>
                <w:szCs w:val="21"/>
              </w:rPr>
            </w:pPr>
            <w:r>
              <w:rPr>
                <w:rFonts w:hint="eastAsia" w:ascii="宋体" w:hAnsi="宋体" w:cs="宋体"/>
                <w:kern w:val="0"/>
                <w:sz w:val="21"/>
                <w:szCs w:val="21"/>
              </w:rPr>
              <w:t>一层、二层、三层及地下楼层</w:t>
            </w:r>
          </w:p>
        </w:tc>
        <w:tc>
          <w:tcPr>
            <w:tcW w:w="3210" w:type="dxa"/>
            <w:tcBorders>
              <w:top w:val="single" w:color="auto" w:sz="4" w:space="0"/>
              <w:left w:val="single" w:color="auto" w:sz="4" w:space="0"/>
              <w:bottom w:val="single" w:color="auto" w:sz="4" w:space="0"/>
              <w:right w:val="single" w:color="auto" w:sz="4" w:space="0"/>
            </w:tcBorders>
            <w:shd w:val="clear" w:color="auto" w:fill="auto"/>
            <w:vAlign w:val="center"/>
          </w:tcPr>
          <w:p w14:paraId="335073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cs="宋体"/>
                <w:kern w:val="0"/>
                <w:sz w:val="21"/>
                <w:szCs w:val="21"/>
              </w:rPr>
            </w:pPr>
            <w:r>
              <w:rPr>
                <w:rFonts w:ascii="宋体" w:hAnsi="宋体" w:cs="宋体"/>
                <w:kern w:val="0"/>
                <w:sz w:val="21"/>
                <w:szCs w:val="21"/>
              </w:rPr>
              <w:t>0.35</w:t>
            </w:r>
          </w:p>
        </w:tc>
      </w:tr>
      <w:tr w14:paraId="2BB41DDC">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97" w:hRule="atLeast"/>
        </w:trPr>
        <w:tc>
          <w:tcPr>
            <w:tcW w:w="26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F9A52A">
            <w:pPr>
              <w:pStyle w:val="11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12" w:firstLine="0" w:firstLineChars="0"/>
              <w:jc w:val="center"/>
              <w:rPr>
                <w:rFonts w:ascii="宋体" w:hAnsi="宋体" w:cs="宋体"/>
                <w:kern w:val="0"/>
                <w:sz w:val="21"/>
                <w:szCs w:val="21"/>
              </w:rPr>
            </w:pPr>
          </w:p>
        </w:tc>
        <w:tc>
          <w:tcPr>
            <w:tcW w:w="3446" w:type="dxa"/>
            <w:tcBorders>
              <w:top w:val="single" w:color="auto" w:sz="4" w:space="0"/>
              <w:left w:val="single" w:color="auto" w:sz="4" w:space="0"/>
              <w:bottom w:val="single" w:color="auto" w:sz="4" w:space="0"/>
              <w:right w:val="single" w:color="auto" w:sz="4" w:space="0"/>
            </w:tcBorders>
            <w:shd w:val="clear" w:color="auto" w:fill="auto"/>
            <w:vAlign w:val="center"/>
          </w:tcPr>
          <w:p w14:paraId="6B2B07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cs="宋体"/>
                <w:kern w:val="0"/>
                <w:sz w:val="21"/>
                <w:szCs w:val="21"/>
              </w:rPr>
            </w:pPr>
            <w:r>
              <w:rPr>
                <w:rFonts w:hint="eastAsia" w:ascii="宋体" w:hAnsi="宋体" w:cs="宋体"/>
                <w:kern w:val="0"/>
                <w:sz w:val="21"/>
                <w:szCs w:val="21"/>
              </w:rPr>
              <w:t>四层及以上</w:t>
            </w:r>
          </w:p>
        </w:tc>
        <w:tc>
          <w:tcPr>
            <w:tcW w:w="3210" w:type="dxa"/>
            <w:tcBorders>
              <w:top w:val="single" w:color="auto" w:sz="4" w:space="0"/>
              <w:left w:val="single" w:color="auto" w:sz="4" w:space="0"/>
              <w:bottom w:val="single" w:color="auto" w:sz="4" w:space="0"/>
              <w:right w:val="single" w:color="auto" w:sz="4" w:space="0"/>
            </w:tcBorders>
            <w:shd w:val="clear" w:color="auto" w:fill="auto"/>
            <w:vAlign w:val="center"/>
          </w:tcPr>
          <w:p w14:paraId="6E4533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cs="宋体"/>
                <w:kern w:val="0"/>
                <w:sz w:val="21"/>
                <w:szCs w:val="21"/>
              </w:rPr>
            </w:pPr>
            <w:r>
              <w:rPr>
                <w:rFonts w:ascii="宋体" w:hAnsi="宋体" w:cs="宋体"/>
                <w:kern w:val="0"/>
                <w:sz w:val="21"/>
                <w:szCs w:val="21"/>
              </w:rPr>
              <w:t>0.30</w:t>
            </w:r>
          </w:p>
        </w:tc>
      </w:tr>
      <w:tr w14:paraId="71BBBB51">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26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596D6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cs="宋体"/>
                <w:kern w:val="0"/>
                <w:sz w:val="21"/>
                <w:szCs w:val="21"/>
              </w:rPr>
            </w:pPr>
            <w:r>
              <w:rPr>
                <w:rFonts w:ascii="宋体" w:hAnsi="宋体" w:cs="宋体"/>
                <w:kern w:val="0"/>
                <w:sz w:val="21"/>
                <w:szCs w:val="21"/>
              </w:rPr>
              <w:t>餐饮区</w:t>
            </w:r>
          </w:p>
        </w:tc>
        <w:tc>
          <w:tcPr>
            <w:tcW w:w="3446" w:type="dxa"/>
            <w:tcBorders>
              <w:top w:val="single" w:color="auto" w:sz="4" w:space="0"/>
              <w:left w:val="single" w:color="auto" w:sz="4" w:space="0"/>
              <w:bottom w:val="single" w:color="auto" w:sz="4" w:space="0"/>
              <w:right w:val="single" w:color="auto" w:sz="4" w:space="0"/>
            </w:tcBorders>
            <w:shd w:val="clear" w:color="auto" w:fill="auto"/>
            <w:vAlign w:val="center"/>
          </w:tcPr>
          <w:p w14:paraId="52D7FF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cs="宋体"/>
                <w:kern w:val="0"/>
                <w:sz w:val="21"/>
                <w:szCs w:val="21"/>
              </w:rPr>
            </w:pPr>
            <w:r>
              <w:rPr>
                <w:rFonts w:hint="eastAsia" w:ascii="宋体" w:hAnsi="宋体" w:cs="宋体"/>
                <w:kern w:val="0"/>
                <w:sz w:val="21"/>
                <w:szCs w:val="21"/>
                <w:lang w:val="en-US" w:eastAsia="zh-CN"/>
              </w:rPr>
              <w:t>酒吧</w:t>
            </w:r>
            <w:r>
              <w:rPr>
                <w:rFonts w:hint="eastAsia" w:ascii="宋体" w:hAnsi="宋体" w:cs="宋体"/>
                <w:kern w:val="0"/>
                <w:sz w:val="21"/>
                <w:szCs w:val="21"/>
              </w:rPr>
              <w:t>、咖啡就餐区</w:t>
            </w:r>
          </w:p>
        </w:tc>
        <w:tc>
          <w:tcPr>
            <w:tcW w:w="3210" w:type="dxa"/>
            <w:tcBorders>
              <w:top w:val="single" w:color="auto" w:sz="4" w:space="0"/>
              <w:left w:val="single" w:color="auto" w:sz="4" w:space="0"/>
              <w:bottom w:val="single" w:color="auto" w:sz="4" w:space="0"/>
              <w:right w:val="single" w:color="auto" w:sz="4" w:space="0"/>
            </w:tcBorders>
            <w:shd w:val="clear" w:color="auto" w:fill="auto"/>
            <w:vAlign w:val="center"/>
          </w:tcPr>
          <w:p w14:paraId="67B693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cs="宋体"/>
                <w:kern w:val="0"/>
                <w:sz w:val="21"/>
                <w:szCs w:val="21"/>
              </w:rPr>
            </w:pPr>
            <w:r>
              <w:rPr>
                <w:rFonts w:ascii="宋体" w:hAnsi="宋体" w:cs="宋体"/>
                <w:kern w:val="0"/>
                <w:sz w:val="21"/>
                <w:szCs w:val="21"/>
              </w:rPr>
              <w:t>1.0</w:t>
            </w:r>
          </w:p>
        </w:tc>
      </w:tr>
      <w:tr w14:paraId="22FEBE42">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26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EC652F">
            <w:pPr>
              <w:pStyle w:val="11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12" w:firstLine="0" w:firstLineChars="0"/>
              <w:jc w:val="center"/>
              <w:rPr>
                <w:rFonts w:ascii="宋体" w:hAnsi="宋体" w:cs="宋体"/>
                <w:kern w:val="0"/>
                <w:sz w:val="21"/>
                <w:szCs w:val="21"/>
              </w:rPr>
            </w:pPr>
          </w:p>
        </w:tc>
        <w:tc>
          <w:tcPr>
            <w:tcW w:w="3446" w:type="dxa"/>
            <w:tcBorders>
              <w:top w:val="single" w:color="auto" w:sz="4" w:space="0"/>
              <w:left w:val="single" w:color="auto" w:sz="4" w:space="0"/>
              <w:bottom w:val="single" w:color="auto" w:sz="4" w:space="0"/>
              <w:right w:val="single" w:color="auto" w:sz="4" w:space="0"/>
            </w:tcBorders>
            <w:shd w:val="clear" w:color="auto" w:fill="auto"/>
            <w:vAlign w:val="center"/>
          </w:tcPr>
          <w:p w14:paraId="4BABB7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cs="宋体"/>
                <w:kern w:val="0"/>
                <w:sz w:val="21"/>
                <w:szCs w:val="21"/>
              </w:rPr>
            </w:pPr>
            <w:r>
              <w:rPr>
                <w:rFonts w:ascii="宋体" w:hAnsi="宋体" w:cs="宋体"/>
                <w:kern w:val="0"/>
                <w:sz w:val="21"/>
                <w:szCs w:val="21"/>
              </w:rPr>
              <w:t>餐厅</w:t>
            </w:r>
            <w:r>
              <w:rPr>
                <w:rFonts w:hint="eastAsia" w:ascii="宋体" w:hAnsi="宋体" w:cs="宋体"/>
                <w:kern w:val="0"/>
                <w:sz w:val="21"/>
                <w:szCs w:val="21"/>
              </w:rPr>
              <w:t>就餐区</w:t>
            </w:r>
          </w:p>
        </w:tc>
        <w:tc>
          <w:tcPr>
            <w:tcW w:w="3210" w:type="dxa"/>
            <w:tcBorders>
              <w:top w:val="single" w:color="auto" w:sz="4" w:space="0"/>
              <w:left w:val="single" w:color="auto" w:sz="4" w:space="0"/>
              <w:bottom w:val="single" w:color="auto" w:sz="4" w:space="0"/>
              <w:right w:val="single" w:color="auto" w:sz="4" w:space="0"/>
            </w:tcBorders>
            <w:shd w:val="clear" w:color="auto" w:fill="auto"/>
            <w:vAlign w:val="center"/>
          </w:tcPr>
          <w:p w14:paraId="045B74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cs="宋体"/>
                <w:kern w:val="0"/>
                <w:sz w:val="21"/>
                <w:szCs w:val="21"/>
              </w:rPr>
            </w:pPr>
            <w:r>
              <w:rPr>
                <w:rFonts w:hint="eastAsia" w:ascii="宋体" w:hAnsi="宋体" w:cs="宋体"/>
                <w:kern w:val="0"/>
                <w:sz w:val="21"/>
                <w:szCs w:val="21"/>
              </w:rPr>
              <w:t>0</w:t>
            </w:r>
            <w:r>
              <w:rPr>
                <w:rFonts w:ascii="宋体" w:hAnsi="宋体" w:cs="宋体"/>
                <w:kern w:val="0"/>
                <w:sz w:val="21"/>
                <w:szCs w:val="21"/>
              </w:rPr>
              <w:t>.7</w:t>
            </w:r>
          </w:p>
        </w:tc>
      </w:tr>
      <w:tr w14:paraId="46ABD191">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26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44F5D2">
            <w:pPr>
              <w:pStyle w:val="11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12" w:firstLine="0" w:firstLineChars="0"/>
              <w:jc w:val="center"/>
              <w:rPr>
                <w:rFonts w:ascii="宋体" w:hAnsi="宋体" w:cs="宋体"/>
                <w:kern w:val="0"/>
                <w:sz w:val="21"/>
                <w:szCs w:val="21"/>
              </w:rPr>
            </w:pPr>
          </w:p>
        </w:tc>
        <w:tc>
          <w:tcPr>
            <w:tcW w:w="3446" w:type="dxa"/>
            <w:tcBorders>
              <w:top w:val="single" w:color="auto" w:sz="4" w:space="0"/>
              <w:left w:val="single" w:color="auto" w:sz="4" w:space="0"/>
              <w:bottom w:val="single" w:color="auto" w:sz="4" w:space="0"/>
              <w:right w:val="single" w:color="auto" w:sz="4" w:space="0"/>
            </w:tcBorders>
            <w:shd w:val="clear" w:color="auto" w:fill="auto"/>
            <w:vAlign w:val="center"/>
          </w:tcPr>
          <w:p w14:paraId="4E430C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cs="宋体"/>
                <w:kern w:val="0"/>
                <w:sz w:val="21"/>
                <w:szCs w:val="21"/>
              </w:rPr>
            </w:pPr>
            <w:r>
              <w:rPr>
                <w:rFonts w:ascii="宋体" w:hAnsi="宋体" w:cs="宋体"/>
                <w:kern w:val="0"/>
                <w:sz w:val="21"/>
                <w:szCs w:val="21"/>
              </w:rPr>
              <w:t>厨房</w:t>
            </w:r>
          </w:p>
        </w:tc>
        <w:tc>
          <w:tcPr>
            <w:tcW w:w="3210" w:type="dxa"/>
            <w:tcBorders>
              <w:top w:val="single" w:color="auto" w:sz="4" w:space="0"/>
              <w:left w:val="single" w:color="auto" w:sz="4" w:space="0"/>
              <w:bottom w:val="single" w:color="auto" w:sz="4" w:space="0"/>
              <w:right w:val="single" w:color="auto" w:sz="4" w:space="0"/>
            </w:tcBorders>
            <w:shd w:val="clear" w:color="auto" w:fill="auto"/>
            <w:vAlign w:val="center"/>
          </w:tcPr>
          <w:p w14:paraId="0E1AF9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cs="宋体"/>
                <w:kern w:val="0"/>
                <w:sz w:val="21"/>
                <w:szCs w:val="21"/>
              </w:rPr>
            </w:pPr>
            <w:r>
              <w:rPr>
                <w:rFonts w:ascii="宋体" w:hAnsi="宋体" w:cs="宋体"/>
                <w:kern w:val="0"/>
                <w:sz w:val="21"/>
                <w:szCs w:val="21"/>
              </w:rPr>
              <w:t>0.1</w:t>
            </w:r>
          </w:p>
        </w:tc>
      </w:tr>
      <w:tr w14:paraId="5FE85ADB">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26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A5411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cs="宋体"/>
                <w:kern w:val="0"/>
                <w:sz w:val="21"/>
                <w:szCs w:val="21"/>
              </w:rPr>
            </w:pPr>
            <w:r>
              <w:rPr>
                <w:rFonts w:hint="eastAsia" w:ascii="宋体" w:hAnsi="宋体" w:cs="宋体"/>
                <w:kern w:val="0"/>
                <w:sz w:val="21"/>
                <w:szCs w:val="21"/>
              </w:rPr>
              <w:t>商业娱乐区</w:t>
            </w:r>
          </w:p>
        </w:tc>
        <w:tc>
          <w:tcPr>
            <w:tcW w:w="3446" w:type="dxa"/>
            <w:tcBorders>
              <w:top w:val="single" w:color="auto" w:sz="4" w:space="0"/>
              <w:left w:val="single" w:color="auto" w:sz="4" w:space="0"/>
              <w:bottom w:val="single" w:color="auto" w:sz="4" w:space="0"/>
              <w:right w:val="single" w:color="auto" w:sz="4" w:space="0"/>
            </w:tcBorders>
            <w:shd w:val="clear" w:color="auto" w:fill="auto"/>
            <w:vAlign w:val="center"/>
          </w:tcPr>
          <w:p w14:paraId="374B9C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cs="宋体"/>
                <w:kern w:val="0"/>
                <w:sz w:val="21"/>
                <w:szCs w:val="21"/>
              </w:rPr>
            </w:pPr>
            <w:r>
              <w:rPr>
                <w:rFonts w:ascii="宋体" w:hAnsi="宋体" w:cs="宋体"/>
                <w:kern w:val="0"/>
                <w:sz w:val="21"/>
                <w:szCs w:val="21"/>
              </w:rPr>
              <w:t>电影放映厅等</w:t>
            </w:r>
          </w:p>
        </w:tc>
        <w:tc>
          <w:tcPr>
            <w:tcW w:w="3210" w:type="dxa"/>
            <w:tcBorders>
              <w:top w:val="single" w:color="auto" w:sz="4" w:space="0"/>
              <w:left w:val="single" w:color="auto" w:sz="4" w:space="0"/>
              <w:bottom w:val="single" w:color="auto" w:sz="4" w:space="0"/>
              <w:right w:val="single" w:color="auto" w:sz="4" w:space="0"/>
            </w:tcBorders>
            <w:shd w:val="clear" w:color="auto" w:fill="auto"/>
            <w:vAlign w:val="center"/>
          </w:tcPr>
          <w:p w14:paraId="708CE1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cs="宋体"/>
                <w:kern w:val="0"/>
                <w:sz w:val="21"/>
                <w:szCs w:val="21"/>
              </w:rPr>
            </w:pPr>
            <w:r>
              <w:rPr>
                <w:rFonts w:ascii="宋体" w:hAnsi="宋体" w:cs="宋体"/>
                <w:kern w:val="0"/>
                <w:sz w:val="21"/>
                <w:szCs w:val="21"/>
              </w:rPr>
              <w:t>1.0</w:t>
            </w:r>
          </w:p>
        </w:tc>
      </w:tr>
      <w:tr w14:paraId="5C4B8534">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26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B92F99">
            <w:pPr>
              <w:pStyle w:val="11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12" w:firstLine="0" w:firstLineChars="0"/>
              <w:jc w:val="center"/>
              <w:rPr>
                <w:rFonts w:ascii="宋体" w:hAnsi="宋体" w:cs="宋体"/>
                <w:kern w:val="0"/>
                <w:sz w:val="21"/>
                <w:szCs w:val="21"/>
              </w:rPr>
            </w:pPr>
          </w:p>
        </w:tc>
        <w:tc>
          <w:tcPr>
            <w:tcW w:w="3446" w:type="dxa"/>
            <w:tcBorders>
              <w:top w:val="single" w:color="auto" w:sz="4" w:space="0"/>
              <w:left w:val="single" w:color="auto" w:sz="4" w:space="0"/>
              <w:bottom w:val="single" w:color="auto" w:sz="4" w:space="0"/>
              <w:right w:val="single" w:color="auto" w:sz="4" w:space="0"/>
            </w:tcBorders>
            <w:shd w:val="clear" w:color="auto" w:fill="auto"/>
            <w:vAlign w:val="center"/>
          </w:tcPr>
          <w:p w14:paraId="188043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cs="宋体"/>
                <w:kern w:val="0"/>
                <w:sz w:val="21"/>
                <w:szCs w:val="21"/>
              </w:rPr>
            </w:pPr>
            <w:r>
              <w:rPr>
                <w:rFonts w:ascii="宋体" w:hAnsi="宋体" w:cs="宋体"/>
                <w:kern w:val="0"/>
                <w:sz w:val="21"/>
                <w:szCs w:val="21"/>
              </w:rPr>
              <w:t>游艺厅、网吧等</w:t>
            </w:r>
          </w:p>
        </w:tc>
        <w:tc>
          <w:tcPr>
            <w:tcW w:w="3210" w:type="dxa"/>
            <w:tcBorders>
              <w:top w:val="single" w:color="auto" w:sz="4" w:space="0"/>
              <w:left w:val="single" w:color="auto" w:sz="4" w:space="0"/>
              <w:bottom w:val="single" w:color="auto" w:sz="4" w:space="0"/>
              <w:right w:val="single" w:color="auto" w:sz="4" w:space="0"/>
            </w:tcBorders>
            <w:shd w:val="clear" w:color="auto" w:fill="auto"/>
            <w:vAlign w:val="center"/>
          </w:tcPr>
          <w:p w14:paraId="0D43D2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cs="宋体"/>
                <w:kern w:val="0"/>
                <w:sz w:val="21"/>
                <w:szCs w:val="21"/>
              </w:rPr>
            </w:pPr>
            <w:r>
              <w:rPr>
                <w:rFonts w:ascii="宋体" w:hAnsi="宋体" w:cs="宋体"/>
                <w:kern w:val="0"/>
                <w:sz w:val="21"/>
                <w:szCs w:val="21"/>
              </w:rPr>
              <w:t>0.5</w:t>
            </w:r>
          </w:p>
        </w:tc>
      </w:tr>
      <w:tr w14:paraId="73876787">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26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590A6F">
            <w:pPr>
              <w:pStyle w:val="11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12" w:firstLine="0" w:firstLineChars="0"/>
              <w:jc w:val="center"/>
              <w:rPr>
                <w:rFonts w:ascii="宋体" w:hAnsi="宋体" w:cs="宋体"/>
                <w:kern w:val="0"/>
                <w:sz w:val="21"/>
                <w:szCs w:val="21"/>
              </w:rPr>
            </w:pPr>
          </w:p>
        </w:tc>
        <w:tc>
          <w:tcPr>
            <w:tcW w:w="3446" w:type="dxa"/>
            <w:tcBorders>
              <w:top w:val="single" w:color="auto" w:sz="4" w:space="0"/>
              <w:left w:val="single" w:color="auto" w:sz="4" w:space="0"/>
              <w:bottom w:val="single" w:color="auto" w:sz="4" w:space="0"/>
              <w:right w:val="single" w:color="auto" w:sz="4" w:space="0"/>
            </w:tcBorders>
            <w:shd w:val="clear" w:color="auto" w:fill="auto"/>
            <w:vAlign w:val="center"/>
          </w:tcPr>
          <w:p w14:paraId="63556F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cs="宋体"/>
                <w:kern w:val="0"/>
                <w:sz w:val="21"/>
                <w:szCs w:val="21"/>
              </w:rPr>
            </w:pPr>
            <w:r>
              <w:rPr>
                <w:rFonts w:ascii="宋体" w:hAnsi="宋体" w:cs="宋体"/>
                <w:kern w:val="0"/>
                <w:sz w:val="21"/>
                <w:szCs w:val="21"/>
              </w:rPr>
              <w:t>棋类室</w:t>
            </w:r>
          </w:p>
        </w:tc>
        <w:tc>
          <w:tcPr>
            <w:tcW w:w="3210" w:type="dxa"/>
            <w:tcBorders>
              <w:top w:val="single" w:color="auto" w:sz="4" w:space="0"/>
              <w:left w:val="single" w:color="auto" w:sz="4" w:space="0"/>
              <w:bottom w:val="single" w:color="auto" w:sz="4" w:space="0"/>
              <w:right w:val="single" w:color="auto" w:sz="4" w:space="0"/>
            </w:tcBorders>
            <w:shd w:val="clear" w:color="auto" w:fill="auto"/>
            <w:vAlign w:val="center"/>
          </w:tcPr>
          <w:p w14:paraId="166AF0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cs="宋体"/>
                <w:kern w:val="0"/>
                <w:sz w:val="21"/>
                <w:szCs w:val="21"/>
              </w:rPr>
            </w:pPr>
            <w:r>
              <w:rPr>
                <w:rFonts w:ascii="宋体" w:hAnsi="宋体" w:cs="宋体"/>
                <w:kern w:val="0"/>
                <w:sz w:val="21"/>
                <w:szCs w:val="21"/>
              </w:rPr>
              <w:t>0.7</w:t>
            </w:r>
          </w:p>
        </w:tc>
      </w:tr>
      <w:tr w14:paraId="7F460A8C">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26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C8E7B9">
            <w:pPr>
              <w:pStyle w:val="11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12" w:firstLine="0" w:firstLineChars="0"/>
              <w:jc w:val="center"/>
              <w:rPr>
                <w:rFonts w:ascii="宋体" w:hAnsi="宋体" w:cs="宋体"/>
                <w:kern w:val="0"/>
                <w:sz w:val="21"/>
                <w:szCs w:val="21"/>
              </w:rPr>
            </w:pPr>
          </w:p>
        </w:tc>
        <w:tc>
          <w:tcPr>
            <w:tcW w:w="3446" w:type="dxa"/>
            <w:tcBorders>
              <w:top w:val="single" w:color="auto" w:sz="4" w:space="0"/>
              <w:left w:val="single" w:color="auto" w:sz="4" w:space="0"/>
              <w:bottom w:val="single" w:color="auto" w:sz="4" w:space="0"/>
              <w:right w:val="single" w:color="auto" w:sz="4" w:space="0"/>
            </w:tcBorders>
            <w:shd w:val="clear" w:color="auto" w:fill="auto"/>
            <w:vAlign w:val="center"/>
          </w:tcPr>
          <w:p w14:paraId="232B5C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cs="宋体"/>
                <w:kern w:val="0"/>
                <w:sz w:val="21"/>
                <w:szCs w:val="21"/>
              </w:rPr>
            </w:pPr>
            <w:r>
              <w:rPr>
                <w:rFonts w:ascii="宋体" w:hAnsi="宋体" w:cs="宋体"/>
                <w:kern w:val="0"/>
                <w:sz w:val="21"/>
                <w:szCs w:val="21"/>
              </w:rPr>
              <w:t>溜冰场</w:t>
            </w:r>
          </w:p>
        </w:tc>
        <w:tc>
          <w:tcPr>
            <w:tcW w:w="3210" w:type="dxa"/>
            <w:tcBorders>
              <w:top w:val="single" w:color="auto" w:sz="4" w:space="0"/>
              <w:left w:val="single" w:color="auto" w:sz="4" w:space="0"/>
              <w:bottom w:val="single" w:color="auto" w:sz="4" w:space="0"/>
              <w:right w:val="single" w:color="auto" w:sz="4" w:space="0"/>
            </w:tcBorders>
            <w:shd w:val="clear" w:color="auto" w:fill="auto"/>
            <w:vAlign w:val="center"/>
          </w:tcPr>
          <w:p w14:paraId="3B2A61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cs="宋体"/>
                <w:kern w:val="0"/>
                <w:sz w:val="21"/>
                <w:szCs w:val="21"/>
              </w:rPr>
            </w:pPr>
            <w:r>
              <w:rPr>
                <w:rFonts w:ascii="宋体" w:hAnsi="宋体" w:cs="宋体"/>
                <w:kern w:val="0"/>
                <w:sz w:val="21"/>
                <w:szCs w:val="21"/>
              </w:rPr>
              <w:t>0.3</w:t>
            </w:r>
          </w:p>
        </w:tc>
      </w:tr>
      <w:tr w14:paraId="1AE0E216">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61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F5379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cs="宋体"/>
                <w:kern w:val="0"/>
                <w:sz w:val="21"/>
                <w:szCs w:val="21"/>
              </w:rPr>
            </w:pPr>
            <w:r>
              <w:rPr>
                <w:rFonts w:hint="eastAsia" w:ascii="宋体" w:hAnsi="宋体" w:cs="宋体"/>
                <w:kern w:val="0"/>
                <w:sz w:val="21"/>
                <w:szCs w:val="21"/>
              </w:rPr>
              <w:t>超市区</w:t>
            </w:r>
          </w:p>
        </w:tc>
        <w:tc>
          <w:tcPr>
            <w:tcW w:w="3210" w:type="dxa"/>
            <w:tcBorders>
              <w:top w:val="single" w:color="auto" w:sz="4" w:space="0"/>
              <w:left w:val="single" w:color="auto" w:sz="4" w:space="0"/>
              <w:bottom w:val="single" w:color="auto" w:sz="4" w:space="0"/>
              <w:right w:val="single" w:color="auto" w:sz="4" w:space="0"/>
            </w:tcBorders>
            <w:shd w:val="clear" w:color="auto" w:fill="auto"/>
            <w:vAlign w:val="center"/>
          </w:tcPr>
          <w:p w14:paraId="0BDAA2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cs="宋体"/>
                <w:kern w:val="0"/>
                <w:sz w:val="21"/>
                <w:szCs w:val="21"/>
              </w:rPr>
            </w:pPr>
            <w:r>
              <w:rPr>
                <w:rFonts w:hint="eastAsia" w:ascii="宋体" w:hAnsi="宋体" w:cs="宋体"/>
                <w:kern w:val="0"/>
                <w:sz w:val="21"/>
                <w:szCs w:val="21"/>
              </w:rPr>
              <w:t>0</w:t>
            </w:r>
            <w:r>
              <w:rPr>
                <w:rFonts w:ascii="宋体" w:hAnsi="宋体" w:cs="宋体"/>
                <w:kern w:val="0"/>
                <w:sz w:val="21"/>
                <w:szCs w:val="21"/>
              </w:rPr>
              <w:t>.5</w:t>
            </w:r>
          </w:p>
        </w:tc>
      </w:tr>
      <w:tr w14:paraId="0E02157A">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61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26C8A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cs="宋体"/>
                <w:kern w:val="0"/>
                <w:sz w:val="21"/>
                <w:szCs w:val="21"/>
              </w:rPr>
            </w:pPr>
            <w:r>
              <w:rPr>
                <w:rFonts w:hint="eastAsia" w:ascii="宋体" w:hAnsi="宋体" w:cs="宋体"/>
                <w:kern w:val="0"/>
                <w:sz w:val="21"/>
                <w:szCs w:val="21"/>
              </w:rPr>
              <w:t>与店铺之间有防火分隔的</w:t>
            </w:r>
            <w:r>
              <w:rPr>
                <w:rFonts w:ascii="宋体" w:hAnsi="宋体" w:cs="宋体"/>
                <w:kern w:val="0"/>
                <w:sz w:val="21"/>
                <w:szCs w:val="21"/>
              </w:rPr>
              <w:t>中庭</w:t>
            </w:r>
            <w:r>
              <w:rPr>
                <w:rFonts w:hint="eastAsia" w:ascii="宋体" w:hAnsi="宋体" w:cs="宋体"/>
                <w:kern w:val="0"/>
                <w:sz w:val="21"/>
                <w:szCs w:val="21"/>
              </w:rPr>
              <w:t>、步行街</w:t>
            </w:r>
            <w:r>
              <w:rPr>
                <w:rFonts w:ascii="宋体" w:hAnsi="宋体" w:cs="宋体"/>
                <w:kern w:val="0"/>
                <w:sz w:val="21"/>
                <w:szCs w:val="21"/>
              </w:rPr>
              <w:t>及公共走廊</w:t>
            </w:r>
          </w:p>
        </w:tc>
        <w:tc>
          <w:tcPr>
            <w:tcW w:w="3210" w:type="dxa"/>
            <w:tcBorders>
              <w:top w:val="single" w:color="auto" w:sz="4" w:space="0"/>
              <w:left w:val="single" w:color="auto" w:sz="4" w:space="0"/>
              <w:bottom w:val="single" w:color="auto" w:sz="4" w:space="0"/>
              <w:right w:val="single" w:color="auto" w:sz="4" w:space="0"/>
            </w:tcBorders>
            <w:shd w:val="clear" w:color="auto" w:fill="auto"/>
            <w:vAlign w:val="center"/>
          </w:tcPr>
          <w:p w14:paraId="2ADB4A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cs="宋体"/>
                <w:kern w:val="0"/>
                <w:sz w:val="21"/>
                <w:szCs w:val="21"/>
              </w:rPr>
            </w:pPr>
            <w:r>
              <w:rPr>
                <w:rFonts w:ascii="宋体" w:hAnsi="宋体" w:cs="宋体"/>
                <w:kern w:val="0"/>
                <w:sz w:val="21"/>
                <w:szCs w:val="21"/>
              </w:rPr>
              <w:t>0.25</w:t>
            </w:r>
          </w:p>
        </w:tc>
      </w:tr>
    </w:tbl>
    <w:p w14:paraId="54FE2EB5">
      <w:pPr>
        <w:pStyle w:val="110"/>
        <w:widowControl/>
        <w:adjustRightInd w:val="0"/>
        <w:snapToGrid w:val="0"/>
        <w:spacing w:before="162" w:beforeLines="50" w:after="162" w:afterLines="50" w:line="360" w:lineRule="auto"/>
        <w:ind w:firstLine="0" w:firstLineChars="0"/>
        <w:jc w:val="left"/>
        <w:rPr>
          <w:rFonts w:ascii="宋体" w:hAnsi="宋体"/>
          <w:bCs/>
          <w:sz w:val="18"/>
          <w:szCs w:val="18"/>
        </w:rPr>
      </w:pPr>
      <w:r>
        <w:rPr>
          <w:rFonts w:hint="eastAsia" w:ascii="宋体" w:hAnsi="宋体"/>
          <w:bCs/>
          <w:sz w:val="18"/>
          <w:szCs w:val="18"/>
        </w:rPr>
        <w:t>注：有固定座位的场所疏散人数可按实际座位乘以不小于</w:t>
      </w:r>
      <w:r>
        <w:rPr>
          <w:rFonts w:ascii="宋体" w:hAnsi="宋体"/>
          <w:bCs/>
          <w:sz w:val="18"/>
          <w:szCs w:val="18"/>
        </w:rPr>
        <w:t>1.05</w:t>
      </w:r>
      <w:r>
        <w:rPr>
          <w:rFonts w:hint="eastAsia" w:ascii="宋体" w:hAnsi="宋体"/>
          <w:bCs/>
          <w:sz w:val="18"/>
          <w:szCs w:val="18"/>
        </w:rPr>
        <w:t>的安全系数确定。</w:t>
      </w:r>
    </w:p>
    <w:p w14:paraId="039DDC3A">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当与相邻防火分区间采用防火墙和甲级防火门分隔时，该防火分区通向相邻防火分区的疏散宽度不应大于该防火分区所需总疏散宽度要求的</w:t>
      </w:r>
      <w:r>
        <w:rPr>
          <w:rFonts w:ascii="宋体" w:hAnsi="宋体"/>
          <w:color w:val="000000" w:themeColor="text1"/>
          <w:sz w:val="28"/>
          <w:szCs w:val="28"/>
          <w14:textFill>
            <w14:solidFill>
              <w14:schemeClr w14:val="tx1"/>
            </w14:solidFill>
          </w14:textFill>
        </w:rPr>
        <w:t>30%</w:t>
      </w:r>
      <w:r>
        <w:rPr>
          <w:rFonts w:hint="eastAsia" w:ascii="宋体" w:hAnsi="宋体"/>
          <w:color w:val="000000" w:themeColor="text1"/>
          <w:sz w:val="28"/>
          <w:szCs w:val="28"/>
          <w14:textFill>
            <w14:solidFill>
              <w14:schemeClr w14:val="tx1"/>
            </w14:solidFill>
          </w14:textFill>
        </w:rPr>
        <w:t>；当防火分区间既有防火卷帘难以改变为防火墙时，该防火卷帘的防火性能应符合现行国家标准《建筑设计防火规范》</w:t>
      </w:r>
      <w:r>
        <w:rPr>
          <w:rFonts w:ascii="宋体" w:hAnsi="宋体"/>
          <w:color w:val="000000" w:themeColor="text1"/>
          <w:sz w:val="28"/>
          <w:szCs w:val="28"/>
          <w14:textFill>
            <w14:solidFill>
              <w14:schemeClr w14:val="tx1"/>
            </w14:solidFill>
          </w14:textFill>
        </w:rPr>
        <w:t>GB50016</w:t>
      </w:r>
      <w:r>
        <w:rPr>
          <w:rFonts w:hint="eastAsia" w:ascii="宋体" w:hAnsi="宋体"/>
          <w:color w:val="000000" w:themeColor="text1"/>
          <w:sz w:val="28"/>
          <w:szCs w:val="28"/>
          <w14:textFill>
            <w14:solidFill>
              <w14:schemeClr w14:val="tx1"/>
            </w14:solidFill>
          </w14:textFill>
        </w:rPr>
        <w:t>的规定。</w:t>
      </w:r>
    </w:p>
    <w:p w14:paraId="5DEAE3B9">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w:t>
      </w:r>
      <w:r>
        <w:rPr>
          <w:rFonts w:ascii="宋体" w:hAnsi="宋体"/>
          <w:color w:val="000000" w:themeColor="text1"/>
          <w:sz w:val="28"/>
          <w:szCs w:val="28"/>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.9</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既有建筑改造工程中保留且不改造的疏散楼梯、疏散出口，其净宽度</w:t>
      </w:r>
      <w:bookmarkStart w:id="50" w:name="_Hlk58752042"/>
      <w:r>
        <w:rPr>
          <w:rFonts w:hint="eastAsia" w:ascii="宋体" w:hAnsi="宋体"/>
          <w:color w:val="000000" w:themeColor="text1"/>
          <w:sz w:val="28"/>
          <w:szCs w:val="28"/>
          <w14:textFill>
            <w14:solidFill>
              <w14:schemeClr w14:val="tx1"/>
            </w14:solidFill>
          </w14:textFill>
        </w:rPr>
        <w:t>均不应小于现行消防技术标准规定所需最小净宽度的</w:t>
      </w:r>
      <w:r>
        <w:rPr>
          <w:rFonts w:ascii="宋体" w:hAnsi="宋体"/>
          <w:color w:val="000000" w:themeColor="text1"/>
          <w:sz w:val="28"/>
          <w:szCs w:val="28"/>
          <w14:textFill>
            <w14:solidFill>
              <w14:schemeClr w14:val="tx1"/>
            </w14:solidFill>
          </w14:textFill>
        </w:rPr>
        <w:t>90%</w:t>
      </w:r>
      <w:r>
        <w:rPr>
          <w:rFonts w:hint="eastAsia" w:ascii="宋体" w:hAnsi="宋体"/>
          <w:color w:val="000000" w:themeColor="text1"/>
          <w:sz w:val="28"/>
          <w:szCs w:val="28"/>
          <w14:textFill>
            <w14:solidFill>
              <w14:schemeClr w14:val="tx1"/>
            </w14:solidFill>
          </w14:textFill>
        </w:rPr>
        <w:t>，</w:t>
      </w:r>
      <w:bookmarkEnd w:id="50"/>
      <w:r>
        <w:rPr>
          <w:rFonts w:hint="eastAsia" w:ascii="宋体" w:hAnsi="宋体"/>
          <w:color w:val="000000" w:themeColor="text1"/>
          <w:sz w:val="28"/>
          <w:szCs w:val="28"/>
          <w14:textFill>
            <w14:solidFill>
              <w14:schemeClr w14:val="tx1"/>
            </w14:solidFill>
          </w14:textFill>
        </w:rPr>
        <w:t>且疏散出口的最小净宽度不应小于0.8m。当净宽度不满足上述要求，且不小于0.6m时，可计入安全出口数量，但不计入疏散总宽度。</w:t>
      </w:r>
    </w:p>
    <w:p w14:paraId="5177C6E5">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w:t>
      </w:r>
      <w:r>
        <w:rPr>
          <w:rFonts w:ascii="宋体" w:hAnsi="宋体"/>
          <w:color w:val="000000" w:themeColor="text1"/>
          <w:sz w:val="28"/>
          <w:szCs w:val="28"/>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.10  既有建筑改造工程中保留且不改造的疏散通道、疏散走道、疏散出口和疏散楼梯，疏散通道、疏散走道、疏散出口和公共楼梯休息平台的净高度均不应小于2.0m。当净高度不满足上述要求，且不小于1.8m时，可计入安全出口的数量，但不计入疏散总宽度。</w:t>
      </w:r>
    </w:p>
    <w:p w14:paraId="7CDE5542">
      <w:pPr>
        <w:pStyle w:val="3"/>
        <w:spacing w:line="360" w:lineRule="auto"/>
        <w:rPr>
          <w:rFonts w:ascii="宋体" w:hAnsi="宋体"/>
          <w:sz w:val="28"/>
          <w:szCs w:val="28"/>
        </w:rPr>
      </w:pPr>
      <w:bookmarkStart w:id="51" w:name="_Toc151061850"/>
      <w:bookmarkStart w:id="52" w:name="_Toc151062648"/>
      <w:bookmarkStart w:id="53" w:name="_Toc151063116"/>
      <w:bookmarkStart w:id="54" w:name="_Toc151062979"/>
      <w:r>
        <w:rPr>
          <w:rFonts w:hint="eastAsia" w:ascii="宋体" w:hAnsi="宋体"/>
          <w:sz w:val="28"/>
          <w:szCs w:val="28"/>
        </w:rPr>
        <w:t>4.4</w:t>
      </w:r>
      <w:r>
        <w:rPr>
          <w:rFonts w:ascii="宋体" w:hAnsi="宋体"/>
          <w:sz w:val="28"/>
          <w:szCs w:val="28"/>
        </w:rPr>
        <w:t xml:space="preserve">  </w:t>
      </w:r>
      <w:r>
        <w:rPr>
          <w:rFonts w:hint="eastAsia" w:ascii="宋体" w:hAnsi="宋体"/>
          <w:sz w:val="28"/>
          <w:szCs w:val="28"/>
        </w:rPr>
        <w:t>建筑结构防火保护与构造</w:t>
      </w:r>
      <w:bookmarkEnd w:id="51"/>
      <w:bookmarkEnd w:id="52"/>
      <w:bookmarkEnd w:id="53"/>
      <w:bookmarkEnd w:id="54"/>
    </w:p>
    <w:p w14:paraId="356B7248">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4.4.1</w:t>
      </w:r>
      <w:r>
        <w:rPr>
          <w:rFonts w:ascii="宋体" w:hAnsi="宋体"/>
          <w:color w:val="000000" w:themeColor="text1"/>
          <w:sz w:val="28"/>
          <w:szCs w:val="28"/>
          <w14:textFill>
            <w14:solidFill>
              <w14:schemeClr w14:val="tx1"/>
            </w14:solidFill>
          </w14:textFill>
        </w:rPr>
        <w:tab/>
      </w:r>
      <w:r>
        <w:rPr>
          <w:rFonts w:hint="eastAsia" w:ascii="宋体" w:hAnsi="宋体"/>
          <w:color w:val="000000" w:themeColor="text1"/>
          <w:sz w:val="28"/>
          <w:szCs w:val="28"/>
          <w14:textFill>
            <w14:solidFill>
              <w14:schemeClr w14:val="tx1"/>
            </w14:solidFill>
          </w14:textFill>
        </w:rPr>
        <w:t>既有建筑改造工程中新增建筑构件的耐火性能应符合</w:t>
      </w:r>
      <w:r>
        <w:rPr>
          <w:rFonts w:ascii="宋体" w:hAnsi="宋体"/>
          <w:color w:val="000000" w:themeColor="text1"/>
          <w:sz w:val="28"/>
          <w:szCs w:val="28"/>
          <w14:textFill>
            <w14:solidFill>
              <w14:schemeClr w14:val="tx1"/>
            </w14:solidFill>
          </w14:textFill>
        </w:rPr>
        <w:t>国家</w:t>
      </w:r>
      <w:r>
        <w:rPr>
          <w:rFonts w:hint="eastAsia" w:ascii="宋体" w:hAnsi="宋体"/>
          <w:color w:val="000000" w:themeColor="text1"/>
          <w:sz w:val="28"/>
          <w:szCs w:val="28"/>
          <w14:textFill>
            <w14:solidFill>
              <w14:schemeClr w14:val="tx1"/>
            </w14:solidFill>
          </w14:textFill>
        </w:rPr>
        <w:t>现行相关标准的规定，设计文件中应明确建筑耐火等级、构件设计耐火极限、防火保护措施及防火保护材料等消防相关内容。既有建筑</w:t>
      </w:r>
      <w:r>
        <w:rPr>
          <w:rFonts w:ascii="宋体" w:hAnsi="宋体"/>
          <w:color w:val="000000" w:themeColor="text1"/>
          <w:sz w:val="28"/>
          <w:szCs w:val="28"/>
          <w14:textFill>
            <w14:solidFill>
              <w14:schemeClr w14:val="tx1"/>
            </w14:solidFill>
          </w14:textFill>
        </w:rPr>
        <w:t>改造中</w:t>
      </w:r>
      <w:r>
        <w:rPr>
          <w:rFonts w:hint="eastAsia" w:ascii="宋体" w:hAnsi="宋体"/>
          <w:color w:val="000000" w:themeColor="text1"/>
          <w:sz w:val="28"/>
          <w:szCs w:val="28"/>
          <w14:textFill>
            <w14:solidFill>
              <w14:schemeClr w14:val="tx1"/>
            </w14:solidFill>
          </w14:textFill>
        </w:rPr>
        <w:t>仅用于</w:t>
      </w:r>
      <w:r>
        <w:rPr>
          <w:rFonts w:ascii="宋体" w:hAnsi="宋体"/>
          <w:color w:val="000000" w:themeColor="text1"/>
          <w:sz w:val="28"/>
          <w:szCs w:val="28"/>
          <w14:textFill>
            <w14:solidFill>
              <w14:schemeClr w14:val="tx1"/>
            </w14:solidFill>
          </w14:textFill>
        </w:rPr>
        <w:t>抗震加固</w:t>
      </w:r>
      <w:r>
        <w:rPr>
          <w:rFonts w:hint="eastAsia" w:ascii="宋体" w:hAnsi="宋体"/>
          <w:color w:val="000000" w:themeColor="text1"/>
          <w:sz w:val="28"/>
          <w:szCs w:val="28"/>
          <w14:textFill>
            <w14:solidFill>
              <w14:schemeClr w14:val="tx1"/>
            </w14:solidFill>
          </w14:textFill>
        </w:rPr>
        <w:t>且</w:t>
      </w:r>
      <w:r>
        <w:rPr>
          <w:rFonts w:ascii="宋体" w:hAnsi="宋体"/>
          <w:color w:val="000000" w:themeColor="text1"/>
          <w:sz w:val="28"/>
          <w:szCs w:val="28"/>
          <w14:textFill>
            <w14:solidFill>
              <w14:schemeClr w14:val="tx1"/>
            </w14:solidFill>
          </w14:textFill>
        </w:rPr>
        <w:t>不承受竖向荷载的新增构件，可不进行防火处理。</w:t>
      </w:r>
    </w:p>
    <w:p w14:paraId="4F6F44AE">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4.4.2  </w:t>
      </w:r>
      <w:r>
        <w:rPr>
          <w:rFonts w:hint="eastAsia" w:ascii="宋体" w:hAnsi="宋体"/>
          <w:color w:val="000000" w:themeColor="text1"/>
          <w:sz w:val="28"/>
          <w:szCs w:val="28"/>
          <w14:textFill>
            <w14:solidFill>
              <w14:schemeClr w14:val="tx1"/>
            </w14:solidFill>
          </w14:textFill>
        </w:rPr>
        <w:t>既有建筑改造工程中新增防火墙的</w:t>
      </w:r>
      <w:r>
        <w:rPr>
          <w:rFonts w:ascii="宋体" w:hAnsi="宋体"/>
          <w:color w:val="000000" w:themeColor="text1"/>
          <w:sz w:val="28"/>
          <w:szCs w:val="28"/>
          <w14:textFill>
            <w14:solidFill>
              <w14:schemeClr w14:val="tx1"/>
            </w14:solidFill>
          </w14:textFill>
        </w:rPr>
        <w:t>位置、耐火性能和建筑构造应符合国家现行相关标准的要求。</w:t>
      </w:r>
      <w:r>
        <w:rPr>
          <w:rFonts w:hint="eastAsia" w:ascii="宋体" w:hAnsi="宋体"/>
          <w:color w:val="000000" w:themeColor="text1"/>
          <w:sz w:val="28"/>
          <w:szCs w:val="28"/>
          <w14:textFill>
            <w14:solidFill>
              <w14:schemeClr w14:val="tx1"/>
            </w14:solidFill>
          </w14:textFill>
        </w:rPr>
        <w:t>保留使用的防火墙不能满足</w:t>
      </w:r>
      <w:r>
        <w:rPr>
          <w:rFonts w:ascii="宋体" w:hAnsi="宋体"/>
          <w:color w:val="000000" w:themeColor="text1"/>
          <w:sz w:val="28"/>
          <w:szCs w:val="28"/>
          <w14:textFill>
            <w14:solidFill>
              <w14:schemeClr w14:val="tx1"/>
            </w14:solidFill>
          </w14:textFill>
        </w:rPr>
        <w:t>耐火性能要求</w:t>
      </w:r>
      <w:r>
        <w:rPr>
          <w:rFonts w:hint="eastAsia" w:ascii="宋体" w:hAnsi="宋体"/>
          <w:color w:val="000000" w:themeColor="text1"/>
          <w:sz w:val="28"/>
          <w:szCs w:val="28"/>
          <w14:textFill>
            <w14:solidFill>
              <w14:schemeClr w14:val="tx1"/>
            </w14:solidFill>
          </w14:textFill>
        </w:rPr>
        <w:t>时，应按国家现行</w:t>
      </w:r>
      <w:r>
        <w:rPr>
          <w:rFonts w:ascii="宋体" w:hAnsi="宋体"/>
          <w:color w:val="000000" w:themeColor="text1"/>
          <w:sz w:val="28"/>
          <w:szCs w:val="28"/>
          <w14:textFill>
            <w14:solidFill>
              <w14:schemeClr w14:val="tx1"/>
            </w14:solidFill>
          </w14:textFill>
        </w:rPr>
        <w:t>相关标准要求进行改造</w:t>
      </w:r>
      <w:r>
        <w:rPr>
          <w:rFonts w:hint="eastAsia" w:ascii="宋体" w:hAnsi="宋体"/>
          <w:color w:val="000000" w:themeColor="text1"/>
          <w:sz w:val="28"/>
          <w:szCs w:val="28"/>
          <w14:textFill>
            <w14:solidFill>
              <w14:schemeClr w14:val="tx1"/>
            </w14:solidFill>
          </w14:textFill>
        </w:rPr>
        <w:t>，达到耐火性能要求的</w:t>
      </w:r>
      <w:r>
        <w:rPr>
          <w:rFonts w:ascii="宋体" w:hAnsi="宋体"/>
          <w:color w:val="000000" w:themeColor="text1"/>
          <w:sz w:val="28"/>
          <w:szCs w:val="28"/>
          <w14:textFill>
            <w14:solidFill>
              <w14:schemeClr w14:val="tx1"/>
            </w14:solidFill>
          </w14:textFill>
        </w:rPr>
        <w:t>防火墙可维持原位置。</w:t>
      </w:r>
      <w:r>
        <w:rPr>
          <w:rFonts w:hint="eastAsia" w:ascii="宋体" w:hAnsi="宋体"/>
          <w:color w:val="000000" w:themeColor="text1"/>
          <w:sz w:val="28"/>
          <w:szCs w:val="28"/>
          <w14:textFill>
            <w14:solidFill>
              <w14:schemeClr w14:val="tx1"/>
            </w14:solidFill>
          </w14:textFill>
        </w:rPr>
        <w:t>承托防火墙</w:t>
      </w:r>
      <w:r>
        <w:rPr>
          <w:rFonts w:ascii="宋体" w:hAnsi="宋体"/>
          <w:color w:val="000000" w:themeColor="text1"/>
          <w:sz w:val="28"/>
          <w:szCs w:val="28"/>
          <w14:textFill>
            <w14:solidFill>
              <w14:schemeClr w14:val="tx1"/>
            </w14:solidFill>
          </w14:textFill>
        </w:rPr>
        <w:t>的相关范围内的结构构件耐火性能不符合现行国家标准时，应采取相应</w:t>
      </w:r>
      <w:r>
        <w:rPr>
          <w:rFonts w:hint="eastAsia" w:ascii="宋体" w:hAnsi="宋体"/>
          <w:color w:val="000000" w:themeColor="text1"/>
          <w:sz w:val="28"/>
          <w:szCs w:val="28"/>
          <w14:textFill>
            <w14:solidFill>
              <w14:schemeClr w14:val="tx1"/>
            </w14:solidFill>
          </w14:textFill>
        </w:rPr>
        <w:t>的</w:t>
      </w:r>
      <w:r>
        <w:rPr>
          <w:rFonts w:ascii="宋体" w:hAnsi="宋体"/>
          <w:color w:val="000000" w:themeColor="text1"/>
          <w:sz w:val="28"/>
          <w:szCs w:val="28"/>
          <w14:textFill>
            <w14:solidFill>
              <w14:schemeClr w14:val="tx1"/>
            </w14:solidFill>
          </w14:textFill>
        </w:rPr>
        <w:t>加固</w:t>
      </w:r>
      <w:r>
        <w:rPr>
          <w:rFonts w:hint="eastAsia" w:ascii="宋体" w:hAnsi="宋体"/>
          <w:color w:val="000000" w:themeColor="text1"/>
          <w:sz w:val="28"/>
          <w:szCs w:val="28"/>
          <w14:textFill>
            <w14:solidFill>
              <w14:schemeClr w14:val="tx1"/>
            </w14:solidFill>
          </w14:textFill>
        </w:rPr>
        <w:t>或</w:t>
      </w:r>
      <w:r>
        <w:rPr>
          <w:rFonts w:ascii="宋体" w:hAnsi="宋体"/>
          <w:color w:val="000000" w:themeColor="text1"/>
          <w:sz w:val="28"/>
          <w:szCs w:val="28"/>
          <w14:textFill>
            <w14:solidFill>
              <w14:schemeClr w14:val="tx1"/>
            </w14:solidFill>
          </w14:textFill>
        </w:rPr>
        <w:t>防火保护</w:t>
      </w:r>
      <w:r>
        <w:rPr>
          <w:rFonts w:hint="eastAsia" w:ascii="宋体" w:hAnsi="宋体"/>
          <w:color w:val="000000" w:themeColor="text1"/>
          <w:sz w:val="28"/>
          <w:szCs w:val="28"/>
          <w14:textFill>
            <w14:solidFill>
              <w14:schemeClr w14:val="tx1"/>
            </w14:solidFill>
          </w14:textFill>
        </w:rPr>
        <w:t>等</w:t>
      </w:r>
      <w:r>
        <w:rPr>
          <w:rFonts w:ascii="宋体" w:hAnsi="宋体"/>
          <w:color w:val="000000" w:themeColor="text1"/>
          <w:sz w:val="28"/>
          <w:szCs w:val="28"/>
          <w14:textFill>
            <w14:solidFill>
              <w14:schemeClr w14:val="tx1"/>
            </w14:solidFill>
          </w14:textFill>
        </w:rPr>
        <w:t>措施</w:t>
      </w: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14:textFill>
            <w14:solidFill>
              <w14:schemeClr w14:val="tx1"/>
            </w14:solidFill>
          </w14:textFill>
        </w:rPr>
        <w:t xml:space="preserve"> </w:t>
      </w:r>
    </w:p>
    <w:p w14:paraId="37748D91">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4.4.3  </w:t>
      </w:r>
      <w:r>
        <w:rPr>
          <w:rFonts w:hint="eastAsia" w:ascii="宋体" w:hAnsi="宋体"/>
          <w:color w:val="000000" w:themeColor="text1"/>
          <w:sz w:val="28"/>
          <w:szCs w:val="28"/>
          <w14:textFill>
            <w14:solidFill>
              <w14:schemeClr w14:val="tx1"/>
            </w14:solidFill>
          </w14:textFill>
        </w:rPr>
        <w:t>既有建筑改造范围内的原结构构件，应根据消防安全评价报告或检测鉴定结论，综合考虑影响承重结构或构件耐火极限</w:t>
      </w:r>
      <w:r>
        <w:rPr>
          <w:rFonts w:ascii="宋体" w:hAnsi="宋体"/>
          <w:color w:val="000000" w:themeColor="text1"/>
          <w:sz w:val="28"/>
          <w:szCs w:val="28"/>
          <w14:textFill>
            <w14:solidFill>
              <w14:schemeClr w14:val="tx1"/>
            </w14:solidFill>
          </w14:textFill>
        </w:rPr>
        <w:t>的主要因素</w:t>
      </w:r>
      <w:r>
        <w:rPr>
          <w:rFonts w:hint="eastAsia" w:ascii="宋体" w:hAnsi="宋体"/>
          <w:color w:val="000000" w:themeColor="text1"/>
          <w:sz w:val="28"/>
          <w:szCs w:val="28"/>
          <w14:textFill>
            <w14:solidFill>
              <w14:schemeClr w14:val="tx1"/>
            </w14:solidFill>
          </w14:textFill>
        </w:rPr>
        <w:t>，对耐火性能进行评价。不满足现行规范耐火性能要求时应结合改造区域的火灾危险性等情况确定相应的防火保护措施</w:t>
      </w:r>
      <w:r>
        <w:rPr>
          <w:rFonts w:ascii="宋体" w:hAnsi="宋体"/>
          <w:color w:val="000000" w:themeColor="text1"/>
          <w:sz w:val="28"/>
          <w:szCs w:val="28"/>
          <w14:textFill>
            <w14:solidFill>
              <w14:schemeClr w14:val="tx1"/>
            </w14:solidFill>
          </w14:textFill>
        </w:rPr>
        <w:t>。</w:t>
      </w:r>
    </w:p>
    <w:p w14:paraId="61405FEB">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4.4.4  既有建筑</w:t>
      </w:r>
      <w:r>
        <w:rPr>
          <w:rFonts w:hint="eastAsia" w:ascii="宋体" w:hAnsi="宋体"/>
          <w:color w:val="000000" w:themeColor="text1"/>
          <w:sz w:val="28"/>
          <w:szCs w:val="28"/>
          <w14:textFill>
            <w14:solidFill>
              <w14:schemeClr w14:val="tx1"/>
            </w14:solidFill>
          </w14:textFill>
        </w:rPr>
        <w:t>结构构件</w:t>
      </w:r>
      <w:r>
        <w:rPr>
          <w:rFonts w:ascii="宋体" w:hAnsi="宋体"/>
          <w:color w:val="000000" w:themeColor="text1"/>
          <w:sz w:val="28"/>
          <w:szCs w:val="28"/>
          <w14:textFill>
            <w14:solidFill>
              <w14:schemeClr w14:val="tx1"/>
            </w14:solidFill>
          </w14:textFill>
        </w:rPr>
        <w:t>改造</w:t>
      </w:r>
      <w:r>
        <w:rPr>
          <w:rFonts w:hint="eastAsia" w:ascii="宋体" w:hAnsi="宋体"/>
          <w:color w:val="000000" w:themeColor="text1"/>
          <w:sz w:val="28"/>
          <w:szCs w:val="28"/>
          <w14:textFill>
            <w14:solidFill>
              <w14:schemeClr w14:val="tx1"/>
            </w14:solidFill>
          </w14:textFill>
        </w:rPr>
        <w:t>加固采用钢材</w:t>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纤维增强</w:t>
      </w:r>
      <w:r>
        <w:rPr>
          <w:rFonts w:ascii="宋体" w:hAnsi="宋体"/>
          <w:color w:val="000000" w:themeColor="text1"/>
          <w:sz w:val="28"/>
          <w:szCs w:val="28"/>
          <w14:textFill>
            <w14:solidFill>
              <w14:schemeClr w14:val="tx1"/>
            </w14:solidFill>
          </w14:textFill>
        </w:rPr>
        <w:t>复合材</w:t>
      </w:r>
      <w:r>
        <w:rPr>
          <w:rFonts w:hint="eastAsia" w:ascii="宋体" w:hAnsi="宋体"/>
          <w:color w:val="000000" w:themeColor="text1"/>
          <w:sz w:val="28"/>
          <w:szCs w:val="28"/>
          <w14:textFill>
            <w14:solidFill>
              <w14:schemeClr w14:val="tx1"/>
            </w14:solidFill>
          </w14:textFill>
        </w:rPr>
        <w:t>料</w:t>
      </w:r>
      <w:r>
        <w:rPr>
          <w:rFonts w:ascii="宋体" w:hAnsi="宋体"/>
          <w:color w:val="000000" w:themeColor="text1"/>
          <w:sz w:val="28"/>
          <w:szCs w:val="28"/>
          <w14:textFill>
            <w14:solidFill>
              <w14:schemeClr w14:val="tx1"/>
            </w14:solidFill>
          </w14:textFill>
        </w:rPr>
        <w:t>、环氧基胶粘剂等</w:t>
      </w:r>
      <w:r>
        <w:rPr>
          <w:rFonts w:hint="eastAsia" w:ascii="宋体" w:hAnsi="宋体"/>
          <w:color w:val="000000" w:themeColor="text1"/>
          <w:sz w:val="28"/>
          <w:szCs w:val="28"/>
          <w14:textFill>
            <w14:solidFill>
              <w14:schemeClr w14:val="tx1"/>
            </w14:solidFill>
          </w14:textFill>
        </w:rPr>
        <w:t>非水泥基</w:t>
      </w:r>
      <w:r>
        <w:rPr>
          <w:rFonts w:ascii="宋体" w:hAnsi="宋体"/>
          <w:color w:val="000000" w:themeColor="text1"/>
          <w:sz w:val="28"/>
          <w:szCs w:val="28"/>
          <w14:textFill>
            <w14:solidFill>
              <w14:schemeClr w14:val="tx1"/>
            </w14:solidFill>
          </w14:textFill>
        </w:rPr>
        <w:t>加固材料</w:t>
      </w:r>
      <w:r>
        <w:rPr>
          <w:rFonts w:hint="eastAsia" w:ascii="宋体" w:hAnsi="宋体"/>
          <w:color w:val="000000" w:themeColor="text1"/>
          <w:sz w:val="28"/>
          <w:szCs w:val="28"/>
          <w14:textFill>
            <w14:solidFill>
              <w14:schemeClr w14:val="tx1"/>
            </w14:solidFill>
          </w14:textFill>
        </w:rPr>
        <w:t>的部位</w:t>
      </w:r>
      <w:r>
        <w:rPr>
          <w:rFonts w:ascii="宋体" w:hAnsi="宋体"/>
          <w:color w:val="000000" w:themeColor="text1"/>
          <w:sz w:val="28"/>
          <w:szCs w:val="28"/>
          <w14:textFill>
            <w14:solidFill>
              <w14:schemeClr w14:val="tx1"/>
            </w14:solidFill>
          </w14:textFill>
        </w:rPr>
        <w:t>，应</w:t>
      </w:r>
      <w:r>
        <w:rPr>
          <w:rFonts w:hint="eastAsia" w:ascii="宋体" w:hAnsi="宋体"/>
          <w:color w:val="000000" w:themeColor="text1"/>
          <w:sz w:val="28"/>
          <w:szCs w:val="28"/>
          <w14:textFill>
            <w14:solidFill>
              <w14:schemeClr w14:val="tx1"/>
            </w14:solidFill>
          </w14:textFill>
        </w:rPr>
        <w:t>按</w:t>
      </w:r>
      <w:r>
        <w:rPr>
          <w:rFonts w:ascii="宋体" w:hAnsi="宋体"/>
          <w:color w:val="000000" w:themeColor="text1"/>
          <w:sz w:val="28"/>
          <w:szCs w:val="28"/>
          <w14:textFill>
            <w14:solidFill>
              <w14:schemeClr w14:val="tx1"/>
            </w14:solidFill>
          </w14:textFill>
        </w:rPr>
        <w:t>现行规范</w:t>
      </w:r>
      <w:r>
        <w:rPr>
          <w:rFonts w:hint="eastAsia" w:ascii="宋体" w:hAnsi="宋体"/>
          <w:color w:val="000000" w:themeColor="text1"/>
          <w:sz w:val="28"/>
          <w:szCs w:val="28"/>
          <w14:textFill>
            <w14:solidFill>
              <w14:schemeClr w14:val="tx1"/>
            </w14:solidFill>
          </w14:textFill>
        </w:rPr>
        <w:t>的</w:t>
      </w:r>
      <w:r>
        <w:rPr>
          <w:rFonts w:ascii="宋体" w:hAnsi="宋体"/>
          <w:color w:val="000000" w:themeColor="text1"/>
          <w:sz w:val="28"/>
          <w:szCs w:val="28"/>
          <w14:textFill>
            <w14:solidFill>
              <w14:schemeClr w14:val="tx1"/>
            </w14:solidFill>
          </w14:textFill>
        </w:rPr>
        <w:t>要求</w:t>
      </w:r>
      <w:r>
        <w:rPr>
          <w:rFonts w:hint="eastAsia" w:ascii="宋体" w:hAnsi="宋体"/>
          <w:color w:val="000000" w:themeColor="text1"/>
          <w:sz w:val="28"/>
          <w:szCs w:val="28"/>
          <w14:textFill>
            <w14:solidFill>
              <w14:schemeClr w14:val="tx1"/>
            </w14:solidFill>
          </w14:textFill>
        </w:rPr>
        <w:t>采取相应</w:t>
      </w:r>
      <w:r>
        <w:rPr>
          <w:rFonts w:ascii="宋体" w:hAnsi="宋体"/>
          <w:color w:val="000000" w:themeColor="text1"/>
          <w:sz w:val="28"/>
          <w:szCs w:val="28"/>
          <w14:textFill>
            <w14:solidFill>
              <w14:schemeClr w14:val="tx1"/>
            </w14:solidFill>
          </w14:textFill>
        </w:rPr>
        <w:t>的防火保护措施。</w:t>
      </w:r>
    </w:p>
    <w:p w14:paraId="64513CDC">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4.4.5  </w:t>
      </w:r>
      <w:r>
        <w:rPr>
          <w:rFonts w:hint="eastAsia" w:ascii="宋体" w:hAnsi="宋体"/>
          <w:color w:val="000000" w:themeColor="text1"/>
          <w:sz w:val="28"/>
          <w:szCs w:val="28"/>
          <w14:textFill>
            <w14:solidFill>
              <w14:schemeClr w14:val="tx1"/>
            </w14:solidFill>
          </w14:textFill>
        </w:rPr>
        <w:t>既有建筑改造工程中耐火性能</w:t>
      </w:r>
      <w:r>
        <w:rPr>
          <w:rFonts w:ascii="宋体" w:hAnsi="宋体"/>
          <w:color w:val="000000" w:themeColor="text1"/>
          <w:sz w:val="28"/>
          <w:szCs w:val="28"/>
          <w14:textFill>
            <w14:solidFill>
              <w14:schemeClr w14:val="tx1"/>
            </w14:solidFill>
          </w14:textFill>
        </w:rPr>
        <w:t>不符合设计要求的</w:t>
      </w:r>
      <w:r>
        <w:rPr>
          <w:rFonts w:hint="eastAsia" w:ascii="宋体" w:hAnsi="宋体"/>
          <w:color w:val="000000" w:themeColor="text1"/>
          <w:sz w:val="28"/>
          <w:szCs w:val="28"/>
          <w14:textFill>
            <w14:solidFill>
              <w14:schemeClr w14:val="tx1"/>
            </w14:solidFill>
          </w14:textFill>
        </w:rPr>
        <w:t>木屋架、木楼板等可燃或难燃性结构构件，应更换</w:t>
      </w:r>
      <w:r>
        <w:rPr>
          <w:rFonts w:ascii="宋体" w:hAnsi="宋体"/>
          <w:color w:val="000000" w:themeColor="text1"/>
          <w:sz w:val="28"/>
          <w:szCs w:val="28"/>
          <w14:textFill>
            <w14:solidFill>
              <w14:schemeClr w14:val="tx1"/>
            </w14:solidFill>
          </w14:textFill>
        </w:rPr>
        <w:t>或</w:t>
      </w:r>
      <w:r>
        <w:rPr>
          <w:rFonts w:hint="eastAsia" w:ascii="宋体" w:hAnsi="宋体"/>
          <w:color w:val="000000" w:themeColor="text1"/>
          <w:sz w:val="28"/>
          <w:szCs w:val="28"/>
          <w14:textFill>
            <w14:solidFill>
              <w14:schemeClr w14:val="tx1"/>
            </w14:solidFill>
          </w14:textFill>
        </w:rPr>
        <w:t>采取有效防火保护措施。</w:t>
      </w:r>
    </w:p>
    <w:p w14:paraId="659D0436">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w:t>
      </w:r>
      <w:r>
        <w:rPr>
          <w:rFonts w:ascii="宋体" w:hAnsi="宋体"/>
          <w:color w:val="000000" w:themeColor="text1"/>
          <w:sz w:val="28"/>
          <w:szCs w:val="28"/>
          <w14:textFill>
            <w14:solidFill>
              <w14:schemeClr w14:val="tx1"/>
            </w14:solidFill>
          </w14:textFill>
        </w:rPr>
        <w:t>4</w:t>
      </w: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14:textFill>
            <w14:solidFill>
              <w14:schemeClr w14:val="tx1"/>
            </w14:solidFill>
          </w14:textFill>
        </w:rPr>
        <w:t xml:space="preserve">6  </w:t>
      </w:r>
      <w:r>
        <w:rPr>
          <w:rFonts w:hint="eastAsia" w:ascii="宋体" w:hAnsi="宋体"/>
          <w:color w:val="000000" w:themeColor="text1"/>
          <w:sz w:val="28"/>
          <w:szCs w:val="28"/>
          <w14:textFill>
            <w14:solidFill>
              <w14:schemeClr w14:val="tx1"/>
            </w14:solidFill>
          </w14:textFill>
        </w:rPr>
        <w:t>地上和地下楼层中保留的竖向共用既有疏散楼梯间，应符合下列规定：</w:t>
      </w:r>
    </w:p>
    <w:p w14:paraId="07ACBDF6">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在地上楼梯间与地下楼梯间之间，应在首层采用耐火极限不应低于2.00h的防火隔墙分隔，防火隔墙上的门应采用乙级防火门；</w:t>
      </w:r>
    </w:p>
    <w:p w14:paraId="3C3AF427">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除人员密集场所外，当难以在首层分隔时，应在楼梯间内地下一层或地下半层位置采取防火分隔措施，并应在地上楼梯通向室外的出口处设置显著的疏散指示标识。</w:t>
      </w:r>
    </w:p>
    <w:p w14:paraId="15B5F9C5">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w:t>
      </w:r>
      <w:r>
        <w:rPr>
          <w:rFonts w:ascii="宋体" w:hAnsi="宋体"/>
          <w:color w:val="000000" w:themeColor="text1"/>
          <w:sz w:val="28"/>
          <w:szCs w:val="28"/>
          <w14:textFill>
            <w14:solidFill>
              <w14:schemeClr w14:val="tx1"/>
            </w14:solidFill>
          </w14:textFill>
        </w:rPr>
        <w:t>4</w:t>
      </w: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14:textFill>
            <w14:solidFill>
              <w14:schemeClr w14:val="tx1"/>
            </w14:solidFill>
          </w14:textFill>
        </w:rPr>
        <w:t xml:space="preserve">7  </w:t>
      </w:r>
      <w:r>
        <w:rPr>
          <w:rFonts w:hint="eastAsia" w:ascii="宋体" w:hAnsi="宋体"/>
          <w:color w:val="000000" w:themeColor="text1"/>
          <w:sz w:val="28"/>
          <w:szCs w:val="28"/>
          <w14:textFill>
            <w14:solidFill>
              <w14:schemeClr w14:val="tx1"/>
            </w14:solidFill>
          </w14:textFill>
        </w:rPr>
        <w:t>多层住宅建筑改造仅增设电梯时，可维持住宅消防设计和消防设施现状，增设的电梯应对建筑疏散安全和外立面火灾蔓延均无不利影响；在楼梯间外侧增设电梯时，不应改变楼梯间的自然通风性能。</w:t>
      </w:r>
    </w:p>
    <w:p w14:paraId="3EDF759D">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w:t>
      </w:r>
      <w:r>
        <w:rPr>
          <w:rFonts w:ascii="宋体" w:hAnsi="宋体"/>
          <w:color w:val="000000" w:themeColor="text1"/>
          <w:sz w:val="28"/>
          <w:szCs w:val="28"/>
          <w14:textFill>
            <w14:solidFill>
              <w14:schemeClr w14:val="tx1"/>
            </w14:solidFill>
          </w14:textFill>
        </w:rPr>
        <w:t>4</w:t>
      </w: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14:textFill>
            <w14:solidFill>
              <w14:schemeClr w14:val="tx1"/>
            </w14:solidFill>
          </w14:textFill>
        </w:rPr>
        <w:t xml:space="preserve">8  </w:t>
      </w:r>
      <w:r>
        <w:rPr>
          <w:rFonts w:hint="eastAsia" w:ascii="宋体" w:hAnsi="宋体"/>
          <w:color w:val="000000" w:themeColor="text1"/>
          <w:sz w:val="28"/>
          <w:szCs w:val="28"/>
          <w14:textFill>
            <w14:solidFill>
              <w14:schemeClr w14:val="tx1"/>
            </w14:solidFill>
          </w14:textFill>
        </w:rPr>
        <w:t>既有建筑改造工程中，当防火墙、防火隔墙上既有的防火卷帘宽度和防火分隔部位宽度占比进行改变确有困难时，防火卷帘的防火性能应符合现行国家标准《建筑防火通用规范》</w:t>
      </w:r>
      <w:r>
        <w:rPr>
          <w:rFonts w:ascii="宋体" w:hAnsi="宋体"/>
          <w:color w:val="000000" w:themeColor="text1"/>
          <w:sz w:val="28"/>
          <w:szCs w:val="28"/>
          <w14:textFill>
            <w14:solidFill>
              <w14:schemeClr w14:val="tx1"/>
            </w14:solidFill>
          </w14:textFill>
        </w:rPr>
        <w:t>GB5</w:t>
      </w:r>
      <w:r>
        <w:rPr>
          <w:rFonts w:hint="eastAsia" w:ascii="宋体" w:hAnsi="宋体"/>
          <w:color w:val="000000" w:themeColor="text1"/>
          <w:sz w:val="28"/>
          <w:szCs w:val="28"/>
          <w14:textFill>
            <w14:solidFill>
              <w14:schemeClr w14:val="tx1"/>
            </w14:solidFill>
          </w14:textFill>
        </w:rPr>
        <w:t>5037的规定。</w:t>
      </w:r>
    </w:p>
    <w:p w14:paraId="7F0B0E6E">
      <w:pPr>
        <w:pStyle w:val="3"/>
        <w:spacing w:line="360" w:lineRule="auto"/>
        <w:rPr>
          <w:rFonts w:ascii="宋体" w:hAnsi="宋体"/>
          <w:sz w:val="28"/>
          <w:szCs w:val="28"/>
        </w:rPr>
      </w:pPr>
      <w:bookmarkStart w:id="55" w:name="_Toc151062980"/>
      <w:bookmarkStart w:id="56" w:name="_Toc151063117"/>
      <w:bookmarkStart w:id="57" w:name="_Toc151062649"/>
      <w:bookmarkStart w:id="58" w:name="_Toc151061851"/>
      <w:r>
        <w:rPr>
          <w:rFonts w:hint="eastAsia" w:ascii="宋体" w:hAnsi="宋体"/>
          <w:sz w:val="28"/>
          <w:szCs w:val="28"/>
        </w:rPr>
        <w:t>4.5</w:t>
      </w:r>
      <w:r>
        <w:rPr>
          <w:rFonts w:ascii="宋体" w:hAnsi="宋体"/>
          <w:sz w:val="28"/>
          <w:szCs w:val="28"/>
        </w:rPr>
        <w:t xml:space="preserve">  </w:t>
      </w:r>
      <w:r>
        <w:rPr>
          <w:rFonts w:hint="eastAsia" w:ascii="宋体" w:hAnsi="宋体"/>
          <w:sz w:val="28"/>
          <w:szCs w:val="28"/>
        </w:rPr>
        <w:t>灭火救援设施</w:t>
      </w:r>
      <w:bookmarkEnd w:id="55"/>
      <w:bookmarkEnd w:id="56"/>
      <w:bookmarkEnd w:id="57"/>
      <w:bookmarkEnd w:id="58"/>
    </w:p>
    <w:p w14:paraId="21E246C4">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w:t>
      </w:r>
      <w:r>
        <w:rPr>
          <w:rFonts w:ascii="宋体" w:hAnsi="宋体"/>
          <w:color w:val="000000" w:themeColor="text1"/>
          <w:sz w:val="28"/>
          <w:szCs w:val="28"/>
          <w14:textFill>
            <w14:solidFill>
              <w14:schemeClr w14:val="tx1"/>
            </w14:solidFill>
          </w14:textFill>
        </w:rPr>
        <w:t>5</w:t>
      </w:r>
      <w:r>
        <w:rPr>
          <w:rFonts w:hint="eastAsia" w:ascii="宋体" w:hAnsi="宋体"/>
          <w:color w:val="000000" w:themeColor="text1"/>
          <w:sz w:val="28"/>
          <w:szCs w:val="28"/>
          <w14:textFill>
            <w14:solidFill>
              <w14:schemeClr w14:val="tx1"/>
            </w14:solidFill>
          </w14:textFill>
        </w:rPr>
        <w:t>.1</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既有建筑改造工程的消防车道难以按现行消防技术标准的规定设置，并需维持现状时，场地内设置的消防车道宽度不应小于3.5m，净空高度、地面承载力和转弯半径应符合消防车通行的需要。</w:t>
      </w:r>
    </w:p>
    <w:p w14:paraId="0F7E0C9D">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w:t>
      </w:r>
      <w:r>
        <w:rPr>
          <w:rFonts w:ascii="宋体" w:hAnsi="宋体"/>
          <w:color w:val="000000" w:themeColor="text1"/>
          <w:sz w:val="28"/>
          <w:szCs w:val="28"/>
          <w14:textFill>
            <w14:solidFill>
              <w14:schemeClr w14:val="tx1"/>
            </w14:solidFill>
          </w14:textFill>
        </w:rPr>
        <w:t>5</w:t>
      </w:r>
      <w:r>
        <w:rPr>
          <w:rFonts w:hint="eastAsia" w:ascii="宋体" w:hAnsi="宋体"/>
          <w:color w:val="000000" w:themeColor="text1"/>
          <w:sz w:val="28"/>
          <w:szCs w:val="28"/>
          <w14:textFill>
            <w14:solidFill>
              <w14:schemeClr w14:val="tx1"/>
            </w14:solidFill>
          </w14:textFill>
        </w:rPr>
        <w:t>.2</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既有建筑改造工程的消防车登高操作场地难以按照现行消防技术标准的规定需维持现状时，应采取下列至少一项技术措施：</w:t>
      </w:r>
    </w:p>
    <w:p w14:paraId="4BD9B0C7">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与相邻地块用地共用消防车登高操作场地；</w:t>
      </w:r>
    </w:p>
    <w:p w14:paraId="5A2D9307">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利用城市道路设置消防车登高操作场地；</w:t>
      </w:r>
    </w:p>
    <w:p w14:paraId="06561008">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增设消防电梯、室外楼梯等便于消防救援人员登高救援的设施；</w:t>
      </w:r>
    </w:p>
    <w:p w14:paraId="3B74353B">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将人员密集的公共场所布置在建筑高度24m以下的楼层。</w:t>
      </w:r>
    </w:p>
    <w:p w14:paraId="66FE97BA">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w:t>
      </w:r>
      <w:r>
        <w:rPr>
          <w:rFonts w:ascii="宋体" w:hAnsi="宋体"/>
          <w:color w:val="000000" w:themeColor="text1"/>
          <w:sz w:val="28"/>
          <w:szCs w:val="28"/>
          <w14:textFill>
            <w14:solidFill>
              <w14:schemeClr w14:val="tx1"/>
            </w14:solidFill>
          </w14:textFill>
        </w:rPr>
        <w:t>5</w:t>
      </w:r>
      <w:r>
        <w:rPr>
          <w:rFonts w:hint="eastAsia" w:ascii="宋体" w:hAnsi="宋体"/>
          <w:color w:val="000000" w:themeColor="text1"/>
          <w:sz w:val="28"/>
          <w:szCs w:val="28"/>
          <w14:textFill>
            <w14:solidFill>
              <w14:schemeClr w14:val="tx1"/>
            </w14:solidFill>
          </w14:textFill>
        </w:rPr>
        <w:t>.3</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既有建筑改造后设有F类火灾危险场所时，消防车道、消防车登高操作场地应符合现行消防技术标准的相关规定。</w:t>
      </w:r>
    </w:p>
    <w:p w14:paraId="543635EF">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w:t>
      </w:r>
      <w:r>
        <w:rPr>
          <w:rFonts w:ascii="宋体" w:hAnsi="宋体"/>
          <w:color w:val="000000" w:themeColor="text1"/>
          <w:sz w:val="28"/>
          <w:szCs w:val="28"/>
          <w14:textFill>
            <w14:solidFill>
              <w14:schemeClr w14:val="tx1"/>
            </w14:solidFill>
          </w14:textFill>
        </w:rPr>
        <w:t>5</w:t>
      </w:r>
      <w:r>
        <w:rPr>
          <w:rFonts w:hint="eastAsia" w:ascii="宋体" w:hAnsi="宋体"/>
          <w:color w:val="000000" w:themeColor="text1"/>
          <w:sz w:val="28"/>
          <w:szCs w:val="28"/>
          <w14:textFill>
            <w14:solidFill>
              <w14:schemeClr w14:val="tx1"/>
            </w14:solidFill>
          </w14:textFill>
        </w:rPr>
        <w:t>.4</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既有建筑改造工程中消防电梯的设置应符合下列要求：</w:t>
      </w:r>
    </w:p>
    <w:p w14:paraId="32A3B61E">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新增设的消防电梯，当每层停靠确有困难时，消防电梯可不通至顶层和地下室底层。地下部分新增设的消防电梯，宜通至地上各层。保留且不能每层停靠的消防电梯，应设置其服务楼层明显的标识；</w:t>
      </w:r>
    </w:p>
    <w:p w14:paraId="5DD6BBFB">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难以增设消防电梯的防火分区，当需与相邻一个或多个防火分区共用1台消防电梯时，每个防火分区均应分别设置前室或防火通道通往共用的消防电梯，前室的使用面积不应小于6.0m²,短边不应小于2.4m。</w:t>
      </w:r>
    </w:p>
    <w:p w14:paraId="268A4380">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保留且不改造的消防电梯前室及合用前室，其短边尺寸不应小于消防电梯轿厢的深度。住宅建筑改造中，保留且不改造的楼梯间共用前室与消防电梯的前室合用时，其使用面积尚应不小于10m²。</w:t>
      </w:r>
    </w:p>
    <w:p w14:paraId="633B54B8">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地下建筑或建筑的地下室，当难以增设消防电梯且消防电梯的设置需维持现状时，不应为埋深大于10m且建筑面积大于3000m²的地下商业场所。</w:t>
      </w:r>
    </w:p>
    <w:p w14:paraId="218F965E">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4.5.5</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既有建筑改造工程消防救援口的设置，应符合下列规定：</w:t>
      </w:r>
    </w:p>
    <w:p w14:paraId="0283EC34">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未涉及立面改造且设置了消防车道或救援操作场的既有建筑改造工程，宜利用</w:t>
      </w:r>
      <w:r>
        <w:rPr>
          <w:rFonts w:ascii="宋体" w:hAnsi="宋体"/>
          <w:color w:val="000000" w:themeColor="text1"/>
          <w:sz w:val="28"/>
          <w:szCs w:val="28"/>
          <w14:textFill>
            <w14:solidFill>
              <w14:schemeClr w14:val="tx1"/>
            </w14:solidFill>
          </w14:textFill>
        </w:rPr>
        <w:t>既有外门窗、洞口</w:t>
      </w:r>
      <w:r>
        <w:rPr>
          <w:rFonts w:hint="eastAsia" w:ascii="宋体" w:hAnsi="宋体"/>
          <w:color w:val="000000" w:themeColor="text1"/>
          <w:sz w:val="28"/>
          <w:szCs w:val="28"/>
          <w14:textFill>
            <w14:solidFill>
              <w14:schemeClr w14:val="tx1"/>
            </w14:solidFill>
          </w14:textFill>
        </w:rPr>
        <w:t>作为</w:t>
      </w:r>
      <w:r>
        <w:rPr>
          <w:rFonts w:ascii="宋体" w:hAnsi="宋体"/>
          <w:color w:val="000000" w:themeColor="text1"/>
          <w:sz w:val="28"/>
          <w:szCs w:val="28"/>
          <w14:textFill>
            <w14:solidFill>
              <w14:schemeClr w14:val="tx1"/>
            </w14:solidFill>
          </w14:textFill>
        </w:rPr>
        <w:t>消防救援口</w:t>
      </w:r>
      <w:r>
        <w:rPr>
          <w:rFonts w:hint="eastAsia" w:ascii="宋体" w:hAnsi="宋体"/>
          <w:color w:val="000000" w:themeColor="text1"/>
          <w:sz w:val="28"/>
          <w:szCs w:val="28"/>
          <w14:textFill>
            <w14:solidFill>
              <w14:schemeClr w14:val="tx1"/>
            </w14:solidFill>
          </w14:textFill>
        </w:rPr>
        <w:t>；</w:t>
      </w:r>
    </w:p>
    <w:p w14:paraId="17BAE33B">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涉及立面改造且设置了消防车道或救援操作场的既有建筑改造工程，当具备</w:t>
      </w:r>
      <w:r>
        <w:rPr>
          <w:rFonts w:ascii="宋体" w:hAnsi="宋体"/>
          <w:color w:val="000000" w:themeColor="text1"/>
          <w:sz w:val="28"/>
          <w:szCs w:val="28"/>
          <w14:textFill>
            <w14:solidFill>
              <w14:schemeClr w14:val="tx1"/>
            </w14:solidFill>
          </w14:textFill>
        </w:rPr>
        <w:t>改变</w:t>
      </w:r>
      <w:r>
        <w:rPr>
          <w:rFonts w:hint="eastAsia" w:ascii="宋体" w:hAnsi="宋体"/>
          <w:color w:val="000000" w:themeColor="text1"/>
          <w:sz w:val="28"/>
          <w:szCs w:val="28"/>
          <w14:textFill>
            <w14:solidFill>
              <w14:schemeClr w14:val="tx1"/>
            </w14:solidFill>
          </w14:textFill>
        </w:rPr>
        <w:t>条件时，应依据现行国家标准《建筑防火通用规范》</w:t>
      </w:r>
      <w:r>
        <w:rPr>
          <w:rFonts w:ascii="宋体" w:hAnsi="宋体"/>
          <w:color w:val="000000" w:themeColor="text1"/>
          <w:sz w:val="28"/>
          <w:szCs w:val="28"/>
          <w14:textFill>
            <w14:solidFill>
              <w14:schemeClr w14:val="tx1"/>
            </w14:solidFill>
          </w14:textFill>
        </w:rPr>
        <w:t>GB55037</w:t>
      </w:r>
      <w:r>
        <w:rPr>
          <w:rFonts w:hint="eastAsia" w:ascii="宋体" w:hAnsi="宋体"/>
          <w:color w:val="000000" w:themeColor="text1"/>
          <w:sz w:val="28"/>
          <w:szCs w:val="28"/>
          <w14:textFill>
            <w14:solidFill>
              <w14:schemeClr w14:val="tx1"/>
            </w14:solidFill>
          </w14:textFill>
        </w:rPr>
        <w:t>相关要求设置消防救援口；</w:t>
      </w:r>
    </w:p>
    <w:p w14:paraId="35B9E425">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既有建筑改造后设有F类火灾危险场所时，应依据现行国家标准《建筑防火通用规范》</w:t>
      </w:r>
      <w:r>
        <w:rPr>
          <w:rFonts w:ascii="宋体" w:hAnsi="宋体"/>
          <w:color w:val="000000" w:themeColor="text1"/>
          <w:sz w:val="28"/>
          <w:szCs w:val="28"/>
          <w14:textFill>
            <w14:solidFill>
              <w14:schemeClr w14:val="tx1"/>
            </w14:solidFill>
          </w14:textFill>
        </w:rPr>
        <w:t>GB55037</w:t>
      </w:r>
      <w:r>
        <w:rPr>
          <w:rFonts w:hint="eastAsia" w:ascii="宋体" w:hAnsi="宋体"/>
          <w:color w:val="000000" w:themeColor="text1"/>
          <w:sz w:val="28"/>
          <w:szCs w:val="28"/>
          <w14:textFill>
            <w14:solidFill>
              <w14:schemeClr w14:val="tx1"/>
            </w14:solidFill>
          </w14:textFill>
        </w:rPr>
        <w:t>相关要求设置消防救援口；</w:t>
      </w:r>
    </w:p>
    <w:p w14:paraId="44D16305">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除F类火灾危险场所外，</w:t>
      </w:r>
      <w:r>
        <w:rPr>
          <w:rFonts w:ascii="宋体" w:hAnsi="宋体"/>
          <w:color w:val="000000" w:themeColor="text1"/>
          <w:sz w:val="28"/>
          <w:szCs w:val="28"/>
          <w14:textFill>
            <w14:solidFill>
              <w14:schemeClr w14:val="tx1"/>
            </w14:solidFill>
          </w14:textFill>
        </w:rPr>
        <w:t>消防救援口利用既有外门窗、洞口</w:t>
      </w:r>
      <w:r>
        <w:rPr>
          <w:rFonts w:hint="eastAsia" w:ascii="宋体" w:hAnsi="宋体"/>
          <w:color w:val="000000" w:themeColor="text1"/>
          <w:sz w:val="28"/>
          <w:szCs w:val="28"/>
          <w14:textFill>
            <w14:solidFill>
              <w14:schemeClr w14:val="tx1"/>
            </w14:solidFill>
          </w14:textFill>
        </w:rPr>
        <w:t>，其</w:t>
      </w:r>
      <w:r>
        <w:rPr>
          <w:rFonts w:ascii="宋体" w:hAnsi="宋体"/>
          <w:color w:val="000000" w:themeColor="text1"/>
          <w:sz w:val="28"/>
          <w:szCs w:val="28"/>
          <w14:textFill>
            <w14:solidFill>
              <w14:schemeClr w14:val="tx1"/>
            </w14:solidFill>
          </w14:textFill>
        </w:rPr>
        <w:t>数量</w:t>
      </w: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14:textFill>
            <w14:solidFill>
              <w14:schemeClr w14:val="tx1"/>
            </w14:solidFill>
          </w14:textFill>
        </w:rPr>
        <w:t>尺寸和</w:t>
      </w:r>
      <w:r>
        <w:rPr>
          <w:rFonts w:hint="eastAsia" w:ascii="宋体" w:hAnsi="宋体"/>
          <w:color w:val="000000" w:themeColor="text1"/>
          <w:sz w:val="28"/>
          <w:szCs w:val="28"/>
          <w14:textFill>
            <w14:solidFill>
              <w14:schemeClr w14:val="tx1"/>
            </w14:solidFill>
          </w14:textFill>
        </w:rPr>
        <w:t>位置难以满足现行消防技术标准要求，且</w:t>
      </w:r>
      <w:r>
        <w:rPr>
          <w:rFonts w:ascii="宋体" w:hAnsi="宋体"/>
          <w:color w:val="000000" w:themeColor="text1"/>
          <w:sz w:val="28"/>
          <w:szCs w:val="28"/>
          <w14:textFill>
            <w14:solidFill>
              <w14:schemeClr w14:val="tx1"/>
            </w14:solidFill>
          </w14:textFill>
        </w:rPr>
        <w:t>不具备改变条件时，消防救援口</w:t>
      </w:r>
      <w:r>
        <w:rPr>
          <w:rFonts w:hint="eastAsia" w:ascii="宋体" w:hAnsi="宋体"/>
          <w:color w:val="000000" w:themeColor="text1"/>
          <w:sz w:val="28"/>
          <w:szCs w:val="28"/>
          <w14:textFill>
            <w14:solidFill>
              <w14:schemeClr w14:val="tx1"/>
            </w14:solidFill>
          </w14:textFill>
        </w:rPr>
        <w:t>的</w:t>
      </w:r>
      <w:r>
        <w:rPr>
          <w:rFonts w:ascii="宋体" w:hAnsi="宋体"/>
          <w:color w:val="000000" w:themeColor="text1"/>
          <w:sz w:val="28"/>
          <w:szCs w:val="28"/>
          <w14:textFill>
            <w14:solidFill>
              <w14:schemeClr w14:val="tx1"/>
            </w14:solidFill>
          </w14:textFill>
        </w:rPr>
        <w:t>净高</w:t>
      </w:r>
      <w:r>
        <w:rPr>
          <w:rFonts w:hint="eastAsia" w:ascii="宋体" w:hAnsi="宋体"/>
          <w:color w:val="000000" w:themeColor="text1"/>
          <w:sz w:val="28"/>
          <w:szCs w:val="28"/>
          <w14:textFill>
            <w14:solidFill>
              <w14:schemeClr w14:val="tx1"/>
            </w14:solidFill>
          </w14:textFill>
        </w:rPr>
        <w:t>度</w:t>
      </w:r>
      <w:r>
        <w:rPr>
          <w:rFonts w:ascii="宋体" w:hAnsi="宋体"/>
          <w:color w:val="000000" w:themeColor="text1"/>
          <w:sz w:val="28"/>
          <w:szCs w:val="28"/>
          <w14:textFill>
            <w14:solidFill>
              <w14:schemeClr w14:val="tx1"/>
            </w14:solidFill>
          </w14:textFill>
        </w:rPr>
        <w:t>和净宽</w:t>
      </w:r>
      <w:r>
        <w:rPr>
          <w:rFonts w:hint="eastAsia" w:ascii="宋体" w:hAnsi="宋体"/>
          <w:color w:val="000000" w:themeColor="text1"/>
          <w:sz w:val="28"/>
          <w:szCs w:val="28"/>
          <w14:textFill>
            <w14:solidFill>
              <w14:schemeClr w14:val="tx1"/>
            </w14:solidFill>
          </w14:textFill>
        </w:rPr>
        <w:t>度</w:t>
      </w:r>
      <w:r>
        <w:rPr>
          <w:rFonts w:ascii="宋体" w:hAnsi="宋体"/>
          <w:color w:val="000000" w:themeColor="text1"/>
          <w:sz w:val="28"/>
          <w:szCs w:val="28"/>
          <w14:textFill>
            <w14:solidFill>
              <w14:schemeClr w14:val="tx1"/>
            </w14:solidFill>
          </w14:textFill>
        </w:rPr>
        <w:t>不</w:t>
      </w:r>
      <w:r>
        <w:rPr>
          <w:rFonts w:hint="eastAsia" w:ascii="宋体" w:hAnsi="宋体"/>
          <w:color w:val="000000" w:themeColor="text1"/>
          <w:sz w:val="28"/>
          <w:szCs w:val="28"/>
          <w14:textFill>
            <w14:solidFill>
              <w14:schemeClr w14:val="tx1"/>
            </w14:solidFill>
          </w14:textFill>
        </w:rPr>
        <w:t>应</w:t>
      </w:r>
      <w:r>
        <w:rPr>
          <w:rFonts w:ascii="宋体" w:hAnsi="宋体"/>
          <w:color w:val="000000" w:themeColor="text1"/>
          <w:sz w:val="28"/>
          <w:szCs w:val="28"/>
          <w14:textFill>
            <w14:solidFill>
              <w14:schemeClr w14:val="tx1"/>
            </w14:solidFill>
          </w14:textFill>
        </w:rPr>
        <w:t>小于0.8m×0.8m，下沿距室内地面不</w:t>
      </w:r>
      <w:r>
        <w:rPr>
          <w:rFonts w:hint="eastAsia" w:ascii="宋体" w:hAnsi="宋体"/>
          <w:color w:val="000000" w:themeColor="text1"/>
          <w:sz w:val="28"/>
          <w:szCs w:val="28"/>
          <w14:textFill>
            <w14:solidFill>
              <w14:schemeClr w14:val="tx1"/>
            </w14:solidFill>
          </w14:textFill>
        </w:rPr>
        <w:t>宜</w:t>
      </w:r>
      <w:r>
        <w:rPr>
          <w:rFonts w:ascii="宋体" w:hAnsi="宋体"/>
          <w:color w:val="000000" w:themeColor="text1"/>
          <w:sz w:val="28"/>
          <w:szCs w:val="28"/>
          <w14:textFill>
            <w14:solidFill>
              <w14:schemeClr w14:val="tx1"/>
            </w14:solidFill>
          </w14:textFill>
        </w:rPr>
        <w:t>大于1.2m</w:t>
      </w:r>
      <w:r>
        <w:rPr>
          <w:rFonts w:hint="eastAsia" w:ascii="宋体" w:hAnsi="宋体"/>
          <w:color w:val="000000" w:themeColor="text1"/>
          <w:sz w:val="28"/>
          <w:szCs w:val="28"/>
          <w14:textFill>
            <w14:solidFill>
              <w14:schemeClr w14:val="tx1"/>
            </w14:solidFill>
          </w14:textFill>
        </w:rPr>
        <w:t>。除特殊建筑外，既有建筑立面为实体外墙面的改造工程，宜增设消防救援口。</w:t>
      </w:r>
    </w:p>
    <w:p w14:paraId="7820D0D2">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p>
    <w:p w14:paraId="472B066C">
      <w:pPr>
        <w:pStyle w:val="3"/>
        <w:spacing w:line="360" w:lineRule="auto"/>
        <w:rPr>
          <w:sz w:val="36"/>
          <w:szCs w:val="36"/>
        </w:rPr>
      </w:pPr>
      <w:bookmarkStart w:id="59" w:name="_Toc151062650"/>
      <w:bookmarkStart w:id="60" w:name="_Toc151062981"/>
      <w:bookmarkStart w:id="61" w:name="_Toc151061852"/>
      <w:bookmarkStart w:id="62" w:name="_Toc151063118"/>
      <w:r>
        <w:rPr>
          <w:rFonts w:hint="eastAsia"/>
          <w:sz w:val="36"/>
          <w:szCs w:val="36"/>
        </w:rPr>
        <w:t xml:space="preserve">5 </w:t>
      </w:r>
      <w:r>
        <w:rPr>
          <w:sz w:val="36"/>
          <w:szCs w:val="36"/>
        </w:rPr>
        <w:t xml:space="preserve"> </w:t>
      </w:r>
      <w:r>
        <w:rPr>
          <w:rFonts w:hint="eastAsia"/>
          <w:sz w:val="36"/>
          <w:szCs w:val="36"/>
        </w:rPr>
        <w:t>消防设施</w:t>
      </w:r>
      <w:bookmarkEnd w:id="59"/>
      <w:bookmarkEnd w:id="60"/>
      <w:bookmarkEnd w:id="61"/>
      <w:bookmarkEnd w:id="62"/>
    </w:p>
    <w:p w14:paraId="4B8234C1">
      <w:pPr>
        <w:pStyle w:val="3"/>
        <w:spacing w:line="360" w:lineRule="auto"/>
        <w:rPr>
          <w:rFonts w:ascii="宋体" w:hAnsi="宋体"/>
          <w:sz w:val="28"/>
          <w:szCs w:val="28"/>
        </w:rPr>
      </w:pPr>
      <w:bookmarkStart w:id="63" w:name="_Toc151062982"/>
      <w:bookmarkStart w:id="64" w:name="_Toc151063119"/>
      <w:bookmarkStart w:id="65" w:name="_Toc151062651"/>
      <w:bookmarkStart w:id="66" w:name="_Toc151061853"/>
      <w:r>
        <w:rPr>
          <w:rFonts w:hint="eastAsia" w:ascii="宋体" w:hAnsi="宋体"/>
          <w:sz w:val="28"/>
          <w:szCs w:val="28"/>
        </w:rPr>
        <w:t xml:space="preserve">5.1 </w:t>
      </w:r>
      <w:r>
        <w:rPr>
          <w:rFonts w:ascii="宋体" w:hAnsi="宋体"/>
          <w:sz w:val="28"/>
          <w:szCs w:val="28"/>
        </w:rPr>
        <w:t xml:space="preserve"> </w:t>
      </w:r>
      <w:r>
        <w:rPr>
          <w:rFonts w:hint="eastAsia" w:ascii="宋体" w:hAnsi="宋体"/>
          <w:sz w:val="28"/>
          <w:szCs w:val="28"/>
        </w:rPr>
        <w:t>消防水量和消防水池</w:t>
      </w:r>
      <w:bookmarkEnd w:id="63"/>
      <w:bookmarkEnd w:id="64"/>
      <w:bookmarkEnd w:id="65"/>
      <w:bookmarkEnd w:id="66"/>
    </w:p>
    <w:p w14:paraId="2369A038">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5.1.1</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功能改变的整体改造工程，消防水池容积计算宜按现行消防技术标准执行。</w:t>
      </w:r>
    </w:p>
    <w:p w14:paraId="36A04A94">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5.1.2</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功能未改变的整体改造工程和功能改变的局部改造工程，消防水池和消防水量应符合下列规定：</w:t>
      </w:r>
    </w:p>
    <w:p w14:paraId="13DFC613">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与改造工程相邻的其他建筑的消防水池设有取水口，取水口与改造工程的水泵接合器可通行间距小于150m，且两个产权单位或两个物业管理单位签订有授权使用协议的，相邻建筑消防水池可作为备用消防水源，改造工程消防水池储存的室外消防用水量可根据相邻消防水池的供水能力、取水条件等因素适当折减，但不应大于15L/s；</w:t>
      </w:r>
    </w:p>
    <w:p w14:paraId="4866D44B">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2 </w:t>
      </w:r>
      <w:r>
        <w:rPr>
          <w:rFonts w:hint="eastAsia" w:ascii="宋体" w:hAnsi="宋体"/>
          <w:color w:val="000000" w:themeColor="text1"/>
          <w:sz w:val="28"/>
          <w:szCs w:val="28"/>
          <w14:textFill>
            <w14:solidFill>
              <w14:schemeClr w14:val="tx1"/>
            </w14:solidFill>
          </w14:textFill>
        </w:rPr>
        <w:t>当采用两路市政给水时，市政给水管网供水充足且火灾情况下能保证连续补水时，消防水池容量可减去火灾延续时间内补充的水量；</w:t>
      </w:r>
    </w:p>
    <w:p w14:paraId="1A3F17C0">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 xml:space="preserve"> 原有消防水池继续使用时，水池容积计算方式和要求可按原有标准执行。</w:t>
      </w:r>
    </w:p>
    <w:p w14:paraId="51CCEB6A">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5.1.3 功能未改变的局部改造工程，消防水量和消防水池有效容积按原设计标准执行。</w:t>
      </w:r>
    </w:p>
    <w:p w14:paraId="66F0349E">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5.1.4 </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局部改造工程的喷射型或喷洒型自动射流灭火系统与自动喷水灭火系统共用消防水泵时，系统设计流量、水压及一次灭火用水量可按其中要求最大的系统确定。</w:t>
      </w:r>
    </w:p>
    <w:p w14:paraId="2447215C">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5.1.</w:t>
      </w:r>
      <w:r>
        <w:rPr>
          <w:rFonts w:ascii="宋体" w:hAnsi="宋体"/>
          <w:color w:val="000000" w:themeColor="text1"/>
          <w:sz w:val="28"/>
          <w:szCs w:val="28"/>
          <w14:textFill>
            <w14:solidFill>
              <w14:schemeClr w14:val="tx1"/>
            </w14:solidFill>
          </w14:textFill>
        </w:rPr>
        <w:t>5</w:t>
      </w:r>
      <w:r>
        <w:rPr>
          <w:rFonts w:hint="eastAsia" w:ascii="宋体" w:hAnsi="宋体"/>
          <w:color w:val="000000" w:themeColor="text1"/>
          <w:sz w:val="28"/>
          <w:szCs w:val="28"/>
          <w14:textFill>
            <w14:solidFill>
              <w14:schemeClr w14:val="tx1"/>
            </w14:solidFill>
          </w14:textFill>
        </w:rPr>
        <w:t xml:space="preserve"> </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采用市政环状管网供水的室外消火栓系统，如两条室外给水引入管均只能从同一市政给水干管引入时，应在两条引入管之间的市政给水干管上设置检修阀门。</w:t>
      </w:r>
    </w:p>
    <w:p w14:paraId="7A0D3410">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w:t>
      </w:r>
      <w:r>
        <w:rPr>
          <w:rFonts w:ascii="宋体" w:hAnsi="宋体"/>
          <w:color w:val="000000" w:themeColor="text1"/>
          <w:sz w:val="28"/>
          <w:szCs w:val="28"/>
          <w14:textFill>
            <w14:solidFill>
              <w14:schemeClr w14:val="tx1"/>
            </w14:solidFill>
          </w14:textFill>
        </w:rPr>
        <w:t xml:space="preserve">.1.6  </w:t>
      </w:r>
      <w:r>
        <w:rPr>
          <w:rFonts w:hint="eastAsia" w:ascii="宋体" w:hAnsi="宋体"/>
          <w:color w:val="000000" w:themeColor="text1"/>
          <w:sz w:val="28"/>
          <w:szCs w:val="28"/>
          <w14:textFill>
            <w14:solidFill>
              <w14:schemeClr w14:val="tx1"/>
            </w14:solidFill>
          </w14:textFill>
        </w:rPr>
        <w:t>需要新增消火栓或自动喷水系统时，原有建筑无消防水池泵房，但必须增加时，当消防水池采用两路消防供水且在火灾情况下连续补水能满足消防水量要求时，消防水池有效容积经计算不应小于</w:t>
      </w:r>
      <w:r>
        <w:rPr>
          <w:rFonts w:ascii="宋体" w:hAnsi="宋体"/>
          <w:color w:val="000000" w:themeColor="text1"/>
          <w:sz w:val="28"/>
          <w:szCs w:val="28"/>
          <w14:textFill>
            <w14:solidFill>
              <w14:schemeClr w14:val="tx1"/>
            </w14:solidFill>
          </w14:textFill>
        </w:rPr>
        <w:t>100m</w:t>
      </w:r>
      <w:r>
        <w:rPr>
          <w:rFonts w:ascii="宋体" w:hAnsi="宋体"/>
          <w:color w:val="000000" w:themeColor="text1"/>
          <w:sz w:val="28"/>
          <w:szCs w:val="28"/>
          <w:vertAlign w:val="superscript"/>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，当仅有消火栓系统时不应小于</w:t>
      </w:r>
      <w:r>
        <w:rPr>
          <w:rFonts w:ascii="宋体" w:hAnsi="宋体"/>
          <w:color w:val="000000" w:themeColor="text1"/>
          <w:sz w:val="28"/>
          <w:szCs w:val="28"/>
          <w14:textFill>
            <w14:solidFill>
              <w14:schemeClr w14:val="tx1"/>
            </w14:solidFill>
          </w14:textFill>
        </w:rPr>
        <w:t>50m</w:t>
      </w:r>
      <w:r>
        <w:rPr>
          <w:rFonts w:ascii="宋体" w:hAnsi="宋体"/>
          <w:color w:val="000000" w:themeColor="text1"/>
          <w:sz w:val="28"/>
          <w:szCs w:val="28"/>
          <w:vertAlign w:val="superscript"/>
          <w14:textFill>
            <w14:solidFill>
              <w14:schemeClr w14:val="tx1"/>
            </w14:solidFill>
          </w14:textFill>
        </w:rPr>
        <w:t>3</w:t>
      </w:r>
      <w:r>
        <w:rPr>
          <w:rFonts w:ascii="宋体" w:hAnsi="宋体"/>
          <w:color w:val="000000" w:themeColor="text1"/>
          <w:sz w:val="28"/>
          <w:szCs w:val="28"/>
          <w14:textFill>
            <w14:solidFill>
              <w14:schemeClr w14:val="tx1"/>
            </w14:solidFill>
          </w14:textFill>
        </w:rPr>
        <w:t>。</w:t>
      </w:r>
    </w:p>
    <w:p w14:paraId="7EC986D0">
      <w:pPr>
        <w:pStyle w:val="3"/>
        <w:spacing w:line="360" w:lineRule="auto"/>
        <w:rPr>
          <w:rFonts w:ascii="宋体" w:hAnsi="宋体"/>
          <w:sz w:val="28"/>
          <w:szCs w:val="28"/>
        </w:rPr>
      </w:pPr>
      <w:bookmarkStart w:id="67" w:name="_Toc151061854"/>
      <w:bookmarkStart w:id="68" w:name="_Toc151062983"/>
      <w:bookmarkStart w:id="69" w:name="_Toc151062652"/>
      <w:bookmarkStart w:id="70" w:name="_Toc151063120"/>
      <w:r>
        <w:rPr>
          <w:rFonts w:hint="eastAsia" w:ascii="宋体" w:hAnsi="宋体"/>
          <w:sz w:val="28"/>
          <w:szCs w:val="28"/>
        </w:rPr>
        <w:t xml:space="preserve">5.2 </w:t>
      </w:r>
      <w:r>
        <w:rPr>
          <w:rFonts w:ascii="宋体" w:hAnsi="宋体"/>
          <w:sz w:val="28"/>
          <w:szCs w:val="28"/>
        </w:rPr>
        <w:t xml:space="preserve"> </w:t>
      </w:r>
      <w:r>
        <w:rPr>
          <w:rFonts w:hint="eastAsia" w:ascii="宋体" w:hAnsi="宋体"/>
          <w:sz w:val="28"/>
          <w:szCs w:val="28"/>
        </w:rPr>
        <w:t>消防供水设施</w:t>
      </w:r>
      <w:bookmarkEnd w:id="67"/>
      <w:bookmarkEnd w:id="68"/>
      <w:bookmarkEnd w:id="69"/>
      <w:bookmarkEnd w:id="70"/>
    </w:p>
    <w:p w14:paraId="1E09F9FD">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w:t>
      </w:r>
      <w:r>
        <w:rPr>
          <w:rFonts w:ascii="宋体" w:hAnsi="宋体"/>
          <w:color w:val="000000" w:themeColor="text1"/>
          <w:sz w:val="28"/>
          <w:szCs w:val="28"/>
          <w14:textFill>
            <w14:solidFill>
              <w14:schemeClr w14:val="tx1"/>
            </w14:solidFill>
          </w14:textFill>
        </w:rPr>
        <w:t>.2.1</w:t>
      </w:r>
      <w:r>
        <w:rPr>
          <w:rFonts w:hint="eastAsia" w:ascii="宋体" w:hAnsi="宋体"/>
          <w:color w:val="000000" w:themeColor="text1"/>
          <w:sz w:val="28"/>
          <w:szCs w:val="28"/>
          <w14:textFill>
            <w14:solidFill>
              <w14:schemeClr w14:val="tx1"/>
            </w14:solidFill>
          </w14:textFill>
        </w:rPr>
        <w:t>新增设消火栓、自动喷水灭火等系统且无法增设消防水池、消防水泵房的改造工程应设置符合国家现行相关标准的装配式箱泵一体化消防给水泵站。</w:t>
      </w:r>
    </w:p>
    <w:p w14:paraId="201EF3E6">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w:t>
      </w:r>
      <w:r>
        <w:rPr>
          <w:rFonts w:ascii="宋体" w:hAnsi="宋体"/>
          <w:color w:val="000000" w:themeColor="text1"/>
          <w:sz w:val="28"/>
          <w:szCs w:val="28"/>
          <w14:textFill>
            <w14:solidFill>
              <w14:schemeClr w14:val="tx1"/>
            </w14:solidFill>
          </w14:textFill>
        </w:rPr>
        <w:t>.2.2  消防水泵应符合下列规定：</w:t>
      </w:r>
    </w:p>
    <w:p w14:paraId="0B59E6CC">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 消防用水量、压力均不增加时，按原设计标准对消防水泵进行试验压力测试，满足系统流量及压力要求的，可保留使用，不满足时更换消防水泵。</w:t>
      </w:r>
    </w:p>
    <w:p w14:paraId="15E7A821">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2消防用水量、压力增加时，应对消防水泵的流量和扬程进行校核，不满足要求时更换消防水泵。</w:t>
      </w:r>
    </w:p>
    <w:p w14:paraId="4CF3C395">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 局部改造工程，室内消火栓水枪充实水柱应执行现行消防技术标准，消火栓栓口动压可执行原消防技术标准，但应满足水枪充实水柱要求。</w:t>
      </w:r>
    </w:p>
    <w:p w14:paraId="65FE79B4">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4</w:t>
      </w:r>
      <w:r>
        <w:rPr>
          <w:rFonts w:hint="eastAsia" w:ascii="宋体" w:hAnsi="宋体"/>
          <w:color w:val="000000" w:themeColor="text1"/>
          <w:sz w:val="28"/>
          <w:szCs w:val="28"/>
          <w14:textFill>
            <w14:solidFill>
              <w14:schemeClr w14:val="tx1"/>
            </w14:solidFill>
          </w14:textFill>
        </w:rPr>
        <w:t>局部改造工程，当消防水泵扬程不增加时，消防水系统维持原系统工作压力，但应确保系统各部分实际工作压力不超过管道等系统组件的工作压力等级。</w:t>
      </w:r>
    </w:p>
    <w:p w14:paraId="52239D18">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w:t>
      </w:r>
      <w:r>
        <w:rPr>
          <w:rFonts w:ascii="宋体" w:hAnsi="宋体"/>
          <w:color w:val="000000" w:themeColor="text1"/>
          <w:sz w:val="28"/>
          <w:szCs w:val="28"/>
          <w14:textFill>
            <w14:solidFill>
              <w14:schemeClr w14:val="tx1"/>
            </w14:solidFill>
          </w14:textFill>
        </w:rPr>
        <w:t xml:space="preserve">.2.3  </w:t>
      </w:r>
      <w:r>
        <w:rPr>
          <w:rFonts w:hint="eastAsia" w:ascii="宋体" w:hAnsi="宋体"/>
          <w:color w:val="000000" w:themeColor="text1"/>
          <w:sz w:val="28"/>
          <w:szCs w:val="28"/>
          <w14:textFill>
            <w14:solidFill>
              <w14:schemeClr w14:val="tx1"/>
            </w14:solidFill>
          </w14:textFill>
        </w:rPr>
        <w:t>高位消防水箱的设置应符合下列规定：</w:t>
      </w:r>
    </w:p>
    <w:p w14:paraId="111EA9B9">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1 </w:t>
      </w:r>
      <w:r>
        <w:rPr>
          <w:rFonts w:hint="eastAsia" w:ascii="宋体" w:hAnsi="宋体"/>
          <w:color w:val="000000" w:themeColor="text1"/>
          <w:sz w:val="28"/>
          <w:szCs w:val="28"/>
          <w14:textFill>
            <w14:solidFill>
              <w14:schemeClr w14:val="tx1"/>
            </w14:solidFill>
          </w14:textFill>
        </w:rPr>
        <w:t>使用功能不变的局部改造工程，高位消防水箱有效容积可维持现状。</w:t>
      </w:r>
    </w:p>
    <w:p w14:paraId="58583868">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当高位消防水箱设置位置受土建条件限制无法高于所服务的水灭火设施时，应设置气压水罐及稳压泵等设施，保证水灭火设施最不利点处静水压力满足现行消防技术标准要求。</w:t>
      </w:r>
    </w:p>
    <w:p w14:paraId="0027B471">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 按现行消防技术标准校核，高位消防水箱容积不超过</w:t>
      </w:r>
      <w:r>
        <w:rPr>
          <w:rFonts w:ascii="宋体" w:hAnsi="宋体"/>
          <w:color w:val="000000" w:themeColor="text1"/>
          <w:sz w:val="28"/>
          <w:szCs w:val="28"/>
          <w14:textFill>
            <w14:solidFill>
              <w14:schemeClr w14:val="tx1"/>
            </w14:solidFill>
          </w14:textFill>
        </w:rPr>
        <w:t>36m3</w:t>
      </w:r>
      <w:r>
        <w:rPr>
          <w:rFonts w:hint="eastAsia" w:ascii="宋体" w:hAnsi="宋体"/>
          <w:color w:val="000000" w:themeColor="text1"/>
          <w:sz w:val="28"/>
          <w:szCs w:val="28"/>
          <w14:textFill>
            <w14:solidFill>
              <w14:schemeClr w14:val="tx1"/>
            </w14:solidFill>
          </w14:textFill>
        </w:rPr>
        <w:t>的按现行标准执行；建筑改造工程高度不超过100</w:t>
      </w:r>
      <w:r>
        <w:rPr>
          <w:rFonts w:ascii="宋体" w:hAnsi="宋体"/>
          <w:color w:val="000000" w:themeColor="text1"/>
          <w:sz w:val="28"/>
          <w:szCs w:val="28"/>
          <w14:textFill>
            <w14:solidFill>
              <w14:schemeClr w14:val="tx1"/>
            </w14:solidFill>
          </w14:textFill>
        </w:rPr>
        <w:t>m，但</w:t>
      </w:r>
      <w:r>
        <w:rPr>
          <w:rFonts w:hint="eastAsia" w:ascii="宋体" w:hAnsi="宋体"/>
          <w:color w:val="000000" w:themeColor="text1"/>
          <w:sz w:val="28"/>
          <w:szCs w:val="28"/>
          <w14:textFill>
            <w14:solidFill>
              <w14:schemeClr w14:val="tx1"/>
            </w14:solidFill>
          </w14:textFill>
        </w:rPr>
        <w:t>高位消防水箱容积超过</w:t>
      </w:r>
      <w:r>
        <w:rPr>
          <w:rFonts w:ascii="宋体" w:hAnsi="宋体"/>
          <w:color w:val="000000" w:themeColor="text1"/>
          <w:sz w:val="28"/>
          <w:szCs w:val="28"/>
          <w14:textFill>
            <w14:solidFill>
              <w14:schemeClr w14:val="tx1"/>
            </w14:solidFill>
          </w14:textFill>
        </w:rPr>
        <w:t>36 m</w:t>
      </w:r>
      <w:r>
        <w:rPr>
          <w:rFonts w:ascii="宋体" w:hAnsi="宋体"/>
          <w:color w:val="000000" w:themeColor="text1"/>
          <w:sz w:val="28"/>
          <w:szCs w:val="28"/>
          <w:vertAlign w:val="superscript"/>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且结构加固确有困难时，改造后允许按</w:t>
      </w:r>
      <w:r>
        <w:rPr>
          <w:rFonts w:ascii="宋体" w:hAnsi="宋体"/>
          <w:color w:val="000000" w:themeColor="text1"/>
          <w:sz w:val="28"/>
          <w:szCs w:val="28"/>
          <w14:textFill>
            <w14:solidFill>
              <w14:schemeClr w14:val="tx1"/>
            </w14:solidFill>
          </w14:textFill>
        </w:rPr>
        <w:t>36m</w:t>
      </w:r>
      <w:r>
        <w:rPr>
          <w:rFonts w:ascii="宋体" w:hAnsi="宋体"/>
          <w:color w:val="000000" w:themeColor="text1"/>
          <w:sz w:val="28"/>
          <w:szCs w:val="28"/>
          <w:vertAlign w:val="superscript"/>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设计。</w:t>
      </w:r>
    </w:p>
    <w:p w14:paraId="4608A432">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4</w:t>
      </w:r>
      <w:r>
        <w:rPr>
          <w:rFonts w:hint="eastAsia" w:ascii="宋体" w:hAnsi="宋体"/>
          <w:color w:val="000000" w:themeColor="text1"/>
          <w:sz w:val="28"/>
          <w:szCs w:val="28"/>
          <w14:textFill>
            <w14:solidFill>
              <w14:schemeClr w14:val="tx1"/>
            </w14:solidFill>
          </w14:textFill>
        </w:rPr>
        <w:t>需要新增消火栓系统、自动喷水系统时，若原多层建筑无消防水箱，当层数不超过</w:t>
      </w:r>
      <w:r>
        <w:rPr>
          <w:rFonts w:ascii="宋体" w:hAnsi="宋体"/>
          <w:color w:val="000000" w:themeColor="text1"/>
          <w:sz w:val="28"/>
          <w:szCs w:val="28"/>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层且总建筑面积不大于</w:t>
      </w:r>
      <w:r>
        <w:rPr>
          <w:rFonts w:ascii="宋体" w:hAnsi="宋体"/>
          <w:color w:val="000000" w:themeColor="text1"/>
          <w:sz w:val="28"/>
          <w:szCs w:val="28"/>
          <w14:textFill>
            <w14:solidFill>
              <w14:schemeClr w14:val="tx1"/>
            </w14:solidFill>
          </w14:textFill>
        </w:rPr>
        <w:t>10000m</w:t>
      </w:r>
      <w:r>
        <w:rPr>
          <w:rFonts w:ascii="宋体" w:hAnsi="宋体"/>
          <w:color w:val="000000" w:themeColor="text1"/>
          <w:sz w:val="28"/>
          <w:szCs w:val="28"/>
          <w:vertAlign w:val="superscript"/>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的非重要单、多层公共建筑，可不设高位消防水箱，应设稳压泵和气压罐，确保火灾时系统动作。</w:t>
      </w:r>
    </w:p>
    <w:p w14:paraId="0C68BD1F">
      <w:pPr>
        <w:pStyle w:val="3"/>
        <w:spacing w:line="360" w:lineRule="auto"/>
        <w:rPr>
          <w:rFonts w:ascii="宋体" w:hAnsi="宋体"/>
          <w:sz w:val="28"/>
          <w:szCs w:val="28"/>
        </w:rPr>
      </w:pPr>
      <w:bookmarkStart w:id="71" w:name="_Toc151061855"/>
      <w:bookmarkStart w:id="72" w:name="_Toc151063121"/>
      <w:bookmarkStart w:id="73" w:name="_Toc151062984"/>
      <w:bookmarkStart w:id="74" w:name="_Toc151062653"/>
      <w:r>
        <w:rPr>
          <w:rFonts w:hint="eastAsia" w:ascii="宋体" w:hAnsi="宋体"/>
          <w:sz w:val="28"/>
          <w:szCs w:val="28"/>
        </w:rPr>
        <w:t xml:space="preserve">5.3 </w:t>
      </w:r>
      <w:r>
        <w:rPr>
          <w:rFonts w:ascii="宋体" w:hAnsi="宋体"/>
          <w:sz w:val="28"/>
          <w:szCs w:val="28"/>
        </w:rPr>
        <w:t xml:space="preserve"> </w:t>
      </w:r>
      <w:r>
        <w:rPr>
          <w:rFonts w:hint="eastAsia" w:ascii="宋体" w:hAnsi="宋体"/>
          <w:sz w:val="28"/>
          <w:szCs w:val="28"/>
        </w:rPr>
        <w:t>室内消火栓系统</w:t>
      </w:r>
      <w:bookmarkEnd w:id="71"/>
      <w:bookmarkEnd w:id="72"/>
      <w:bookmarkEnd w:id="73"/>
      <w:bookmarkEnd w:id="74"/>
    </w:p>
    <w:p w14:paraId="1ED62E28">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5.3.1</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改造区域有老年人照料设施、中型和大型幼儿园等用房功能时，应设置室内消火栓系统，且各层均应设置消火栓。</w:t>
      </w:r>
    </w:p>
    <w:p w14:paraId="23F96B2A">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5.3.2  不包含老年人照料设施、中型和大型幼儿园等用房功能的改造工程，室内消火栓系统应符合下列规定：</w:t>
      </w:r>
    </w:p>
    <w:p w14:paraId="26E9F791">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 高度不超过1</w:t>
      </w:r>
      <w:r>
        <w:rPr>
          <w:rFonts w:ascii="宋体" w:hAnsi="宋体"/>
          <w:color w:val="000000" w:themeColor="text1"/>
          <w:sz w:val="28"/>
          <w:szCs w:val="28"/>
          <w14:textFill>
            <w14:solidFill>
              <w14:schemeClr w14:val="tx1"/>
            </w14:solidFill>
          </w14:textFill>
        </w:rPr>
        <w:t>5m</w:t>
      </w:r>
      <w:r>
        <w:rPr>
          <w:rFonts w:hint="eastAsia" w:ascii="宋体" w:hAnsi="宋体"/>
          <w:color w:val="000000" w:themeColor="text1"/>
          <w:sz w:val="28"/>
          <w:szCs w:val="28"/>
          <w14:textFill>
            <w14:solidFill>
              <w14:schemeClr w14:val="tx1"/>
            </w14:solidFill>
          </w14:textFill>
        </w:rPr>
        <w:t>或体积大于</w:t>
      </w:r>
      <w:r>
        <w:rPr>
          <w:rFonts w:ascii="宋体" w:hAnsi="宋体"/>
          <w:color w:val="000000" w:themeColor="text1"/>
          <w:sz w:val="28"/>
          <w:szCs w:val="28"/>
          <w14:textFill>
            <w14:solidFill>
              <w14:schemeClr w14:val="tx1"/>
            </w14:solidFill>
          </w14:textFill>
        </w:rPr>
        <w:t>5000m</w:t>
      </w:r>
      <w:r>
        <w:rPr>
          <w:rFonts w:ascii="宋体" w:hAnsi="宋体"/>
          <w:color w:val="000000" w:themeColor="text1"/>
          <w:sz w:val="28"/>
          <w:szCs w:val="28"/>
          <w:vertAlign w:val="superscript"/>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、不超过</w:t>
      </w:r>
      <w:r>
        <w:rPr>
          <w:rFonts w:ascii="宋体" w:hAnsi="宋体"/>
          <w:color w:val="000000" w:themeColor="text1"/>
          <w:sz w:val="28"/>
          <w:szCs w:val="28"/>
          <w14:textFill>
            <w14:solidFill>
              <w14:schemeClr w14:val="tx1"/>
            </w14:solidFill>
          </w14:textFill>
        </w:rPr>
        <w:t>10000m</w:t>
      </w:r>
      <w:r>
        <w:rPr>
          <w:rFonts w:ascii="宋体" w:hAnsi="宋体"/>
          <w:color w:val="000000" w:themeColor="text1"/>
          <w:sz w:val="28"/>
          <w:szCs w:val="28"/>
          <w:vertAlign w:val="superscript"/>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且未设置消火栓系统的办公楼、教学楼、非住宅类居住建筑等其他民用建筑中增设展览、商店、旅馆、医疗、图书馆等用房功能时应增设室内消火栓系统。</w:t>
      </w:r>
    </w:p>
    <w:p w14:paraId="3C44A511">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2 当非改造区域因继续使用等原因暂时</w:t>
      </w:r>
      <w:bookmarkStart w:id="75" w:name="_Hlk141343734"/>
      <w:r>
        <w:rPr>
          <w:rFonts w:ascii="宋体" w:hAnsi="宋体"/>
          <w:color w:val="000000" w:themeColor="text1"/>
          <w:sz w:val="28"/>
          <w:szCs w:val="28"/>
          <w14:textFill>
            <w14:solidFill>
              <w14:schemeClr w14:val="tx1"/>
            </w14:solidFill>
          </w14:textFill>
        </w:rPr>
        <w:t>无法增设室内消火栓时</w:t>
      </w:r>
      <w:bookmarkEnd w:id="75"/>
      <w:r>
        <w:rPr>
          <w:rFonts w:ascii="宋体" w:hAnsi="宋体"/>
          <w:color w:val="000000" w:themeColor="text1"/>
          <w:sz w:val="28"/>
          <w:szCs w:val="28"/>
          <w14:textFill>
            <w14:solidFill>
              <w14:schemeClr w14:val="tx1"/>
            </w14:solidFill>
          </w14:textFill>
        </w:rPr>
        <w:t>，可仅在改造区域内设置室内消火栓，但</w:t>
      </w:r>
      <w:bookmarkStart w:id="76" w:name="_Hlk141343827"/>
      <w:r>
        <w:rPr>
          <w:rFonts w:ascii="宋体" w:hAnsi="宋体"/>
          <w:color w:val="000000" w:themeColor="text1"/>
          <w:sz w:val="28"/>
          <w:szCs w:val="28"/>
          <w14:textFill>
            <w14:solidFill>
              <w14:schemeClr w14:val="tx1"/>
            </w14:solidFill>
          </w14:textFill>
        </w:rPr>
        <w:t>应为其他区域后续增设室内消火栓预留条件</w:t>
      </w:r>
      <w:bookmarkEnd w:id="76"/>
      <w:r>
        <w:rPr>
          <w:rFonts w:ascii="宋体" w:hAnsi="宋体"/>
          <w:color w:val="000000" w:themeColor="text1"/>
          <w:sz w:val="28"/>
          <w:szCs w:val="28"/>
          <w14:textFill>
            <w14:solidFill>
              <w14:schemeClr w14:val="tx1"/>
            </w14:solidFill>
          </w14:textFill>
        </w:rPr>
        <w:t>。</w:t>
      </w:r>
    </w:p>
    <w:p w14:paraId="414F3B1A">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改造区域内的消火栓布置应执行现行消防技术标准。</w:t>
      </w:r>
    </w:p>
    <w:p w14:paraId="1B7339FE">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建筑高度或体积不满足设置消火栓的条件时应设置轻便消防水龙。</w:t>
      </w:r>
    </w:p>
    <w:p w14:paraId="5D863E1A">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w:t>
      </w:r>
      <w:r>
        <w:rPr>
          <w:rFonts w:ascii="宋体" w:hAnsi="宋体"/>
          <w:color w:val="000000" w:themeColor="text1"/>
          <w:sz w:val="28"/>
          <w:szCs w:val="28"/>
          <w14:textFill>
            <w14:solidFill>
              <w14:schemeClr w14:val="tx1"/>
            </w14:solidFill>
          </w14:textFill>
        </w:rPr>
        <w:t xml:space="preserve">.3.3 </w:t>
      </w:r>
      <w:r>
        <w:rPr>
          <w:rFonts w:hint="eastAsia" w:ascii="宋体" w:hAnsi="宋体"/>
          <w:color w:val="000000" w:themeColor="text1"/>
          <w:sz w:val="28"/>
          <w:szCs w:val="28"/>
          <w14:textFill>
            <w14:solidFill>
              <w14:schemeClr w14:val="tx1"/>
            </w14:solidFill>
          </w14:textFill>
        </w:rPr>
        <w:t>消火栓给水系统宜按现行消防技术标准设置压力开关、流量开关等消防水泵启泵控制装置。当消防泵房不在改造范围内时，消火栓系统可维持原有启泵方式，改造区域内的消火栓箱应设置直接启泵按钮。</w:t>
      </w:r>
    </w:p>
    <w:p w14:paraId="341E357E">
      <w:pPr>
        <w:pStyle w:val="3"/>
        <w:spacing w:line="360" w:lineRule="auto"/>
        <w:rPr>
          <w:rFonts w:ascii="宋体" w:hAnsi="宋体"/>
          <w:sz w:val="28"/>
          <w:szCs w:val="28"/>
        </w:rPr>
      </w:pPr>
      <w:bookmarkStart w:id="77" w:name="_Toc151061856"/>
      <w:bookmarkStart w:id="78" w:name="_Toc151062654"/>
      <w:bookmarkStart w:id="79" w:name="_Toc151063122"/>
      <w:bookmarkStart w:id="80" w:name="_Toc151062985"/>
      <w:r>
        <w:rPr>
          <w:rFonts w:hint="eastAsia" w:ascii="宋体" w:hAnsi="宋体"/>
          <w:sz w:val="28"/>
          <w:szCs w:val="28"/>
        </w:rPr>
        <w:t xml:space="preserve">5.4 </w:t>
      </w:r>
      <w:r>
        <w:rPr>
          <w:rFonts w:ascii="宋体" w:hAnsi="宋体"/>
          <w:sz w:val="28"/>
          <w:szCs w:val="28"/>
        </w:rPr>
        <w:t xml:space="preserve"> </w:t>
      </w:r>
      <w:r>
        <w:rPr>
          <w:rFonts w:hint="eastAsia" w:ascii="宋体" w:hAnsi="宋体"/>
          <w:sz w:val="28"/>
          <w:szCs w:val="28"/>
        </w:rPr>
        <w:t>自动灭火系统</w:t>
      </w:r>
      <w:bookmarkEnd w:id="77"/>
      <w:bookmarkEnd w:id="78"/>
      <w:bookmarkEnd w:id="79"/>
      <w:bookmarkEnd w:id="80"/>
    </w:p>
    <w:p w14:paraId="15E1F71D">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w:t>
      </w:r>
      <w:r>
        <w:rPr>
          <w:rFonts w:ascii="宋体" w:hAnsi="宋体"/>
          <w:color w:val="000000" w:themeColor="text1"/>
          <w:sz w:val="28"/>
          <w:szCs w:val="28"/>
          <w14:textFill>
            <w14:solidFill>
              <w14:schemeClr w14:val="tx1"/>
            </w14:solidFill>
          </w14:textFill>
        </w:rPr>
        <w:t>4</w:t>
      </w:r>
      <w:r>
        <w:rPr>
          <w:rFonts w:hint="eastAsia" w:ascii="宋体" w:hAnsi="宋体"/>
          <w:color w:val="000000" w:themeColor="text1"/>
          <w:sz w:val="28"/>
          <w:szCs w:val="28"/>
          <w14:textFill>
            <w14:solidFill>
              <w14:schemeClr w14:val="tx1"/>
            </w14:solidFill>
          </w14:textFill>
        </w:rPr>
        <w:t>.1</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自动喷水灭火系统应符合下列规定：</w:t>
      </w:r>
    </w:p>
    <w:p w14:paraId="5E6348A8">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 改造工程包含或增设老年人照料设施、中型和大型幼儿园等功能时，该建筑应设置自动喷水灭火系统。</w:t>
      </w:r>
    </w:p>
    <w:p w14:paraId="1A46DCB6">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既有建筑改造时增设歌舞娱乐放映游艺场所，当位置位于地下或半地下或四层及以上，或位于首层、二层和三层且任一层建筑面积大于</w:t>
      </w:r>
      <w:r>
        <w:rPr>
          <w:rFonts w:ascii="宋体" w:hAnsi="宋体"/>
          <w:color w:val="000000" w:themeColor="text1"/>
          <w:sz w:val="28"/>
          <w:szCs w:val="28"/>
          <w14:textFill>
            <w14:solidFill>
              <w14:schemeClr w14:val="tx1"/>
            </w14:solidFill>
          </w14:textFill>
        </w:rPr>
        <w:t>300m</w:t>
      </w:r>
      <w:r>
        <w:rPr>
          <w:rFonts w:ascii="宋体" w:hAnsi="宋体"/>
          <w:color w:val="000000" w:themeColor="text1"/>
          <w:sz w:val="28"/>
          <w:szCs w:val="28"/>
          <w:vertAlign w:val="superscript"/>
          <w14:textFill>
            <w14:solidFill>
              <w14:schemeClr w14:val="tx1"/>
            </w14:solidFill>
          </w14:textFill>
        </w:rPr>
        <w:t>2</w:t>
      </w:r>
      <w:r>
        <w:rPr>
          <w:rFonts w:ascii="宋体" w:hAnsi="宋体"/>
          <w:color w:val="000000" w:themeColor="text1"/>
          <w:sz w:val="28"/>
          <w:szCs w:val="28"/>
          <w14:textFill>
            <w14:solidFill>
              <w14:schemeClr w14:val="tx1"/>
            </w14:solidFill>
          </w14:textFill>
        </w:rPr>
        <w:t>时</w:t>
      </w:r>
      <w:r>
        <w:rPr>
          <w:rFonts w:hint="eastAsia" w:ascii="宋体" w:hAnsi="宋体"/>
          <w:color w:val="000000" w:themeColor="text1"/>
          <w:sz w:val="28"/>
          <w:szCs w:val="28"/>
          <w14:textFill>
            <w14:solidFill>
              <w14:schemeClr w14:val="tx1"/>
            </w14:solidFill>
          </w14:textFill>
        </w:rPr>
        <w:t>，该建筑应设置自动喷水灭火系统。</w:t>
      </w:r>
    </w:p>
    <w:p w14:paraId="487CC864">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w:t>
      </w:r>
      <w:r>
        <w:rPr>
          <w:rFonts w:ascii="宋体" w:hAnsi="宋体"/>
          <w:color w:val="000000" w:themeColor="text1"/>
          <w:sz w:val="28"/>
          <w:szCs w:val="28"/>
          <w14:textFill>
            <w14:solidFill>
              <w14:schemeClr w14:val="tx1"/>
            </w14:solidFill>
          </w14:textFill>
        </w:rPr>
        <w:t>4</w:t>
      </w: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14:textFill>
            <w14:solidFill>
              <w14:schemeClr w14:val="tx1"/>
            </w14:solidFill>
          </w14:textFill>
        </w:rPr>
        <w:t>2  下列局部改造</w:t>
      </w:r>
      <w:r>
        <w:rPr>
          <w:rFonts w:hint="eastAsia" w:ascii="宋体" w:hAnsi="宋体"/>
          <w:color w:val="000000" w:themeColor="text1"/>
          <w:sz w:val="28"/>
          <w:szCs w:val="28"/>
          <w14:textFill>
            <w14:solidFill>
              <w14:schemeClr w14:val="tx1"/>
            </w14:solidFill>
          </w14:textFill>
        </w:rPr>
        <w:t>工程，可仅在局部改造区域增设自动喷水灭火系统，但应为非改造区域后续增设自动喷水灭火系统预留条件，并执行现行消防技术标准</w:t>
      </w:r>
      <w:r>
        <w:rPr>
          <w:rFonts w:ascii="宋体" w:hAnsi="宋体"/>
          <w:color w:val="000000" w:themeColor="text1"/>
          <w:sz w:val="28"/>
          <w:szCs w:val="28"/>
          <w14:textFill>
            <w14:solidFill>
              <w14:schemeClr w14:val="tx1"/>
            </w14:solidFill>
          </w14:textFill>
        </w:rPr>
        <w:t>：</w:t>
      </w:r>
    </w:p>
    <w:p w14:paraId="7544AE74">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多层建筑增设展览、商店、餐饮和旅馆、医疗设施，且新增部分的任一层建筑面积大于</w:t>
      </w:r>
      <w:r>
        <w:rPr>
          <w:rFonts w:ascii="宋体" w:hAnsi="宋体"/>
          <w:color w:val="000000" w:themeColor="text1"/>
          <w:sz w:val="28"/>
          <w:szCs w:val="28"/>
          <w14:textFill>
            <w14:solidFill>
              <w14:schemeClr w14:val="tx1"/>
            </w14:solidFill>
          </w14:textFill>
        </w:rPr>
        <w:t>1500m</w:t>
      </w:r>
      <w:r>
        <w:rPr>
          <w:rFonts w:ascii="宋体" w:hAnsi="宋体"/>
          <w:color w:val="000000" w:themeColor="text1"/>
          <w:sz w:val="28"/>
          <w:szCs w:val="28"/>
          <w:vertAlign w:val="superscript"/>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或总建筑面积大于</w:t>
      </w:r>
      <w:r>
        <w:rPr>
          <w:rFonts w:ascii="宋体" w:hAnsi="宋体"/>
          <w:color w:val="000000" w:themeColor="text1"/>
          <w:sz w:val="28"/>
          <w:szCs w:val="28"/>
          <w14:textFill>
            <w14:solidFill>
              <w14:schemeClr w14:val="tx1"/>
            </w14:solidFill>
          </w14:textFill>
        </w:rPr>
        <w:t>3000m</w:t>
      </w:r>
      <w:r>
        <w:rPr>
          <w:rFonts w:ascii="宋体" w:hAnsi="宋体"/>
          <w:color w:val="000000" w:themeColor="text1"/>
          <w:sz w:val="28"/>
          <w:szCs w:val="28"/>
          <w:vertAlign w:val="superscript"/>
          <w14:textFill>
            <w14:solidFill>
              <w14:schemeClr w14:val="tx1"/>
            </w14:solidFill>
          </w14:textFill>
        </w:rPr>
        <w:t>2</w:t>
      </w:r>
      <w:r>
        <w:rPr>
          <w:rFonts w:ascii="宋体" w:hAnsi="宋体"/>
          <w:color w:val="000000" w:themeColor="text1"/>
          <w:sz w:val="28"/>
          <w:szCs w:val="28"/>
          <w14:textFill>
            <w14:solidFill>
              <w14:schemeClr w14:val="tx1"/>
            </w14:solidFill>
          </w14:textFill>
        </w:rPr>
        <w:t>；</w:t>
      </w:r>
    </w:p>
    <w:p w14:paraId="14283A59">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新增送、回风道（管）集中空调系统且总建筑面积大于</w:t>
      </w:r>
      <w:r>
        <w:rPr>
          <w:rFonts w:ascii="宋体" w:hAnsi="宋体"/>
          <w:color w:val="000000" w:themeColor="text1"/>
          <w:sz w:val="28"/>
          <w:szCs w:val="28"/>
          <w14:textFill>
            <w14:solidFill>
              <w14:schemeClr w14:val="tx1"/>
            </w14:solidFill>
          </w14:textFill>
        </w:rPr>
        <w:t>3000m</w:t>
      </w:r>
      <w:r>
        <w:rPr>
          <w:rFonts w:hint="eastAsia" w:ascii="宋体" w:hAnsi="宋体"/>
          <w:color w:val="000000" w:themeColor="text1"/>
          <w:sz w:val="28"/>
          <w:szCs w:val="28"/>
          <w:vertAlign w:val="superscript"/>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的办公建筑；</w:t>
      </w:r>
    </w:p>
    <w:p w14:paraId="53DA84AC">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 xml:space="preserve"> 地下建筑或地下室（含半地下室）增设总建筑面积大于</w:t>
      </w:r>
      <w:r>
        <w:rPr>
          <w:rFonts w:ascii="宋体" w:hAnsi="宋体"/>
          <w:color w:val="000000" w:themeColor="text1"/>
          <w:sz w:val="28"/>
          <w:szCs w:val="28"/>
          <w14:textFill>
            <w14:solidFill>
              <w14:schemeClr w14:val="tx1"/>
            </w14:solidFill>
          </w14:textFill>
        </w:rPr>
        <w:t>500m</w:t>
      </w:r>
      <w:r>
        <w:rPr>
          <w:rFonts w:ascii="宋体" w:hAnsi="宋体"/>
          <w:color w:val="000000" w:themeColor="text1"/>
          <w:sz w:val="28"/>
          <w:szCs w:val="28"/>
          <w:vertAlign w:val="superscript"/>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商店。</w:t>
      </w:r>
    </w:p>
    <w:p w14:paraId="54E0D56A">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w:t>
      </w:r>
      <w:r>
        <w:rPr>
          <w:rFonts w:ascii="宋体" w:hAnsi="宋体"/>
          <w:color w:val="000000" w:themeColor="text1"/>
          <w:sz w:val="28"/>
          <w:szCs w:val="28"/>
          <w14:textFill>
            <w14:solidFill>
              <w14:schemeClr w14:val="tx1"/>
            </w14:solidFill>
          </w14:textFill>
        </w:rPr>
        <w:t>.4.3  当局部改造</w:t>
      </w:r>
      <w:r>
        <w:rPr>
          <w:rFonts w:hint="eastAsia" w:ascii="宋体" w:hAnsi="宋体"/>
          <w:color w:val="000000" w:themeColor="text1"/>
          <w:sz w:val="28"/>
          <w:szCs w:val="28"/>
          <w14:textFill>
            <w14:solidFill>
              <w14:schemeClr w14:val="tx1"/>
            </w14:solidFill>
          </w14:textFill>
        </w:rPr>
        <w:t>工程</w:t>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需</w:t>
      </w:r>
      <w:r>
        <w:rPr>
          <w:rFonts w:ascii="宋体" w:hAnsi="宋体"/>
          <w:color w:val="000000" w:themeColor="text1"/>
          <w:sz w:val="28"/>
          <w:szCs w:val="28"/>
          <w14:textFill>
            <w14:solidFill>
              <w14:schemeClr w14:val="tx1"/>
            </w14:solidFill>
          </w14:textFill>
        </w:rPr>
        <w:t>增设自动喷水灭火系统</w:t>
      </w:r>
      <w:r>
        <w:rPr>
          <w:rFonts w:hint="eastAsia" w:ascii="宋体" w:hAnsi="宋体"/>
          <w:color w:val="000000" w:themeColor="text1"/>
          <w:sz w:val="28"/>
          <w:szCs w:val="28"/>
          <w14:textFill>
            <w14:solidFill>
              <w14:schemeClr w14:val="tx1"/>
            </w14:solidFill>
          </w14:textFill>
        </w:rPr>
        <w:t>且满足自动喷水灭火局部应用系统条件时，</w:t>
      </w:r>
      <w:r>
        <w:rPr>
          <w:rFonts w:ascii="宋体" w:hAnsi="宋体"/>
          <w:color w:val="000000" w:themeColor="text1"/>
          <w:sz w:val="28"/>
          <w:szCs w:val="28"/>
          <w14:textFill>
            <w14:solidFill>
              <w14:schemeClr w14:val="tx1"/>
            </w14:solidFill>
          </w14:textFill>
        </w:rPr>
        <w:t>可采用局部应用自动喷水灭火系统</w:t>
      </w:r>
      <w:r>
        <w:rPr>
          <w:rFonts w:hint="eastAsia" w:ascii="宋体" w:hAnsi="宋体"/>
          <w:color w:val="000000" w:themeColor="text1"/>
          <w:sz w:val="28"/>
          <w:szCs w:val="28"/>
          <w14:textFill>
            <w14:solidFill>
              <w14:schemeClr w14:val="tx1"/>
            </w14:solidFill>
          </w14:textFill>
        </w:rPr>
        <w:t>且</w:t>
      </w:r>
      <w:r>
        <w:rPr>
          <w:rFonts w:ascii="宋体" w:hAnsi="宋体"/>
          <w:color w:val="000000" w:themeColor="text1"/>
          <w:sz w:val="28"/>
          <w:szCs w:val="28"/>
          <w14:textFill>
            <w14:solidFill>
              <w14:schemeClr w14:val="tx1"/>
            </w14:solidFill>
          </w14:textFill>
        </w:rPr>
        <w:t>应符合现行</w:t>
      </w:r>
      <w:r>
        <w:rPr>
          <w:rFonts w:hint="eastAsia" w:ascii="宋体" w:hAnsi="宋体"/>
          <w:color w:val="000000" w:themeColor="text1"/>
          <w:sz w:val="28"/>
          <w:szCs w:val="28"/>
          <w14:textFill>
            <w14:solidFill>
              <w14:schemeClr w14:val="tx1"/>
            </w14:solidFill>
          </w14:textFill>
        </w:rPr>
        <w:t>消防技术</w:t>
      </w:r>
      <w:r>
        <w:rPr>
          <w:rFonts w:ascii="宋体" w:hAnsi="宋体"/>
          <w:color w:val="000000" w:themeColor="text1"/>
          <w:sz w:val="28"/>
          <w:szCs w:val="28"/>
          <w14:textFill>
            <w14:solidFill>
              <w14:schemeClr w14:val="tx1"/>
            </w14:solidFill>
          </w14:textFill>
        </w:rPr>
        <w:t>标准要求</w:t>
      </w:r>
      <w:r>
        <w:rPr>
          <w:rFonts w:hint="eastAsia" w:ascii="宋体" w:hAnsi="宋体"/>
          <w:color w:val="000000" w:themeColor="text1"/>
          <w:sz w:val="28"/>
          <w:szCs w:val="28"/>
          <w14:textFill>
            <w14:solidFill>
              <w14:schemeClr w14:val="tx1"/>
            </w14:solidFill>
          </w14:textFill>
        </w:rPr>
        <w:t>。</w:t>
      </w:r>
    </w:p>
    <w:p w14:paraId="323BB6E2">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5.4.4</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局部改造工程净空高度超过12</w:t>
      </w:r>
      <w:r>
        <w:rPr>
          <w:rFonts w:ascii="宋体" w:hAnsi="宋体"/>
          <w:color w:val="000000" w:themeColor="text1"/>
          <w:sz w:val="28"/>
          <w:szCs w:val="28"/>
          <w14:textFill>
            <w14:solidFill>
              <w14:schemeClr w14:val="tx1"/>
            </w14:solidFill>
          </w14:textFill>
        </w:rPr>
        <w:t>m按现行</w:t>
      </w:r>
      <w:r>
        <w:rPr>
          <w:rFonts w:hint="eastAsia" w:ascii="宋体" w:hAnsi="宋体"/>
          <w:color w:val="000000" w:themeColor="text1"/>
          <w:sz w:val="28"/>
          <w:szCs w:val="28"/>
          <w14:textFill>
            <w14:solidFill>
              <w14:schemeClr w14:val="tx1"/>
            </w14:solidFill>
          </w14:textFill>
        </w:rPr>
        <w:t>消防技术</w:t>
      </w:r>
      <w:r>
        <w:rPr>
          <w:rFonts w:ascii="宋体" w:hAnsi="宋体"/>
          <w:color w:val="000000" w:themeColor="text1"/>
          <w:sz w:val="28"/>
          <w:szCs w:val="28"/>
          <w14:textFill>
            <w14:solidFill>
              <w14:schemeClr w14:val="tx1"/>
            </w14:solidFill>
          </w14:textFill>
        </w:rPr>
        <w:t>标准应设置自动喷水灭火系统的部位，当消防水池容积无法增加消防用水量，或受建筑条件制约难以设置自动喷水灭火系统时，</w:t>
      </w:r>
      <w:bookmarkStart w:id="81" w:name="_Hlk141348692"/>
      <w:r>
        <w:rPr>
          <w:rFonts w:ascii="宋体" w:hAnsi="宋体"/>
          <w:color w:val="000000" w:themeColor="text1"/>
          <w:sz w:val="28"/>
          <w:szCs w:val="28"/>
          <w14:textFill>
            <w14:solidFill>
              <w14:schemeClr w14:val="tx1"/>
            </w14:solidFill>
          </w14:textFill>
        </w:rPr>
        <w:t>可采用自动跟踪定位射流喷水灭火系统</w:t>
      </w:r>
      <w:bookmarkEnd w:id="81"/>
      <w:r>
        <w:rPr>
          <w:rFonts w:ascii="宋体" w:hAnsi="宋体"/>
          <w:color w:val="000000" w:themeColor="text1"/>
          <w:sz w:val="28"/>
          <w:szCs w:val="28"/>
          <w14:textFill>
            <w14:solidFill>
              <w14:schemeClr w14:val="tx1"/>
            </w14:solidFill>
          </w14:textFill>
        </w:rPr>
        <w:t>。</w:t>
      </w:r>
    </w:p>
    <w:p w14:paraId="6C4CC859">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5.4.</w:t>
      </w:r>
      <w:r>
        <w:rPr>
          <w:rFonts w:ascii="宋体" w:hAnsi="宋体"/>
          <w:color w:val="000000" w:themeColor="text1"/>
          <w:sz w:val="28"/>
          <w:szCs w:val="28"/>
          <w14:textFill>
            <w14:solidFill>
              <w14:schemeClr w14:val="tx1"/>
            </w14:solidFill>
          </w14:textFill>
        </w:rPr>
        <w:t>5</w:t>
      </w:r>
      <w:r>
        <w:rPr>
          <w:rFonts w:hint="eastAsia" w:ascii="宋体" w:hAnsi="宋体"/>
          <w:color w:val="000000" w:themeColor="text1"/>
          <w:sz w:val="28"/>
          <w:szCs w:val="28"/>
          <w14:textFill>
            <w14:solidFill>
              <w14:schemeClr w14:val="tx1"/>
            </w14:solidFill>
          </w14:textFill>
        </w:rPr>
        <w:t xml:space="preserve"> 自动喷水灭火系统启泵应执行现行消防技术标准。当消防泵房不在改造范围内时，可仅采用报警阀组压力开关直接自动启动消防水泵的方式。</w:t>
      </w:r>
    </w:p>
    <w:p w14:paraId="3FF73AE3">
      <w:pPr>
        <w:pStyle w:val="3"/>
        <w:spacing w:line="360" w:lineRule="auto"/>
        <w:rPr>
          <w:rFonts w:ascii="宋体" w:hAnsi="宋体"/>
          <w:sz w:val="28"/>
          <w:szCs w:val="28"/>
        </w:rPr>
      </w:pPr>
      <w:bookmarkStart w:id="82" w:name="_Toc151062655"/>
      <w:bookmarkStart w:id="83" w:name="_Toc151063123"/>
      <w:bookmarkStart w:id="84" w:name="_Toc151062986"/>
      <w:bookmarkStart w:id="85" w:name="_Toc151061857"/>
      <w:r>
        <w:rPr>
          <w:rFonts w:hint="eastAsia" w:ascii="宋体" w:hAnsi="宋体"/>
          <w:sz w:val="28"/>
          <w:szCs w:val="28"/>
        </w:rPr>
        <w:t>5.5</w:t>
      </w:r>
      <w:r>
        <w:rPr>
          <w:rFonts w:ascii="宋体" w:hAnsi="宋体"/>
          <w:sz w:val="28"/>
          <w:szCs w:val="28"/>
        </w:rPr>
        <w:t xml:space="preserve">  </w:t>
      </w:r>
      <w:r>
        <w:rPr>
          <w:rFonts w:hint="eastAsia" w:ascii="宋体" w:hAnsi="宋体"/>
          <w:sz w:val="28"/>
          <w:szCs w:val="28"/>
        </w:rPr>
        <w:t>防烟与排烟系统</w:t>
      </w:r>
      <w:bookmarkEnd w:id="82"/>
      <w:bookmarkEnd w:id="83"/>
      <w:bookmarkEnd w:id="84"/>
      <w:bookmarkEnd w:id="85"/>
    </w:p>
    <w:p w14:paraId="46DFB190">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w:t>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5</w:t>
      </w:r>
      <w:r>
        <w:rPr>
          <w:rFonts w:ascii="宋体" w:hAnsi="宋体"/>
          <w:color w:val="000000" w:themeColor="text1"/>
          <w:sz w:val="28"/>
          <w:szCs w:val="28"/>
          <w14:textFill>
            <w14:solidFill>
              <w14:schemeClr w14:val="tx1"/>
            </w14:solidFill>
          </w14:textFill>
        </w:rPr>
        <w:t xml:space="preserve">.1  </w:t>
      </w:r>
      <w:r>
        <w:rPr>
          <w:rFonts w:hint="eastAsia" w:ascii="宋体" w:hAnsi="宋体"/>
          <w:color w:val="000000" w:themeColor="text1"/>
          <w:sz w:val="28"/>
          <w:szCs w:val="28"/>
          <w14:textFill>
            <w14:solidFill>
              <w14:schemeClr w14:val="tx1"/>
            </w14:solidFill>
          </w14:textFill>
        </w:rPr>
        <w:t>整体改造工程，防烟和排烟系统设置应符合下列规定：</w:t>
      </w:r>
    </w:p>
    <w:p w14:paraId="3D2AFDD1">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 改造后火灾危险增加或为F类火灾危险的整体改造工程，其防烟和排烟系统设置应执行现行标准；</w:t>
      </w:r>
    </w:p>
    <w:p w14:paraId="7684DD2B">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 除F类火灾危险以外的整体改造工程，当改造后火灾危险未增加时，其防烟和排烟系统设置应符合本节5.5.3～5.5.7条的规定，本节未进行规定的，应执行现行标准。</w:t>
      </w:r>
    </w:p>
    <w:p w14:paraId="64D6B1E7">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w:t>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5</w:t>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2</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局部改造工程，防烟和排烟系统设置应符合下列规定：</w:t>
      </w:r>
    </w:p>
    <w:p w14:paraId="3A63FA3A">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 改造后为F类火灾危险场所时，其防烟和排烟系统设置应执行现行标准；</w:t>
      </w:r>
    </w:p>
    <w:p w14:paraId="022CFFDB">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 除F类火灾危险场所以外的改造区域，当改造后火灾危险增加时，其防烟和排烟系统设置应符合本节第5.5.3～5.5.7条的规定，本节未进行规定的，应执行现行标准；当改造后火灾危险未增加时，其防烟和排烟系统设置可执行原标准。</w:t>
      </w:r>
    </w:p>
    <w:p w14:paraId="558AF3E5">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w:t>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5</w:t>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3</w:t>
      </w:r>
      <w:r>
        <w:rPr>
          <w:rFonts w:ascii="宋体" w:hAnsi="宋体"/>
          <w:color w:val="000000" w:themeColor="text1"/>
          <w:sz w:val="28"/>
          <w:szCs w:val="28"/>
          <w14:textFill>
            <w14:solidFill>
              <w14:schemeClr w14:val="tx1"/>
            </w14:solidFill>
          </w14:textFill>
        </w:rPr>
        <w:t xml:space="preserve">  既有住宅</w:t>
      </w:r>
      <w:r>
        <w:rPr>
          <w:rFonts w:hint="eastAsia" w:ascii="宋体" w:hAnsi="宋体"/>
          <w:color w:val="000000" w:themeColor="text1"/>
          <w:sz w:val="28"/>
          <w:szCs w:val="28"/>
          <w14:textFill>
            <w14:solidFill>
              <w14:schemeClr w14:val="tx1"/>
            </w14:solidFill>
          </w14:textFill>
        </w:rPr>
        <w:t>建筑</w:t>
      </w:r>
      <w:r>
        <w:rPr>
          <w:rFonts w:ascii="宋体" w:hAnsi="宋体"/>
          <w:color w:val="000000" w:themeColor="text1"/>
          <w:sz w:val="28"/>
          <w:szCs w:val="28"/>
          <w14:textFill>
            <w14:solidFill>
              <w14:schemeClr w14:val="tx1"/>
            </w14:solidFill>
          </w14:textFill>
        </w:rPr>
        <w:t>改造</w:t>
      </w:r>
      <w:r>
        <w:rPr>
          <w:rFonts w:hint="eastAsia" w:ascii="宋体" w:hAnsi="宋体"/>
          <w:color w:val="000000" w:themeColor="text1"/>
          <w:sz w:val="28"/>
          <w:szCs w:val="28"/>
          <w14:textFill>
            <w14:solidFill>
              <w14:schemeClr w14:val="tx1"/>
            </w14:solidFill>
          </w14:textFill>
        </w:rPr>
        <w:t>中的剪刀楼梯间原合用机械加压送风系统，因送风井道土建条件限制分设系统困难时，可维持原系统形式,但加压送风机的风量、风压应符合国家</w:t>
      </w:r>
      <w:r>
        <w:rPr>
          <w:rFonts w:ascii="宋体" w:hAnsi="宋体"/>
          <w:color w:val="000000" w:themeColor="text1"/>
          <w:sz w:val="28"/>
          <w:szCs w:val="28"/>
          <w14:textFill>
            <w14:solidFill>
              <w14:schemeClr w14:val="tx1"/>
            </w14:solidFill>
          </w14:textFill>
        </w:rPr>
        <w:t>现行</w:t>
      </w:r>
      <w:r>
        <w:rPr>
          <w:rFonts w:hint="eastAsia" w:ascii="宋体" w:hAnsi="宋体"/>
          <w:color w:val="000000" w:themeColor="text1"/>
          <w:sz w:val="28"/>
          <w:szCs w:val="28"/>
          <w14:textFill>
            <w14:solidFill>
              <w14:schemeClr w14:val="tx1"/>
            </w14:solidFill>
          </w14:textFill>
        </w:rPr>
        <w:t>相关</w:t>
      </w:r>
      <w:r>
        <w:rPr>
          <w:rFonts w:ascii="宋体" w:hAnsi="宋体"/>
          <w:color w:val="000000" w:themeColor="text1"/>
          <w:sz w:val="28"/>
          <w:szCs w:val="28"/>
          <w14:textFill>
            <w14:solidFill>
              <w14:schemeClr w14:val="tx1"/>
            </w14:solidFill>
          </w14:textFill>
        </w:rPr>
        <w:t>标准的规定</w:t>
      </w:r>
      <w:r>
        <w:rPr>
          <w:rFonts w:hint="eastAsia" w:ascii="宋体" w:hAnsi="宋体"/>
          <w:color w:val="000000" w:themeColor="text1"/>
          <w:sz w:val="28"/>
          <w:szCs w:val="28"/>
          <w14:textFill>
            <w14:solidFill>
              <w14:schemeClr w14:val="tx1"/>
            </w14:solidFill>
          </w14:textFill>
        </w:rPr>
        <w:t>。</w:t>
      </w:r>
    </w:p>
    <w:p w14:paraId="2FE2B480">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w:t>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5</w:t>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4</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既有建筑改造中新增、调整或保留使用的机械加压送风机和排烟风机, 当难以</w:t>
      </w:r>
      <w:r>
        <w:rPr>
          <w:rFonts w:ascii="宋体" w:hAnsi="宋体"/>
          <w:color w:val="000000" w:themeColor="text1"/>
          <w:sz w:val="28"/>
          <w:szCs w:val="28"/>
          <w14:textFill>
            <w14:solidFill>
              <w14:schemeClr w14:val="tx1"/>
            </w14:solidFill>
          </w14:textFill>
        </w:rPr>
        <w:t>设置专用机房</w:t>
      </w:r>
      <w:r>
        <w:rPr>
          <w:rFonts w:hint="eastAsia" w:ascii="宋体" w:hAnsi="宋体"/>
          <w:color w:val="000000" w:themeColor="text1"/>
          <w:sz w:val="28"/>
          <w:szCs w:val="28"/>
          <w14:textFill>
            <w14:solidFill>
              <w14:schemeClr w14:val="tx1"/>
            </w14:solidFill>
          </w14:textFill>
        </w:rPr>
        <w:t>时，可与通风空气调节机房合用、室内吊装或露天设置，但应符合下列规定：</w:t>
      </w:r>
    </w:p>
    <w:p w14:paraId="3623A0F7">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1 与通风空气调节机房合用时，机房应采用耐火极限不低于 2.00h 的防火隔墙和耐火极限不低于 1.00h 的楼板与其他区域分隔，</w:t>
      </w:r>
      <w:r>
        <w:rPr>
          <w:rFonts w:hint="eastAsia" w:ascii="宋体" w:hAnsi="宋体"/>
          <w:color w:val="000000" w:themeColor="text1"/>
          <w:sz w:val="28"/>
          <w:szCs w:val="28"/>
          <w14:textFill>
            <w14:solidFill>
              <w14:schemeClr w14:val="tx1"/>
            </w14:solidFill>
          </w14:textFill>
        </w:rPr>
        <w:t>隔墙上的门、窗应为甲级防火门、窗；</w:t>
      </w:r>
    </w:p>
    <w:p w14:paraId="19FF4068">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2加压送风</w:t>
      </w:r>
      <w:r>
        <w:rPr>
          <w:rFonts w:ascii="宋体" w:hAnsi="宋体"/>
          <w:color w:val="000000" w:themeColor="text1"/>
          <w:sz w:val="28"/>
          <w:szCs w:val="28"/>
          <w14:textFill>
            <w14:solidFill>
              <w14:schemeClr w14:val="tx1"/>
            </w14:solidFill>
          </w14:textFill>
        </w:rPr>
        <w:t>机房内不</w:t>
      </w:r>
      <w:r>
        <w:rPr>
          <w:rFonts w:hint="eastAsia" w:ascii="宋体" w:hAnsi="宋体"/>
          <w:color w:val="000000" w:themeColor="text1"/>
          <w:sz w:val="28"/>
          <w:szCs w:val="28"/>
          <w14:textFill>
            <w14:solidFill>
              <w14:schemeClr w14:val="tx1"/>
            </w14:solidFill>
          </w14:textFill>
        </w:rPr>
        <w:t>应</w:t>
      </w:r>
      <w:r>
        <w:rPr>
          <w:rFonts w:ascii="宋体" w:hAnsi="宋体"/>
          <w:color w:val="000000" w:themeColor="text1"/>
          <w:sz w:val="28"/>
          <w:szCs w:val="28"/>
          <w14:textFill>
            <w14:solidFill>
              <w14:schemeClr w14:val="tx1"/>
            </w14:solidFill>
          </w14:textFill>
        </w:rPr>
        <w:t>设置用于机械排烟的风机与管道</w:t>
      </w:r>
      <w:r>
        <w:rPr>
          <w:rFonts w:hint="eastAsia" w:ascii="宋体" w:hAnsi="宋体"/>
          <w:color w:val="000000" w:themeColor="text1"/>
          <w:sz w:val="28"/>
          <w:szCs w:val="28"/>
          <w14:textFill>
            <w14:solidFill>
              <w14:schemeClr w14:val="tx1"/>
            </w14:solidFill>
          </w14:textFill>
        </w:rPr>
        <w:t>，排烟风机房内</w:t>
      </w:r>
      <w:r>
        <w:rPr>
          <w:rFonts w:ascii="宋体" w:hAnsi="宋体"/>
          <w:color w:val="000000" w:themeColor="text1"/>
          <w:sz w:val="28"/>
          <w:szCs w:val="28"/>
          <w14:textFill>
            <w14:solidFill>
              <w14:schemeClr w14:val="tx1"/>
            </w14:solidFill>
          </w14:textFill>
        </w:rPr>
        <w:t>不</w:t>
      </w:r>
      <w:r>
        <w:rPr>
          <w:rFonts w:hint="eastAsia" w:ascii="宋体" w:hAnsi="宋体"/>
          <w:color w:val="000000" w:themeColor="text1"/>
          <w:sz w:val="28"/>
          <w:szCs w:val="28"/>
          <w14:textFill>
            <w14:solidFill>
              <w14:schemeClr w14:val="tx1"/>
            </w14:solidFill>
          </w14:textFill>
        </w:rPr>
        <w:t>应</w:t>
      </w:r>
      <w:r>
        <w:rPr>
          <w:rFonts w:ascii="宋体" w:hAnsi="宋体"/>
          <w:color w:val="000000" w:themeColor="text1"/>
          <w:sz w:val="28"/>
          <w:szCs w:val="28"/>
          <w14:textFill>
            <w14:solidFill>
              <w14:schemeClr w14:val="tx1"/>
            </w14:solidFill>
          </w14:textFill>
        </w:rPr>
        <w:t>设置用于机械</w:t>
      </w:r>
      <w:r>
        <w:rPr>
          <w:rFonts w:hint="eastAsia" w:ascii="宋体" w:hAnsi="宋体"/>
          <w:color w:val="000000" w:themeColor="text1"/>
          <w:sz w:val="28"/>
          <w:szCs w:val="28"/>
          <w14:textFill>
            <w14:solidFill>
              <w14:schemeClr w14:val="tx1"/>
            </w14:solidFill>
          </w14:textFill>
        </w:rPr>
        <w:t>加压送风</w:t>
      </w:r>
      <w:r>
        <w:rPr>
          <w:rFonts w:ascii="宋体" w:hAnsi="宋体"/>
          <w:color w:val="000000" w:themeColor="text1"/>
          <w:sz w:val="28"/>
          <w:szCs w:val="28"/>
          <w14:textFill>
            <w14:solidFill>
              <w14:schemeClr w14:val="tx1"/>
            </w14:solidFill>
          </w14:textFill>
        </w:rPr>
        <w:t>的风机与管道</w:t>
      </w:r>
      <w:r>
        <w:rPr>
          <w:rFonts w:hint="eastAsia" w:ascii="宋体" w:hAnsi="宋体"/>
          <w:color w:val="000000" w:themeColor="text1"/>
          <w:sz w:val="28"/>
          <w:szCs w:val="28"/>
          <w14:textFill>
            <w14:solidFill>
              <w14:schemeClr w14:val="tx1"/>
            </w14:solidFill>
          </w14:textFill>
        </w:rPr>
        <w:t>且应设置自动喷水灭火系统；</w:t>
      </w:r>
    </w:p>
    <w:p w14:paraId="306B1B5E">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w:t>
      </w:r>
      <w:r>
        <w:rPr>
          <w:rFonts w:ascii="宋体" w:hAnsi="宋体"/>
          <w:color w:val="000000" w:themeColor="text1"/>
          <w:sz w:val="28"/>
          <w:szCs w:val="28"/>
          <w14:textFill>
            <w14:solidFill>
              <w14:schemeClr w14:val="tx1"/>
            </w14:solidFill>
          </w14:textFill>
        </w:rPr>
        <w:t xml:space="preserve"> 室内吊装时应设置便于检修的专用风机小室。专用风机小室应采用耐火极限不低于 1.0</w:t>
      </w:r>
      <w:r>
        <w:rPr>
          <w:rFonts w:hint="eastAsia" w:ascii="宋体" w:hAnsi="宋体"/>
          <w:color w:val="000000" w:themeColor="text1"/>
          <w:sz w:val="28"/>
          <w:szCs w:val="28"/>
          <w14:textFill>
            <w14:solidFill>
              <w14:schemeClr w14:val="tx1"/>
            </w14:solidFill>
          </w14:textFill>
        </w:rPr>
        <w:t>0h的围护结构与相邻区域分隔，</w:t>
      </w:r>
      <w:r>
        <w:rPr>
          <w:rFonts w:ascii="宋体" w:hAnsi="宋体"/>
          <w:color w:val="000000" w:themeColor="text1"/>
          <w:sz w:val="28"/>
          <w:szCs w:val="28"/>
          <w14:textFill>
            <w14:solidFill>
              <w14:schemeClr w14:val="tx1"/>
            </w14:solidFill>
          </w14:textFill>
        </w:rPr>
        <w:t>检修门应</w:t>
      </w:r>
      <w:r>
        <w:rPr>
          <w:rFonts w:hint="eastAsia" w:ascii="宋体" w:hAnsi="宋体"/>
          <w:color w:val="000000" w:themeColor="text1"/>
          <w:sz w:val="28"/>
          <w:szCs w:val="28"/>
          <w14:textFill>
            <w14:solidFill>
              <w14:schemeClr w14:val="tx1"/>
            </w14:solidFill>
          </w14:textFill>
        </w:rPr>
        <w:t>采用</w:t>
      </w:r>
      <w:r>
        <w:rPr>
          <w:rFonts w:ascii="宋体" w:hAnsi="宋体"/>
          <w:color w:val="000000" w:themeColor="text1"/>
          <w:sz w:val="28"/>
          <w:szCs w:val="28"/>
          <w14:textFill>
            <w14:solidFill>
              <w14:schemeClr w14:val="tx1"/>
            </w14:solidFill>
          </w14:textFill>
        </w:rPr>
        <w:t>甲级防火门</w:t>
      </w:r>
      <w:r>
        <w:rPr>
          <w:rFonts w:hint="eastAsia" w:ascii="宋体" w:hAnsi="宋体"/>
          <w:color w:val="000000" w:themeColor="text1"/>
          <w:sz w:val="28"/>
          <w:szCs w:val="28"/>
          <w14:textFill>
            <w14:solidFill>
              <w14:schemeClr w14:val="tx1"/>
            </w14:solidFill>
          </w14:textFill>
        </w:rPr>
        <w:t>；</w:t>
      </w:r>
    </w:p>
    <w:p w14:paraId="6F65C4A2">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w:t>
      </w:r>
      <w:r>
        <w:rPr>
          <w:rFonts w:ascii="宋体" w:hAnsi="宋体"/>
          <w:color w:val="000000" w:themeColor="text1"/>
          <w:sz w:val="28"/>
          <w:szCs w:val="28"/>
          <w14:textFill>
            <w14:solidFill>
              <w14:schemeClr w14:val="tx1"/>
            </w14:solidFill>
          </w14:textFill>
        </w:rPr>
        <w:t xml:space="preserve"> 露天设置时应采取相应的防风、防雨雪、防堵塞、防冻结等措施。</w:t>
      </w:r>
    </w:p>
    <w:p w14:paraId="5E15FFB7">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5.5.5</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既有建筑改造中保留且难以改造的土建风道，其</w:t>
      </w:r>
      <w:r>
        <w:rPr>
          <w:rFonts w:ascii="宋体" w:hAnsi="宋体"/>
          <w:color w:val="000000" w:themeColor="text1"/>
          <w:sz w:val="28"/>
          <w:szCs w:val="28"/>
          <w14:textFill>
            <w14:solidFill>
              <w14:schemeClr w14:val="tx1"/>
            </w14:solidFill>
          </w14:textFill>
        </w:rPr>
        <w:t>内表面</w:t>
      </w:r>
      <w:r>
        <w:rPr>
          <w:rFonts w:hint="eastAsia" w:ascii="宋体" w:hAnsi="宋体"/>
          <w:color w:val="000000" w:themeColor="text1"/>
          <w:sz w:val="28"/>
          <w:szCs w:val="28"/>
          <w14:textFill>
            <w14:solidFill>
              <w14:schemeClr w14:val="tx1"/>
            </w14:solidFill>
          </w14:textFill>
        </w:rPr>
        <w:t>应</w:t>
      </w:r>
      <w:r>
        <w:rPr>
          <w:rFonts w:ascii="宋体" w:hAnsi="宋体"/>
          <w:color w:val="000000" w:themeColor="text1"/>
          <w:sz w:val="28"/>
          <w:szCs w:val="28"/>
          <w14:textFill>
            <w14:solidFill>
              <w14:schemeClr w14:val="tx1"/>
            </w14:solidFill>
          </w14:textFill>
        </w:rPr>
        <w:t>光滑、密闭性能</w:t>
      </w:r>
      <w:r>
        <w:rPr>
          <w:rFonts w:hint="eastAsia" w:ascii="宋体" w:hAnsi="宋体"/>
          <w:color w:val="000000" w:themeColor="text1"/>
          <w:sz w:val="28"/>
          <w:szCs w:val="28"/>
          <w14:textFill>
            <w14:solidFill>
              <w14:schemeClr w14:val="tx1"/>
            </w14:solidFill>
          </w14:textFill>
        </w:rPr>
        <w:t>应</w:t>
      </w:r>
      <w:r>
        <w:rPr>
          <w:rFonts w:ascii="宋体" w:hAnsi="宋体"/>
          <w:color w:val="000000" w:themeColor="text1"/>
          <w:sz w:val="28"/>
          <w:szCs w:val="28"/>
          <w14:textFill>
            <w14:solidFill>
              <w14:schemeClr w14:val="tx1"/>
            </w14:solidFill>
          </w14:textFill>
        </w:rPr>
        <w:t>满足火灾时机械加压送风</w:t>
      </w:r>
      <w:r>
        <w:rPr>
          <w:rFonts w:hint="eastAsia" w:ascii="宋体" w:hAnsi="宋体"/>
          <w:color w:val="000000" w:themeColor="text1"/>
          <w:sz w:val="28"/>
          <w:szCs w:val="28"/>
          <w14:textFill>
            <w14:solidFill>
              <w14:schemeClr w14:val="tx1"/>
            </w14:solidFill>
          </w14:textFill>
        </w:rPr>
        <w:t>或排烟的</w:t>
      </w:r>
      <w:r>
        <w:rPr>
          <w:rFonts w:ascii="宋体" w:hAnsi="宋体"/>
          <w:color w:val="000000" w:themeColor="text1"/>
          <w:sz w:val="28"/>
          <w:szCs w:val="28"/>
          <w14:textFill>
            <w14:solidFill>
              <w14:schemeClr w14:val="tx1"/>
            </w14:solidFill>
          </w14:textFill>
        </w:rPr>
        <w:t>要求。</w:t>
      </w:r>
    </w:p>
    <w:p w14:paraId="286B9ECD">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w:t>
      </w:r>
      <w:r>
        <w:rPr>
          <w:rFonts w:ascii="宋体" w:hAnsi="宋体"/>
          <w:color w:val="000000" w:themeColor="text1"/>
          <w:sz w:val="28"/>
          <w:szCs w:val="28"/>
          <w14:textFill>
            <w14:solidFill>
              <w14:schemeClr w14:val="tx1"/>
            </w14:solidFill>
          </w14:textFill>
        </w:rPr>
        <w:t>.5.</w:t>
      </w:r>
      <w:r>
        <w:rPr>
          <w:rFonts w:hint="eastAsia" w:ascii="宋体" w:hAnsi="宋体"/>
          <w:color w:val="000000" w:themeColor="text1"/>
          <w:sz w:val="28"/>
          <w:szCs w:val="28"/>
          <w14:textFill>
            <w14:solidFill>
              <w14:schemeClr w14:val="tx1"/>
            </w14:solidFill>
          </w14:textFill>
        </w:rPr>
        <w:t>6</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设置自然排烟设施的场所，自然排烟口有效面积应符合现行国家标准《建筑防烟排烟系统技术标准》</w:t>
      </w:r>
      <w:r>
        <w:rPr>
          <w:rFonts w:ascii="宋体" w:hAnsi="宋体"/>
          <w:color w:val="000000" w:themeColor="text1"/>
          <w:sz w:val="28"/>
          <w:szCs w:val="28"/>
          <w14:textFill>
            <w14:solidFill>
              <w14:schemeClr w14:val="tx1"/>
            </w14:solidFill>
          </w14:textFill>
        </w:rPr>
        <w:t>GB51251</w:t>
      </w:r>
      <w:r>
        <w:rPr>
          <w:rFonts w:hint="eastAsia" w:ascii="宋体" w:hAnsi="宋体"/>
          <w:color w:val="000000" w:themeColor="text1"/>
          <w:sz w:val="28"/>
          <w:szCs w:val="28"/>
          <w14:textFill>
            <w14:solidFill>
              <w14:schemeClr w14:val="tx1"/>
            </w14:solidFill>
          </w14:textFill>
        </w:rPr>
        <w:t>的规定，不符合时应增设机械排烟设施。当确有困难时，可维持自然排烟口面积、高度现状，但应满足以下要求：</w:t>
      </w:r>
    </w:p>
    <w:p w14:paraId="06C227CB">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 中庭、剧场舞台空间的自然排烟口面积不应小于该场所地面面积的5</w:t>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w:t>
      </w:r>
    </w:p>
    <w:p w14:paraId="62611238">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 其他场所自然排烟口面积不应小于该场所地面面积的2</w:t>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w:t>
      </w:r>
    </w:p>
    <w:p w14:paraId="18269300">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作为自然排烟口的可开启外窗，当采用开窗角大于30°的悬窗或平开窗时，可按开启扇面积计算自然排烟口面积，当采用开窗角度小于或等于30°的悬窗或平开窗以及其他类型外窗时，应按现行国家标准《建筑防烟排烟系统技术标准》</w:t>
      </w:r>
      <w:r>
        <w:rPr>
          <w:rFonts w:ascii="宋体" w:hAnsi="宋体"/>
          <w:color w:val="000000" w:themeColor="text1"/>
          <w:sz w:val="28"/>
          <w:szCs w:val="28"/>
          <w14:textFill>
            <w14:solidFill>
              <w14:schemeClr w14:val="tx1"/>
            </w14:solidFill>
          </w14:textFill>
        </w:rPr>
        <w:t>GB51251</w:t>
      </w:r>
      <w:r>
        <w:rPr>
          <w:rFonts w:hint="eastAsia" w:ascii="宋体" w:hAnsi="宋体"/>
          <w:color w:val="000000" w:themeColor="text1"/>
          <w:sz w:val="28"/>
          <w:szCs w:val="28"/>
          <w14:textFill>
            <w14:solidFill>
              <w14:schemeClr w14:val="tx1"/>
            </w14:solidFill>
          </w14:textFill>
        </w:rPr>
        <w:t>有关规定计算自然排烟口面积。</w:t>
      </w:r>
    </w:p>
    <w:p w14:paraId="3532DF4C">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w:t>
      </w:r>
      <w:r>
        <w:rPr>
          <w:rFonts w:ascii="宋体" w:hAnsi="宋体"/>
          <w:color w:val="000000" w:themeColor="text1"/>
          <w:sz w:val="28"/>
          <w:szCs w:val="28"/>
          <w14:textFill>
            <w14:solidFill>
              <w14:schemeClr w14:val="tx1"/>
            </w14:solidFill>
          </w14:textFill>
        </w:rPr>
        <w:t>.5.</w:t>
      </w:r>
      <w:r>
        <w:rPr>
          <w:rFonts w:hint="eastAsia" w:ascii="宋体" w:hAnsi="宋体"/>
          <w:color w:val="000000" w:themeColor="text1"/>
          <w:sz w:val="28"/>
          <w:szCs w:val="28"/>
          <w14:textFill>
            <w14:solidFill>
              <w14:schemeClr w14:val="tx1"/>
            </w14:solidFill>
          </w14:textFill>
        </w:rPr>
        <w:t>7</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更新、替换、增设</w:t>
      </w:r>
      <w:r>
        <w:rPr>
          <w:rFonts w:ascii="宋体" w:hAnsi="宋体"/>
          <w:color w:val="000000" w:themeColor="text1"/>
          <w:sz w:val="28"/>
          <w:szCs w:val="28"/>
          <w14:textFill>
            <w14:solidFill>
              <w14:schemeClr w14:val="tx1"/>
            </w14:solidFill>
          </w14:textFill>
        </w:rPr>
        <w:t>机械排烟系统</w:t>
      </w:r>
      <w:r>
        <w:rPr>
          <w:rFonts w:hint="eastAsia" w:ascii="宋体" w:hAnsi="宋体"/>
          <w:color w:val="000000" w:themeColor="text1"/>
          <w:sz w:val="28"/>
          <w:szCs w:val="28"/>
          <w14:textFill>
            <w14:solidFill>
              <w14:schemeClr w14:val="tx1"/>
            </w14:solidFill>
          </w14:textFill>
        </w:rPr>
        <w:t>时</w:t>
      </w:r>
      <w:r>
        <w:rPr>
          <w:rFonts w:ascii="宋体" w:hAnsi="宋体"/>
          <w:color w:val="000000" w:themeColor="text1"/>
          <w:sz w:val="28"/>
          <w:szCs w:val="28"/>
          <w14:textFill>
            <w14:solidFill>
              <w14:schemeClr w14:val="tx1"/>
            </w14:solidFill>
          </w14:textFill>
        </w:rPr>
        <w:t>，排烟口</w:t>
      </w:r>
      <w:r>
        <w:rPr>
          <w:rFonts w:hint="eastAsia" w:ascii="宋体" w:hAnsi="宋体"/>
          <w:color w:val="000000" w:themeColor="text1"/>
          <w:sz w:val="28"/>
          <w:szCs w:val="28"/>
          <w14:textFill>
            <w14:solidFill>
              <w14:schemeClr w14:val="tx1"/>
            </w14:solidFill>
          </w14:textFill>
        </w:rPr>
        <w:t>的</w:t>
      </w:r>
      <w:r>
        <w:rPr>
          <w:rFonts w:ascii="宋体" w:hAnsi="宋体"/>
          <w:color w:val="000000" w:themeColor="text1"/>
          <w:sz w:val="28"/>
          <w:szCs w:val="28"/>
          <w14:textFill>
            <w14:solidFill>
              <w14:schemeClr w14:val="tx1"/>
            </w14:solidFill>
          </w14:textFill>
        </w:rPr>
        <w:t>排烟量可按风口有效面积与风速乘积计算，风口风速不</w:t>
      </w:r>
      <w:r>
        <w:rPr>
          <w:rFonts w:hint="eastAsia" w:ascii="宋体" w:hAnsi="宋体"/>
          <w:color w:val="000000" w:themeColor="text1"/>
          <w:sz w:val="28"/>
          <w:szCs w:val="28"/>
          <w14:textFill>
            <w14:solidFill>
              <w14:schemeClr w14:val="tx1"/>
            </w14:solidFill>
          </w14:textFill>
        </w:rPr>
        <w:t>宜</w:t>
      </w:r>
      <w:r>
        <w:rPr>
          <w:rFonts w:ascii="宋体" w:hAnsi="宋体"/>
          <w:color w:val="000000" w:themeColor="text1"/>
          <w:sz w:val="28"/>
          <w:szCs w:val="28"/>
          <w14:textFill>
            <w14:solidFill>
              <w14:schemeClr w14:val="tx1"/>
            </w14:solidFill>
          </w14:textFill>
        </w:rPr>
        <w:t>大于10m/s。</w:t>
      </w:r>
    </w:p>
    <w:p w14:paraId="4C488890">
      <w:pPr>
        <w:pStyle w:val="3"/>
        <w:spacing w:line="360" w:lineRule="auto"/>
        <w:rPr>
          <w:rFonts w:ascii="宋体" w:hAnsi="宋体"/>
          <w:sz w:val="28"/>
          <w:szCs w:val="28"/>
        </w:rPr>
      </w:pPr>
      <w:bookmarkStart w:id="86" w:name="_Toc151062987"/>
      <w:bookmarkStart w:id="87" w:name="_Toc151063124"/>
      <w:bookmarkStart w:id="88" w:name="_Toc151061858"/>
      <w:bookmarkStart w:id="89" w:name="_Toc151062656"/>
      <w:r>
        <w:rPr>
          <w:rFonts w:hint="eastAsia" w:ascii="宋体" w:hAnsi="宋体"/>
          <w:sz w:val="28"/>
          <w:szCs w:val="28"/>
        </w:rPr>
        <w:t>5</w:t>
      </w:r>
      <w:r>
        <w:rPr>
          <w:rFonts w:ascii="宋体" w:hAnsi="宋体"/>
          <w:sz w:val="28"/>
          <w:szCs w:val="28"/>
        </w:rPr>
        <w:t>.</w:t>
      </w:r>
      <w:r>
        <w:rPr>
          <w:rFonts w:hint="eastAsia" w:ascii="宋体" w:hAnsi="宋体"/>
          <w:sz w:val="28"/>
          <w:szCs w:val="28"/>
        </w:rPr>
        <w:t>6</w:t>
      </w:r>
      <w:r>
        <w:rPr>
          <w:rFonts w:ascii="宋体" w:hAnsi="宋体"/>
          <w:sz w:val="28"/>
          <w:szCs w:val="28"/>
        </w:rPr>
        <w:t xml:space="preserve">  火灾自动报警系统</w:t>
      </w:r>
      <w:bookmarkEnd w:id="86"/>
      <w:bookmarkEnd w:id="87"/>
      <w:bookmarkEnd w:id="88"/>
      <w:bookmarkEnd w:id="89"/>
    </w:p>
    <w:p w14:paraId="7D61DB80">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w:t>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6</w:t>
      </w:r>
      <w:r>
        <w:rPr>
          <w:rFonts w:ascii="宋体" w:hAnsi="宋体"/>
          <w:color w:val="000000" w:themeColor="text1"/>
          <w:sz w:val="28"/>
          <w:szCs w:val="28"/>
          <w14:textFill>
            <w14:solidFill>
              <w14:schemeClr w14:val="tx1"/>
            </w14:solidFill>
          </w14:textFill>
        </w:rPr>
        <w:t xml:space="preserve">.1  </w:t>
      </w:r>
      <w:r>
        <w:rPr>
          <w:rFonts w:hint="eastAsia" w:ascii="宋体" w:hAnsi="宋体"/>
          <w:color w:val="000000" w:themeColor="text1"/>
          <w:sz w:val="28"/>
          <w:szCs w:val="28"/>
          <w14:textFill>
            <w14:solidFill>
              <w14:schemeClr w14:val="tx1"/>
            </w14:solidFill>
          </w14:textFill>
        </w:rPr>
        <w:t>既有建筑</w:t>
      </w:r>
      <w:r>
        <w:rPr>
          <w:rFonts w:ascii="宋体" w:hAnsi="宋体"/>
          <w:color w:val="000000" w:themeColor="text1"/>
          <w:sz w:val="28"/>
          <w:szCs w:val="28"/>
          <w14:textFill>
            <w14:solidFill>
              <w14:schemeClr w14:val="tx1"/>
            </w14:solidFill>
          </w14:textFill>
        </w:rPr>
        <w:t>改造</w:t>
      </w:r>
      <w:r>
        <w:rPr>
          <w:rFonts w:hint="eastAsia" w:ascii="宋体" w:hAnsi="宋体"/>
          <w:color w:val="000000" w:themeColor="text1"/>
          <w:sz w:val="28"/>
          <w:szCs w:val="28"/>
          <w14:textFill>
            <w14:solidFill>
              <w14:schemeClr w14:val="tx1"/>
            </w14:solidFill>
          </w14:textFill>
        </w:rPr>
        <w:t>中新增</w:t>
      </w:r>
      <w:r>
        <w:rPr>
          <w:rFonts w:ascii="宋体" w:hAnsi="宋体"/>
          <w:color w:val="000000" w:themeColor="text1"/>
          <w:sz w:val="28"/>
          <w:szCs w:val="28"/>
          <w14:textFill>
            <w14:solidFill>
              <w14:schemeClr w14:val="tx1"/>
            </w14:solidFill>
          </w14:textFill>
        </w:rPr>
        <w:t>的火灾自动报警系统应</w:t>
      </w:r>
      <w:r>
        <w:rPr>
          <w:rFonts w:hint="eastAsia" w:ascii="宋体" w:hAnsi="宋体"/>
          <w:color w:val="000000" w:themeColor="text1"/>
          <w:sz w:val="28"/>
          <w:szCs w:val="28"/>
          <w14:textFill>
            <w14:solidFill>
              <w14:schemeClr w14:val="tx1"/>
            </w14:solidFill>
          </w14:textFill>
        </w:rPr>
        <w:t>符合国家现行相关标准的规定，可</w:t>
      </w:r>
      <w:r>
        <w:rPr>
          <w:rFonts w:ascii="宋体" w:hAnsi="宋体"/>
          <w:color w:val="000000" w:themeColor="text1"/>
          <w:sz w:val="28"/>
          <w:szCs w:val="28"/>
          <w14:textFill>
            <w14:solidFill>
              <w14:schemeClr w14:val="tx1"/>
            </w14:solidFill>
          </w14:textFill>
        </w:rPr>
        <w:t>接入原系统</w:t>
      </w:r>
      <w:r>
        <w:rPr>
          <w:rFonts w:hint="eastAsia" w:ascii="宋体" w:hAnsi="宋体"/>
          <w:color w:val="000000" w:themeColor="text1"/>
          <w:sz w:val="28"/>
          <w:szCs w:val="28"/>
          <w14:textFill>
            <w14:solidFill>
              <w14:schemeClr w14:val="tx1"/>
            </w14:solidFill>
          </w14:textFill>
        </w:rPr>
        <w:t>或独立设置</w:t>
      </w:r>
      <w:r>
        <w:rPr>
          <w:rFonts w:ascii="宋体" w:hAnsi="宋体"/>
          <w:color w:val="000000" w:themeColor="text1"/>
          <w:sz w:val="28"/>
          <w:szCs w:val="28"/>
          <w14:textFill>
            <w14:solidFill>
              <w14:schemeClr w14:val="tx1"/>
            </w14:solidFill>
          </w14:textFill>
        </w:rPr>
        <w:t>，并应</w:t>
      </w:r>
      <w:r>
        <w:rPr>
          <w:rFonts w:hint="eastAsia" w:ascii="宋体" w:hAnsi="宋体"/>
          <w:color w:val="000000" w:themeColor="text1"/>
          <w:sz w:val="28"/>
          <w:szCs w:val="28"/>
          <w14:textFill>
            <w14:solidFill>
              <w14:schemeClr w14:val="tx1"/>
            </w14:solidFill>
          </w14:textFill>
        </w:rPr>
        <w:t>满足</w:t>
      </w:r>
      <w:r>
        <w:rPr>
          <w:rFonts w:ascii="宋体" w:hAnsi="宋体"/>
          <w:color w:val="000000" w:themeColor="text1"/>
          <w:sz w:val="28"/>
          <w:szCs w:val="28"/>
          <w14:textFill>
            <w14:solidFill>
              <w14:schemeClr w14:val="tx1"/>
            </w14:solidFill>
          </w14:textFill>
        </w:rPr>
        <w:t>下列要求:</w:t>
      </w:r>
    </w:p>
    <w:p w14:paraId="2AADF4E1">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1 当采用区域报警系统时，火灾报警控制器可设置在改造区域内，报警信号</w:t>
      </w:r>
      <w:r>
        <w:rPr>
          <w:rFonts w:hint="eastAsia" w:ascii="宋体" w:hAnsi="宋体"/>
          <w:color w:val="000000" w:themeColor="text1"/>
          <w:sz w:val="28"/>
          <w:szCs w:val="28"/>
          <w14:textFill>
            <w14:solidFill>
              <w14:schemeClr w14:val="tx1"/>
            </w14:solidFill>
          </w14:textFill>
        </w:rPr>
        <w:t>应</w:t>
      </w:r>
      <w:r>
        <w:rPr>
          <w:rFonts w:ascii="宋体" w:hAnsi="宋体"/>
          <w:color w:val="000000" w:themeColor="text1"/>
          <w:sz w:val="28"/>
          <w:szCs w:val="28"/>
          <w14:textFill>
            <w14:solidFill>
              <w14:schemeClr w14:val="tx1"/>
            </w14:solidFill>
          </w14:textFill>
        </w:rPr>
        <w:t>送至有人值班场所；</w:t>
      </w:r>
    </w:p>
    <w:p w14:paraId="36F88CE4">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2 当采用集中报警系统时，火灾报警系统各主机设备应设置在消防控制室。</w:t>
      </w:r>
    </w:p>
    <w:p w14:paraId="6EC2406C">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w:t>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6</w:t>
      </w:r>
      <w:r>
        <w:rPr>
          <w:rFonts w:ascii="宋体" w:hAnsi="宋体"/>
          <w:color w:val="000000" w:themeColor="text1"/>
          <w:sz w:val="28"/>
          <w:szCs w:val="28"/>
          <w14:textFill>
            <w14:solidFill>
              <w14:schemeClr w14:val="tx1"/>
            </w14:solidFill>
          </w14:textFill>
        </w:rPr>
        <w:t>.2  公共建筑改造新增的可能散发可燃气体、可燃蒸气的场所应设置可燃气 体</w:t>
      </w:r>
      <w:r>
        <w:rPr>
          <w:rFonts w:hint="eastAsia" w:ascii="宋体" w:hAnsi="宋体"/>
          <w:color w:val="000000" w:themeColor="text1"/>
          <w:sz w:val="28"/>
          <w:szCs w:val="28"/>
          <w14:textFill>
            <w14:solidFill>
              <w14:schemeClr w14:val="tx1"/>
            </w14:solidFill>
          </w14:textFill>
        </w:rPr>
        <w:t>探测</w:t>
      </w:r>
      <w:r>
        <w:rPr>
          <w:rFonts w:ascii="宋体" w:hAnsi="宋体"/>
          <w:color w:val="000000" w:themeColor="text1"/>
          <w:sz w:val="28"/>
          <w:szCs w:val="28"/>
          <w14:textFill>
            <w14:solidFill>
              <w14:schemeClr w14:val="tx1"/>
            </w14:solidFill>
          </w14:textFill>
        </w:rPr>
        <w:t>报警系统或装置</w:t>
      </w: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14:textFill>
            <w14:solidFill>
              <w14:schemeClr w14:val="tx1"/>
            </w14:solidFill>
          </w14:textFill>
        </w:rPr>
        <w:t>可燃气体</w:t>
      </w:r>
      <w:r>
        <w:rPr>
          <w:rFonts w:hint="eastAsia" w:ascii="宋体" w:hAnsi="宋体"/>
          <w:color w:val="000000" w:themeColor="text1"/>
          <w:sz w:val="28"/>
          <w:szCs w:val="28"/>
          <w14:textFill>
            <w14:solidFill>
              <w14:schemeClr w14:val="tx1"/>
            </w14:solidFill>
          </w14:textFill>
        </w:rPr>
        <w:t>探测</w:t>
      </w:r>
      <w:r>
        <w:rPr>
          <w:rFonts w:ascii="宋体" w:hAnsi="宋体"/>
          <w:color w:val="000000" w:themeColor="text1"/>
          <w:sz w:val="28"/>
          <w:szCs w:val="28"/>
          <w14:textFill>
            <w14:solidFill>
              <w14:schemeClr w14:val="tx1"/>
            </w14:solidFill>
          </w14:textFill>
        </w:rPr>
        <w:t>报警系统</w:t>
      </w:r>
      <w:r>
        <w:rPr>
          <w:rFonts w:hint="eastAsia" w:ascii="宋体" w:hAnsi="宋体"/>
          <w:color w:val="000000" w:themeColor="text1"/>
          <w:sz w:val="28"/>
          <w:szCs w:val="28"/>
          <w14:textFill>
            <w14:solidFill>
              <w14:schemeClr w14:val="tx1"/>
            </w14:solidFill>
          </w14:textFill>
        </w:rPr>
        <w:t>或装置应</w:t>
      </w:r>
      <w:r>
        <w:rPr>
          <w:rFonts w:ascii="宋体" w:hAnsi="宋体"/>
          <w:color w:val="000000" w:themeColor="text1"/>
          <w:sz w:val="28"/>
          <w:szCs w:val="28"/>
          <w14:textFill>
            <w14:solidFill>
              <w14:schemeClr w14:val="tx1"/>
            </w14:solidFill>
          </w14:textFill>
        </w:rPr>
        <w:t>具备</w:t>
      </w:r>
      <w:r>
        <w:rPr>
          <w:rFonts w:hint="eastAsia" w:ascii="宋体" w:hAnsi="宋体"/>
          <w:color w:val="000000" w:themeColor="text1"/>
          <w:sz w:val="28"/>
          <w:szCs w:val="28"/>
          <w14:textFill>
            <w14:solidFill>
              <w14:schemeClr w14:val="tx1"/>
            </w14:solidFill>
          </w14:textFill>
        </w:rPr>
        <w:t>自动连锁关闭燃气自动切断阀并启动机械通风设施</w:t>
      </w:r>
      <w:r>
        <w:rPr>
          <w:rFonts w:ascii="宋体" w:hAnsi="宋体"/>
          <w:color w:val="000000" w:themeColor="text1"/>
          <w:sz w:val="28"/>
          <w:szCs w:val="28"/>
          <w14:textFill>
            <w14:solidFill>
              <w14:schemeClr w14:val="tx1"/>
            </w14:solidFill>
          </w14:textFill>
        </w:rPr>
        <w:t>的功能。</w:t>
      </w:r>
    </w:p>
    <w:p w14:paraId="69F2B58E">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5.6</w:t>
      </w:r>
      <w:r>
        <w:rPr>
          <w:rFonts w:ascii="宋体" w:hAnsi="宋体"/>
          <w:color w:val="000000" w:themeColor="text1"/>
          <w:sz w:val="28"/>
          <w:szCs w:val="28"/>
          <w14:textFill>
            <w14:solidFill>
              <w14:schemeClr w14:val="tx1"/>
            </w14:solidFill>
          </w14:textFill>
        </w:rPr>
        <w:t>.3  改造区域内应根据</w:t>
      </w:r>
      <w:r>
        <w:rPr>
          <w:rFonts w:hint="eastAsia" w:ascii="宋体" w:hAnsi="宋体"/>
          <w:color w:val="000000" w:themeColor="text1"/>
          <w:sz w:val="28"/>
          <w:szCs w:val="28"/>
          <w14:textFill>
            <w14:solidFill>
              <w14:schemeClr w14:val="tx1"/>
            </w14:solidFill>
          </w14:textFill>
        </w:rPr>
        <w:t>国家</w:t>
      </w:r>
      <w:r>
        <w:rPr>
          <w:rFonts w:ascii="宋体" w:hAnsi="宋体"/>
          <w:color w:val="000000" w:themeColor="text1"/>
          <w:sz w:val="28"/>
          <w:szCs w:val="28"/>
          <w14:textFill>
            <w14:solidFill>
              <w14:schemeClr w14:val="tx1"/>
            </w14:solidFill>
          </w14:textFill>
        </w:rPr>
        <w:t>现行</w:t>
      </w:r>
      <w:r>
        <w:rPr>
          <w:rFonts w:hint="eastAsia" w:ascii="宋体" w:hAnsi="宋体"/>
          <w:color w:val="000000" w:themeColor="text1"/>
          <w:sz w:val="28"/>
          <w:szCs w:val="28"/>
          <w14:textFill>
            <w14:solidFill>
              <w14:schemeClr w14:val="tx1"/>
            </w14:solidFill>
          </w14:textFill>
        </w:rPr>
        <w:t>相关</w:t>
      </w:r>
      <w:r>
        <w:rPr>
          <w:rFonts w:ascii="宋体" w:hAnsi="宋体"/>
          <w:color w:val="000000" w:themeColor="text1"/>
          <w:sz w:val="28"/>
          <w:szCs w:val="28"/>
          <w14:textFill>
            <w14:solidFill>
              <w14:schemeClr w14:val="tx1"/>
            </w14:solidFill>
          </w14:textFill>
        </w:rPr>
        <w:t>标准设置火灾警报装置及消防应急广播。</w:t>
      </w:r>
    </w:p>
    <w:p w14:paraId="0F1A3BD4">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w:t>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6</w:t>
      </w:r>
      <w:r>
        <w:rPr>
          <w:rFonts w:ascii="宋体" w:hAnsi="宋体"/>
          <w:color w:val="000000" w:themeColor="text1"/>
          <w:sz w:val="28"/>
          <w:szCs w:val="28"/>
          <w14:textFill>
            <w14:solidFill>
              <w14:schemeClr w14:val="tx1"/>
            </w14:solidFill>
          </w14:textFill>
        </w:rPr>
        <w:t xml:space="preserve">.4  </w:t>
      </w:r>
      <w:r>
        <w:rPr>
          <w:rFonts w:hint="eastAsia" w:ascii="宋体" w:hAnsi="宋体"/>
          <w:color w:val="000000" w:themeColor="text1"/>
          <w:sz w:val="28"/>
          <w:szCs w:val="28"/>
          <w14:textFill>
            <w14:solidFill>
              <w14:schemeClr w14:val="tx1"/>
            </w14:solidFill>
          </w14:textFill>
        </w:rPr>
        <w:t>在</w:t>
      </w:r>
      <w:r>
        <w:rPr>
          <w:rFonts w:ascii="宋体" w:hAnsi="宋体"/>
          <w:color w:val="000000" w:themeColor="text1"/>
          <w:sz w:val="28"/>
          <w:szCs w:val="28"/>
          <w14:textFill>
            <w14:solidFill>
              <w14:schemeClr w14:val="tx1"/>
            </w14:solidFill>
          </w14:textFill>
        </w:rPr>
        <w:t>E类或F类</w:t>
      </w:r>
      <w:r>
        <w:rPr>
          <w:rFonts w:hint="eastAsia" w:ascii="宋体" w:hAnsi="宋体"/>
          <w:color w:val="000000" w:themeColor="text1"/>
          <w:sz w:val="28"/>
          <w:szCs w:val="28"/>
          <w14:textFill>
            <w14:solidFill>
              <w14:schemeClr w14:val="tx1"/>
            </w14:solidFill>
          </w14:textFill>
        </w:rPr>
        <w:t>火灾危险</w:t>
      </w:r>
      <w:r>
        <w:rPr>
          <w:rFonts w:ascii="宋体" w:hAnsi="宋体"/>
          <w:color w:val="000000" w:themeColor="text1"/>
          <w:sz w:val="28"/>
          <w:szCs w:val="28"/>
          <w14:textFill>
            <w14:solidFill>
              <w14:schemeClr w14:val="tx1"/>
            </w14:solidFill>
          </w14:textFill>
        </w:rPr>
        <w:t>场所</w:t>
      </w:r>
      <w:r>
        <w:rPr>
          <w:rFonts w:hint="eastAsia" w:ascii="宋体" w:hAnsi="宋体"/>
          <w:color w:val="000000" w:themeColor="text1"/>
          <w:sz w:val="28"/>
          <w:szCs w:val="28"/>
          <w14:textFill>
            <w14:solidFill>
              <w14:schemeClr w14:val="tx1"/>
            </w14:solidFill>
          </w14:textFill>
        </w:rPr>
        <w:t>设置的</w:t>
      </w:r>
      <w:r>
        <w:rPr>
          <w:rFonts w:ascii="宋体" w:hAnsi="宋体"/>
          <w:color w:val="000000" w:themeColor="text1"/>
          <w:sz w:val="28"/>
          <w:szCs w:val="28"/>
          <w14:textFill>
            <w14:solidFill>
              <w14:schemeClr w14:val="tx1"/>
            </w14:solidFill>
          </w14:textFill>
        </w:rPr>
        <w:t>火灾声警报器应</w:t>
      </w:r>
      <w:r>
        <w:rPr>
          <w:rFonts w:hint="eastAsia" w:ascii="宋体" w:hAnsi="宋体"/>
          <w:color w:val="000000" w:themeColor="text1"/>
          <w:sz w:val="28"/>
          <w:szCs w:val="28"/>
          <w14:textFill>
            <w14:solidFill>
              <w14:schemeClr w14:val="tx1"/>
            </w14:solidFill>
          </w14:textFill>
        </w:rPr>
        <w:t>具</w:t>
      </w:r>
      <w:r>
        <w:rPr>
          <w:rFonts w:ascii="宋体" w:hAnsi="宋体"/>
          <w:color w:val="000000" w:themeColor="text1"/>
          <w:sz w:val="28"/>
          <w:szCs w:val="28"/>
          <w14:textFill>
            <w14:solidFill>
              <w14:schemeClr w14:val="tx1"/>
            </w14:solidFill>
          </w14:textFill>
        </w:rPr>
        <w:t>有语音提示功能，并应同时设置语音同步器。</w:t>
      </w:r>
    </w:p>
    <w:p w14:paraId="58CC57D4">
      <w:pPr>
        <w:widowControl/>
        <w:snapToGrid w:val="0"/>
        <w:spacing w:line="300" w:lineRule="auto"/>
        <w:jc w:val="left"/>
        <w:rPr>
          <w:rFonts w:ascii="宋体" w:hAnsi="宋体"/>
          <w:color w:val="000000" w:themeColor="text1"/>
          <w:sz w:val="28"/>
          <w:szCs w:val="28"/>
          <w14:textFill>
            <w14:solidFill>
              <w14:schemeClr w14:val="tx1"/>
            </w14:solidFill>
          </w14:textFill>
        </w:rPr>
      </w:pPr>
    </w:p>
    <w:p w14:paraId="771A5606">
      <w:pPr>
        <w:widowControl/>
        <w:snapToGrid w:val="0"/>
        <w:spacing w:line="300" w:lineRule="auto"/>
        <w:jc w:val="left"/>
        <w:rPr>
          <w:rFonts w:ascii="宋体" w:hAnsi="宋体"/>
          <w:color w:val="000000" w:themeColor="text1"/>
          <w:sz w:val="28"/>
          <w:szCs w:val="28"/>
          <w14:textFill>
            <w14:solidFill>
              <w14:schemeClr w14:val="tx1"/>
            </w14:solidFill>
          </w14:textFill>
        </w:rPr>
      </w:pPr>
    </w:p>
    <w:p w14:paraId="13C7459F">
      <w:pPr>
        <w:widowControl/>
        <w:snapToGrid w:val="0"/>
        <w:spacing w:line="300" w:lineRule="auto"/>
        <w:jc w:val="left"/>
        <w:rPr>
          <w:rFonts w:ascii="宋体" w:hAnsi="宋体"/>
          <w:color w:val="000000" w:themeColor="text1"/>
          <w:sz w:val="28"/>
          <w:szCs w:val="28"/>
          <w14:textFill>
            <w14:solidFill>
              <w14:schemeClr w14:val="tx1"/>
            </w14:solidFill>
          </w14:textFill>
        </w:rPr>
      </w:pPr>
    </w:p>
    <w:p w14:paraId="6F8861B3">
      <w:pPr>
        <w:widowControl/>
        <w:snapToGrid w:val="0"/>
        <w:spacing w:line="300" w:lineRule="auto"/>
        <w:jc w:val="left"/>
        <w:rPr>
          <w:rFonts w:ascii="宋体" w:hAnsi="宋体"/>
          <w:color w:val="000000" w:themeColor="text1"/>
          <w:sz w:val="28"/>
          <w:szCs w:val="28"/>
          <w14:textFill>
            <w14:solidFill>
              <w14:schemeClr w14:val="tx1"/>
            </w14:solidFill>
          </w14:textFill>
        </w:rPr>
      </w:pPr>
    </w:p>
    <w:p w14:paraId="62AEC507">
      <w:pPr>
        <w:widowControl/>
        <w:snapToGrid w:val="0"/>
        <w:spacing w:line="300" w:lineRule="auto"/>
        <w:jc w:val="left"/>
        <w:rPr>
          <w:rFonts w:ascii="宋体" w:hAnsi="宋体"/>
          <w:color w:val="000000" w:themeColor="text1"/>
          <w:sz w:val="28"/>
          <w:szCs w:val="28"/>
          <w14:textFill>
            <w14:solidFill>
              <w14:schemeClr w14:val="tx1"/>
            </w14:solidFill>
          </w14:textFill>
        </w:rPr>
      </w:pPr>
    </w:p>
    <w:p w14:paraId="6759832E">
      <w:pPr>
        <w:widowControl/>
        <w:snapToGrid w:val="0"/>
        <w:spacing w:line="300" w:lineRule="auto"/>
        <w:jc w:val="left"/>
        <w:rPr>
          <w:rFonts w:ascii="宋体" w:hAnsi="宋体"/>
          <w:color w:val="000000" w:themeColor="text1"/>
          <w:sz w:val="28"/>
          <w:szCs w:val="28"/>
          <w14:textFill>
            <w14:solidFill>
              <w14:schemeClr w14:val="tx1"/>
            </w14:solidFill>
          </w14:textFill>
        </w:rPr>
      </w:pPr>
    </w:p>
    <w:p w14:paraId="1BEBF23C">
      <w:pPr>
        <w:widowControl/>
        <w:snapToGrid w:val="0"/>
        <w:spacing w:line="300" w:lineRule="auto"/>
        <w:jc w:val="left"/>
        <w:rPr>
          <w:rFonts w:ascii="宋体" w:hAnsi="宋体"/>
          <w:color w:val="000000" w:themeColor="text1"/>
          <w:sz w:val="28"/>
          <w:szCs w:val="28"/>
          <w14:textFill>
            <w14:solidFill>
              <w14:schemeClr w14:val="tx1"/>
            </w14:solidFill>
          </w14:textFill>
        </w:rPr>
      </w:pPr>
    </w:p>
    <w:p w14:paraId="08DC0C87">
      <w:pPr>
        <w:widowControl/>
        <w:snapToGrid w:val="0"/>
        <w:spacing w:line="300" w:lineRule="auto"/>
        <w:jc w:val="left"/>
        <w:rPr>
          <w:rFonts w:ascii="宋体" w:hAnsi="宋体"/>
          <w:color w:val="000000" w:themeColor="text1"/>
          <w:sz w:val="28"/>
          <w:szCs w:val="28"/>
          <w14:textFill>
            <w14:solidFill>
              <w14:schemeClr w14:val="tx1"/>
            </w14:solidFill>
          </w14:textFill>
        </w:rPr>
      </w:pPr>
    </w:p>
    <w:p w14:paraId="61BAF919">
      <w:pPr>
        <w:widowControl/>
        <w:snapToGrid w:val="0"/>
        <w:spacing w:line="300" w:lineRule="auto"/>
        <w:jc w:val="left"/>
        <w:rPr>
          <w:rFonts w:ascii="宋体" w:hAnsi="宋体"/>
          <w:color w:val="000000" w:themeColor="text1"/>
          <w:sz w:val="28"/>
          <w:szCs w:val="28"/>
          <w14:textFill>
            <w14:solidFill>
              <w14:schemeClr w14:val="tx1"/>
            </w14:solidFill>
          </w14:textFill>
        </w:rPr>
      </w:pPr>
    </w:p>
    <w:p w14:paraId="35918461">
      <w:pPr>
        <w:widowControl/>
        <w:snapToGrid w:val="0"/>
        <w:spacing w:line="300" w:lineRule="auto"/>
        <w:jc w:val="left"/>
        <w:rPr>
          <w:rFonts w:ascii="宋体" w:hAnsi="宋体"/>
          <w:color w:val="000000" w:themeColor="text1"/>
          <w:sz w:val="28"/>
          <w:szCs w:val="28"/>
          <w14:textFill>
            <w14:solidFill>
              <w14:schemeClr w14:val="tx1"/>
            </w14:solidFill>
          </w14:textFill>
        </w:rPr>
      </w:pPr>
    </w:p>
    <w:p w14:paraId="53CB1C26">
      <w:pPr>
        <w:widowControl/>
        <w:snapToGrid w:val="0"/>
        <w:spacing w:line="300" w:lineRule="auto"/>
        <w:jc w:val="left"/>
        <w:rPr>
          <w:rFonts w:ascii="宋体" w:hAnsi="宋体"/>
          <w:color w:val="000000" w:themeColor="text1"/>
          <w:sz w:val="28"/>
          <w:szCs w:val="28"/>
          <w14:textFill>
            <w14:solidFill>
              <w14:schemeClr w14:val="tx1"/>
            </w14:solidFill>
          </w14:textFill>
        </w:rPr>
      </w:pPr>
    </w:p>
    <w:p w14:paraId="2F6A24D7">
      <w:pPr>
        <w:pStyle w:val="3"/>
        <w:spacing w:line="360" w:lineRule="auto"/>
        <w:rPr>
          <w:sz w:val="36"/>
          <w:szCs w:val="36"/>
        </w:rPr>
      </w:pPr>
      <w:bookmarkStart w:id="90" w:name="_Toc151061859"/>
      <w:bookmarkStart w:id="91" w:name="_Toc151063125"/>
      <w:bookmarkStart w:id="92" w:name="_Toc151062988"/>
      <w:bookmarkStart w:id="93" w:name="_Toc151062657"/>
      <w:r>
        <w:rPr>
          <w:rFonts w:hint="eastAsia"/>
          <w:sz w:val="36"/>
          <w:szCs w:val="36"/>
        </w:rPr>
        <w:t>6</w:t>
      </w:r>
      <w:r>
        <w:rPr>
          <w:sz w:val="36"/>
          <w:szCs w:val="36"/>
        </w:rPr>
        <w:t xml:space="preserve">  消防电气</w:t>
      </w:r>
      <w:bookmarkEnd w:id="90"/>
      <w:bookmarkEnd w:id="91"/>
      <w:bookmarkEnd w:id="92"/>
      <w:bookmarkEnd w:id="93"/>
    </w:p>
    <w:p w14:paraId="5547291D">
      <w:pPr>
        <w:pStyle w:val="3"/>
        <w:spacing w:line="360" w:lineRule="auto"/>
        <w:rPr>
          <w:rFonts w:ascii="宋体" w:hAnsi="宋体"/>
          <w:sz w:val="28"/>
          <w:szCs w:val="28"/>
        </w:rPr>
      </w:pPr>
      <w:bookmarkStart w:id="94" w:name="_Toc151062658"/>
      <w:bookmarkStart w:id="95" w:name="_Toc151063126"/>
      <w:bookmarkStart w:id="96" w:name="_Toc151061860"/>
      <w:bookmarkStart w:id="97" w:name="_Toc151062989"/>
      <w:r>
        <w:rPr>
          <w:rFonts w:hint="eastAsia" w:ascii="宋体" w:hAnsi="宋体"/>
          <w:sz w:val="28"/>
          <w:szCs w:val="28"/>
        </w:rPr>
        <w:t>6</w:t>
      </w:r>
      <w:r>
        <w:rPr>
          <w:rFonts w:ascii="宋体" w:hAnsi="宋体"/>
          <w:sz w:val="28"/>
          <w:szCs w:val="28"/>
        </w:rPr>
        <w:t>.1  消防电源及其配电</w:t>
      </w:r>
      <w:bookmarkEnd w:id="94"/>
      <w:bookmarkEnd w:id="95"/>
      <w:bookmarkEnd w:id="96"/>
      <w:bookmarkEnd w:id="97"/>
    </w:p>
    <w:p w14:paraId="29EF81CC">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6</w:t>
      </w:r>
      <w:r>
        <w:rPr>
          <w:rFonts w:ascii="宋体" w:hAnsi="宋体"/>
          <w:color w:val="000000" w:themeColor="text1"/>
          <w:sz w:val="28"/>
          <w:szCs w:val="28"/>
          <w14:textFill>
            <w14:solidFill>
              <w14:schemeClr w14:val="tx1"/>
            </w14:solidFill>
          </w14:textFill>
        </w:rPr>
        <w:t>.1.1  改造区域内的消防电源及其配电系统、消防电线电缆选型及敷设应满足</w:t>
      </w:r>
      <w:r>
        <w:rPr>
          <w:rFonts w:hint="eastAsia" w:ascii="宋体" w:hAnsi="宋体"/>
          <w:color w:val="000000" w:themeColor="text1"/>
          <w:sz w:val="28"/>
          <w:szCs w:val="28"/>
          <w14:textFill>
            <w14:solidFill>
              <w14:schemeClr w14:val="tx1"/>
            </w14:solidFill>
          </w14:textFill>
        </w:rPr>
        <w:t>国家</w:t>
      </w:r>
      <w:r>
        <w:rPr>
          <w:rFonts w:ascii="宋体" w:hAnsi="宋体"/>
          <w:color w:val="000000" w:themeColor="text1"/>
          <w:sz w:val="28"/>
          <w:szCs w:val="28"/>
          <w14:textFill>
            <w14:solidFill>
              <w14:schemeClr w14:val="tx1"/>
            </w14:solidFill>
          </w14:textFill>
        </w:rPr>
        <w:t>现行</w:t>
      </w:r>
      <w:r>
        <w:rPr>
          <w:rFonts w:hint="eastAsia" w:ascii="宋体" w:hAnsi="宋体"/>
          <w:color w:val="000000" w:themeColor="text1"/>
          <w:sz w:val="28"/>
          <w:szCs w:val="28"/>
          <w14:textFill>
            <w14:solidFill>
              <w14:schemeClr w14:val="tx1"/>
            </w14:solidFill>
          </w14:textFill>
        </w:rPr>
        <w:t>相关</w:t>
      </w:r>
      <w:r>
        <w:rPr>
          <w:rFonts w:ascii="宋体" w:hAnsi="宋体"/>
          <w:color w:val="000000" w:themeColor="text1"/>
          <w:sz w:val="28"/>
          <w:szCs w:val="28"/>
          <w14:textFill>
            <w14:solidFill>
              <w14:schemeClr w14:val="tx1"/>
            </w14:solidFill>
          </w14:textFill>
        </w:rPr>
        <w:t>标准的要求。</w:t>
      </w:r>
    </w:p>
    <w:p w14:paraId="0C9ADD61">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6</w:t>
      </w:r>
      <w:r>
        <w:rPr>
          <w:rFonts w:ascii="宋体" w:hAnsi="宋体"/>
          <w:color w:val="000000" w:themeColor="text1"/>
          <w:sz w:val="28"/>
          <w:szCs w:val="28"/>
          <w14:textFill>
            <w14:solidFill>
              <w14:schemeClr w14:val="tx1"/>
            </w14:solidFill>
          </w14:textFill>
        </w:rPr>
        <w:t>.1.2  当市政电源不能满足消防设备的供电要求时，</w:t>
      </w:r>
      <w:r>
        <w:rPr>
          <w:rFonts w:hint="eastAsia" w:ascii="宋体" w:hAnsi="宋体"/>
          <w:color w:val="000000" w:themeColor="text1"/>
          <w:sz w:val="28"/>
          <w:szCs w:val="28"/>
          <w14:textFill>
            <w14:solidFill>
              <w14:schemeClr w14:val="tx1"/>
            </w14:solidFill>
          </w14:textFill>
        </w:rPr>
        <w:t>应</w:t>
      </w:r>
      <w:r>
        <w:rPr>
          <w:rFonts w:ascii="宋体" w:hAnsi="宋体"/>
          <w:color w:val="000000" w:themeColor="text1"/>
          <w:sz w:val="28"/>
          <w:szCs w:val="28"/>
          <w14:textFill>
            <w14:solidFill>
              <w14:schemeClr w14:val="tx1"/>
            </w14:solidFill>
          </w14:textFill>
        </w:rPr>
        <w:t>采用独立于正常电源的自备发电机组作为应急电源</w:t>
      </w:r>
      <w:r>
        <w:rPr>
          <w:rFonts w:hint="eastAsia" w:ascii="宋体" w:hAnsi="宋体"/>
          <w:color w:val="000000" w:themeColor="text1"/>
          <w:sz w:val="28"/>
          <w:szCs w:val="28"/>
          <w14:textFill>
            <w14:solidFill>
              <w14:schemeClr w14:val="tx1"/>
            </w14:solidFill>
          </w14:textFill>
        </w:rPr>
        <w:t>，应急照明和疏散指示系统应采用蓄电池组作为备用电源</w:t>
      </w:r>
      <w:r>
        <w:rPr>
          <w:rFonts w:ascii="宋体" w:hAnsi="宋体"/>
          <w:color w:val="000000" w:themeColor="text1"/>
          <w:sz w:val="28"/>
          <w:szCs w:val="28"/>
          <w14:textFill>
            <w14:solidFill>
              <w14:schemeClr w14:val="tx1"/>
            </w14:solidFill>
          </w14:textFill>
        </w:rPr>
        <w:t>。</w:t>
      </w:r>
    </w:p>
    <w:p w14:paraId="7DC54819">
      <w:pPr>
        <w:pStyle w:val="3"/>
        <w:spacing w:line="360" w:lineRule="auto"/>
        <w:rPr>
          <w:rFonts w:ascii="宋体" w:hAnsi="宋体"/>
          <w:sz w:val="28"/>
          <w:szCs w:val="28"/>
        </w:rPr>
      </w:pPr>
      <w:bookmarkStart w:id="98" w:name="bookmark26"/>
      <w:bookmarkEnd w:id="98"/>
      <w:bookmarkStart w:id="99" w:name="_Toc151062990"/>
      <w:bookmarkStart w:id="100" w:name="_Toc151063127"/>
      <w:bookmarkStart w:id="101" w:name="_Toc151062659"/>
      <w:bookmarkStart w:id="102" w:name="_Toc151061861"/>
      <w:r>
        <w:rPr>
          <w:rFonts w:hint="eastAsia" w:ascii="宋体" w:hAnsi="宋体"/>
          <w:sz w:val="28"/>
          <w:szCs w:val="28"/>
        </w:rPr>
        <w:t>6</w:t>
      </w:r>
      <w:r>
        <w:rPr>
          <w:rFonts w:ascii="宋体" w:hAnsi="宋体"/>
          <w:sz w:val="28"/>
          <w:szCs w:val="28"/>
        </w:rPr>
        <w:t>.2  消防应急照明和疏散指示系统</w:t>
      </w:r>
      <w:bookmarkEnd w:id="99"/>
      <w:bookmarkEnd w:id="100"/>
      <w:bookmarkEnd w:id="101"/>
      <w:bookmarkEnd w:id="102"/>
    </w:p>
    <w:p w14:paraId="5CB66BB5">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6</w:t>
      </w:r>
      <w:r>
        <w:rPr>
          <w:rFonts w:ascii="宋体" w:hAnsi="宋体"/>
          <w:color w:val="000000" w:themeColor="text1"/>
          <w:sz w:val="28"/>
          <w:szCs w:val="28"/>
          <w14:textFill>
            <w14:solidFill>
              <w14:schemeClr w14:val="tx1"/>
            </w14:solidFill>
          </w14:textFill>
        </w:rPr>
        <w:t>.2.1  改造</w:t>
      </w:r>
      <w:r>
        <w:rPr>
          <w:rFonts w:hint="eastAsia" w:ascii="宋体" w:hAnsi="宋体"/>
          <w:color w:val="000000" w:themeColor="text1"/>
          <w:sz w:val="28"/>
          <w:szCs w:val="28"/>
          <w14:textFill>
            <w14:solidFill>
              <w14:schemeClr w14:val="tx1"/>
            </w14:solidFill>
          </w14:textFill>
        </w:rPr>
        <w:t>区域</w:t>
      </w:r>
      <w:r>
        <w:rPr>
          <w:rFonts w:ascii="宋体" w:hAnsi="宋体"/>
          <w:color w:val="000000" w:themeColor="text1"/>
          <w:sz w:val="28"/>
          <w:szCs w:val="28"/>
          <w14:textFill>
            <w14:solidFill>
              <w14:schemeClr w14:val="tx1"/>
            </w14:solidFill>
          </w14:textFill>
        </w:rPr>
        <w:t>的应急照明和疏散标志灯具应接入原系统</w:t>
      </w:r>
      <w:r>
        <w:rPr>
          <w:rFonts w:hint="eastAsia" w:ascii="宋体" w:hAnsi="宋体"/>
          <w:color w:val="000000" w:themeColor="text1"/>
          <w:sz w:val="28"/>
          <w:szCs w:val="28"/>
          <w14:textFill>
            <w14:solidFill>
              <w14:schemeClr w14:val="tx1"/>
            </w14:solidFill>
          </w14:textFill>
        </w:rPr>
        <w:t>或独立设置</w:t>
      </w:r>
      <w:r>
        <w:rPr>
          <w:rFonts w:ascii="宋体" w:hAnsi="宋体"/>
          <w:color w:val="000000" w:themeColor="text1"/>
          <w:sz w:val="28"/>
          <w:szCs w:val="28"/>
          <w14:textFill>
            <w14:solidFill>
              <w14:schemeClr w14:val="tx1"/>
            </w14:solidFill>
          </w14:textFill>
        </w:rPr>
        <w:t>。应急照明和疏散标志灯具及其蓄电池电源应满足</w:t>
      </w:r>
      <w:r>
        <w:rPr>
          <w:rFonts w:hint="eastAsia" w:ascii="宋体" w:hAnsi="宋体"/>
          <w:color w:val="000000" w:themeColor="text1"/>
          <w:sz w:val="28"/>
          <w:szCs w:val="28"/>
          <w14:textFill>
            <w14:solidFill>
              <w14:schemeClr w14:val="tx1"/>
            </w14:solidFill>
          </w14:textFill>
        </w:rPr>
        <w:t>国家</w:t>
      </w:r>
      <w:r>
        <w:rPr>
          <w:rFonts w:ascii="宋体" w:hAnsi="宋体"/>
          <w:color w:val="000000" w:themeColor="text1"/>
          <w:sz w:val="28"/>
          <w:szCs w:val="28"/>
          <w14:textFill>
            <w14:solidFill>
              <w14:schemeClr w14:val="tx1"/>
            </w14:solidFill>
          </w14:textFill>
        </w:rPr>
        <w:t>现行</w:t>
      </w:r>
      <w:r>
        <w:rPr>
          <w:rFonts w:hint="eastAsia" w:ascii="宋体" w:hAnsi="宋体"/>
          <w:color w:val="000000" w:themeColor="text1"/>
          <w:sz w:val="28"/>
          <w:szCs w:val="28"/>
          <w14:textFill>
            <w14:solidFill>
              <w14:schemeClr w14:val="tx1"/>
            </w14:solidFill>
          </w14:textFill>
        </w:rPr>
        <w:t>相关</w:t>
      </w:r>
      <w:r>
        <w:rPr>
          <w:rFonts w:ascii="宋体" w:hAnsi="宋体"/>
          <w:color w:val="000000" w:themeColor="text1"/>
          <w:sz w:val="28"/>
          <w:szCs w:val="28"/>
          <w14:textFill>
            <w14:solidFill>
              <w14:schemeClr w14:val="tx1"/>
            </w14:solidFill>
          </w14:textFill>
        </w:rPr>
        <w:t>标准的要求。</w:t>
      </w:r>
    </w:p>
    <w:p w14:paraId="2BC69F1A">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6</w:t>
      </w:r>
      <w:r>
        <w:rPr>
          <w:rFonts w:ascii="宋体" w:hAnsi="宋体"/>
          <w:color w:val="000000" w:themeColor="text1"/>
          <w:sz w:val="28"/>
          <w:szCs w:val="28"/>
          <w14:textFill>
            <w14:solidFill>
              <w14:schemeClr w14:val="tx1"/>
            </w14:solidFill>
          </w14:textFill>
        </w:rPr>
        <w:t>.2.2  消防应急标志灯具不应采用蓄光型指示标志。</w:t>
      </w:r>
    </w:p>
    <w:p w14:paraId="05D5A487">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6</w:t>
      </w:r>
      <w:r>
        <w:rPr>
          <w:rFonts w:ascii="宋体" w:hAnsi="宋体"/>
          <w:color w:val="000000" w:themeColor="text1"/>
          <w:sz w:val="28"/>
          <w:szCs w:val="28"/>
          <w14:textFill>
            <w14:solidFill>
              <w14:schemeClr w14:val="tx1"/>
            </w14:solidFill>
          </w14:textFill>
        </w:rPr>
        <w:t>.2.3  E类或 F类的</w:t>
      </w:r>
      <w:r>
        <w:rPr>
          <w:rFonts w:hint="eastAsia" w:ascii="宋体" w:hAnsi="宋体"/>
          <w:color w:val="000000" w:themeColor="text1"/>
          <w:sz w:val="28"/>
          <w:szCs w:val="28"/>
          <w14:textFill>
            <w14:solidFill>
              <w14:schemeClr w14:val="tx1"/>
            </w14:solidFill>
          </w14:textFill>
        </w:rPr>
        <w:t>火灾危险场所</w:t>
      </w:r>
      <w:r>
        <w:rPr>
          <w:rFonts w:ascii="宋体" w:hAnsi="宋体"/>
          <w:color w:val="000000" w:themeColor="text1"/>
          <w:sz w:val="28"/>
          <w:szCs w:val="28"/>
          <w14:textFill>
            <w14:solidFill>
              <w14:schemeClr w14:val="tx1"/>
            </w14:solidFill>
          </w14:textFill>
        </w:rPr>
        <w:t>，疏散照明的地面最低水平照度不应低于</w:t>
      </w:r>
      <w:r>
        <w:rPr>
          <w:rFonts w:hint="eastAsia" w:ascii="宋体" w:hAnsi="宋体"/>
          <w:color w:val="000000" w:themeColor="text1"/>
          <w:sz w:val="28"/>
          <w:szCs w:val="28"/>
          <w14:textFill>
            <w14:solidFill>
              <w14:schemeClr w14:val="tx1"/>
            </w14:solidFill>
          </w14:textFill>
        </w:rPr>
        <w:t>1</w:t>
      </w:r>
      <w:r>
        <w:rPr>
          <w:rFonts w:ascii="宋体" w:hAnsi="宋体"/>
          <w:color w:val="000000" w:themeColor="text1"/>
          <w:sz w:val="28"/>
          <w:szCs w:val="28"/>
          <w14:textFill>
            <w14:solidFill>
              <w14:schemeClr w14:val="tx1"/>
            </w14:solidFill>
          </w14:textFill>
        </w:rPr>
        <w:t>0.0</w:t>
      </w:r>
      <w:r>
        <w:rPr>
          <w:rFonts w:hint="eastAsia" w:ascii="宋体" w:hAnsi="宋体"/>
          <w:color w:val="000000" w:themeColor="text1"/>
          <w:sz w:val="28"/>
          <w:szCs w:val="28"/>
          <w14:textFill>
            <w14:solidFill>
              <w14:schemeClr w14:val="tx1"/>
            </w14:solidFill>
          </w14:textFill>
        </w:rPr>
        <w:t>l</w:t>
      </w:r>
      <w:r>
        <w:rPr>
          <w:rFonts w:ascii="宋体" w:hAnsi="宋体"/>
          <w:color w:val="000000" w:themeColor="text1"/>
          <w:sz w:val="28"/>
          <w:szCs w:val="28"/>
          <w14:textFill>
            <w14:solidFill>
              <w14:schemeClr w14:val="tx1"/>
            </w14:solidFill>
          </w14:textFill>
        </w:rPr>
        <w:t>x。</w:t>
      </w:r>
    </w:p>
    <w:p w14:paraId="04EB72C3">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6</w:t>
      </w:r>
      <w:r>
        <w:rPr>
          <w:rFonts w:ascii="宋体" w:hAnsi="宋体"/>
          <w:color w:val="000000" w:themeColor="text1"/>
          <w:sz w:val="28"/>
          <w:szCs w:val="28"/>
          <w14:textFill>
            <w14:solidFill>
              <w14:schemeClr w14:val="tx1"/>
            </w14:solidFill>
          </w14:textFill>
        </w:rPr>
        <w:t>.2.4   F类</w:t>
      </w:r>
      <w:r>
        <w:rPr>
          <w:rFonts w:hint="eastAsia" w:ascii="宋体" w:hAnsi="宋体"/>
          <w:color w:val="000000" w:themeColor="text1"/>
          <w:sz w:val="28"/>
          <w:szCs w:val="28"/>
          <w14:textFill>
            <w14:solidFill>
              <w14:schemeClr w14:val="tx1"/>
            </w14:solidFill>
          </w14:textFill>
        </w:rPr>
        <w:t>火灾危险场所</w:t>
      </w:r>
      <w:r>
        <w:rPr>
          <w:rFonts w:ascii="宋体" w:hAnsi="宋体"/>
          <w:color w:val="000000" w:themeColor="text1"/>
          <w:sz w:val="28"/>
          <w:szCs w:val="28"/>
          <w14:textFill>
            <w14:solidFill>
              <w14:schemeClr w14:val="tx1"/>
            </w14:solidFill>
          </w14:textFill>
        </w:rPr>
        <w:t>，应急照明和疏散指示系统</w:t>
      </w:r>
      <w:r>
        <w:rPr>
          <w:rFonts w:hint="eastAsia" w:ascii="宋体" w:hAnsi="宋体"/>
          <w:color w:val="000000" w:themeColor="text1"/>
          <w:sz w:val="28"/>
          <w:szCs w:val="28"/>
          <w14:textFill>
            <w14:solidFill>
              <w14:schemeClr w14:val="tx1"/>
            </w14:solidFill>
          </w14:textFill>
        </w:rPr>
        <w:t>蓄电池</w:t>
      </w:r>
      <w:r>
        <w:rPr>
          <w:rFonts w:ascii="宋体" w:hAnsi="宋体"/>
          <w:color w:val="000000" w:themeColor="text1"/>
          <w:sz w:val="28"/>
          <w:szCs w:val="28"/>
          <w14:textFill>
            <w14:solidFill>
              <w14:schemeClr w14:val="tx1"/>
            </w14:solidFill>
          </w14:textFill>
        </w:rPr>
        <w:t>的连续供电时间不应少于1.00h。</w:t>
      </w:r>
    </w:p>
    <w:p w14:paraId="66E95AEE">
      <w:pPr>
        <w:pStyle w:val="3"/>
        <w:spacing w:line="360" w:lineRule="auto"/>
        <w:rPr>
          <w:rFonts w:ascii="宋体" w:hAnsi="宋体"/>
          <w:sz w:val="28"/>
          <w:szCs w:val="28"/>
        </w:rPr>
      </w:pPr>
      <w:bookmarkStart w:id="103" w:name="bookmark27"/>
      <w:bookmarkEnd w:id="103"/>
      <w:bookmarkStart w:id="104" w:name="_Toc151062660"/>
      <w:bookmarkStart w:id="105" w:name="_Toc151063128"/>
      <w:bookmarkStart w:id="106" w:name="_Toc151061862"/>
      <w:bookmarkStart w:id="107" w:name="_Toc151062991"/>
      <w:r>
        <w:rPr>
          <w:rFonts w:hint="eastAsia" w:ascii="宋体" w:hAnsi="宋体"/>
          <w:sz w:val="28"/>
          <w:szCs w:val="28"/>
        </w:rPr>
        <w:t>6</w:t>
      </w:r>
      <w:r>
        <w:rPr>
          <w:rFonts w:ascii="宋体" w:hAnsi="宋体"/>
          <w:sz w:val="28"/>
          <w:szCs w:val="28"/>
        </w:rPr>
        <w:t>.3  非消防电气线路</w:t>
      </w:r>
      <w:bookmarkEnd w:id="104"/>
      <w:bookmarkEnd w:id="105"/>
      <w:bookmarkEnd w:id="106"/>
      <w:bookmarkEnd w:id="107"/>
    </w:p>
    <w:p w14:paraId="3690AC9B">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6</w:t>
      </w:r>
      <w:r>
        <w:rPr>
          <w:rFonts w:ascii="宋体" w:hAnsi="宋体"/>
          <w:color w:val="000000" w:themeColor="text1"/>
          <w:sz w:val="28"/>
          <w:szCs w:val="28"/>
          <w14:textFill>
            <w14:solidFill>
              <w14:schemeClr w14:val="tx1"/>
            </w14:solidFill>
          </w14:textFill>
        </w:rPr>
        <w:t>.3.1  改造区域</w:t>
      </w:r>
      <w:r>
        <w:rPr>
          <w:rFonts w:hint="eastAsia" w:ascii="宋体" w:hAnsi="宋体"/>
          <w:color w:val="000000" w:themeColor="text1"/>
          <w:sz w:val="28"/>
          <w:szCs w:val="28"/>
          <w14:textFill>
            <w14:solidFill>
              <w14:schemeClr w14:val="tx1"/>
            </w14:solidFill>
          </w14:textFill>
        </w:rPr>
        <w:t>内改造的</w:t>
      </w:r>
      <w:r>
        <w:rPr>
          <w:rFonts w:ascii="宋体" w:hAnsi="宋体"/>
          <w:color w:val="000000" w:themeColor="text1"/>
          <w:sz w:val="28"/>
          <w:szCs w:val="28"/>
          <w14:textFill>
            <w14:solidFill>
              <w14:schemeClr w14:val="tx1"/>
            </w14:solidFill>
          </w14:textFill>
        </w:rPr>
        <w:t>非消防电线电缆与通信</w:t>
      </w:r>
      <w:r>
        <w:rPr>
          <w:rFonts w:hint="eastAsia" w:ascii="宋体" w:hAnsi="宋体"/>
          <w:color w:val="000000" w:themeColor="text1"/>
          <w:sz w:val="28"/>
          <w:szCs w:val="28"/>
          <w14:textFill>
            <w14:solidFill>
              <w14:schemeClr w14:val="tx1"/>
            </w14:solidFill>
          </w14:textFill>
        </w:rPr>
        <w:t>线缆，其燃烧性能</w:t>
      </w:r>
      <w:r>
        <w:rPr>
          <w:rFonts w:ascii="宋体" w:hAnsi="宋体"/>
          <w:color w:val="000000" w:themeColor="text1"/>
          <w:sz w:val="28"/>
          <w:szCs w:val="28"/>
          <w14:textFill>
            <w14:solidFill>
              <w14:schemeClr w14:val="tx1"/>
            </w14:solidFill>
          </w14:textFill>
        </w:rPr>
        <w:t>应</w:t>
      </w:r>
      <w:r>
        <w:rPr>
          <w:rFonts w:hint="eastAsia" w:ascii="宋体" w:hAnsi="宋体"/>
          <w:color w:val="000000" w:themeColor="text1"/>
          <w:sz w:val="28"/>
          <w:szCs w:val="28"/>
          <w14:textFill>
            <w14:solidFill>
              <w14:schemeClr w14:val="tx1"/>
            </w14:solidFill>
          </w14:textFill>
        </w:rPr>
        <w:t>符合国家</w:t>
      </w:r>
      <w:r>
        <w:rPr>
          <w:rFonts w:ascii="宋体" w:hAnsi="宋体"/>
          <w:color w:val="000000" w:themeColor="text1"/>
          <w:sz w:val="28"/>
          <w:szCs w:val="28"/>
          <w14:textFill>
            <w14:solidFill>
              <w14:schemeClr w14:val="tx1"/>
            </w14:solidFill>
          </w14:textFill>
        </w:rPr>
        <w:t>现行</w:t>
      </w:r>
      <w:r>
        <w:rPr>
          <w:rFonts w:hint="eastAsia" w:ascii="宋体" w:hAnsi="宋体"/>
          <w:color w:val="000000" w:themeColor="text1"/>
          <w:sz w:val="28"/>
          <w:szCs w:val="28"/>
          <w14:textFill>
            <w14:solidFill>
              <w14:schemeClr w14:val="tx1"/>
            </w14:solidFill>
          </w14:textFill>
        </w:rPr>
        <w:t>相关</w:t>
      </w:r>
      <w:r>
        <w:rPr>
          <w:rFonts w:ascii="宋体" w:hAnsi="宋体"/>
          <w:color w:val="000000" w:themeColor="text1"/>
          <w:sz w:val="28"/>
          <w:szCs w:val="28"/>
          <w14:textFill>
            <w14:solidFill>
              <w14:schemeClr w14:val="tx1"/>
            </w14:solidFill>
          </w14:textFill>
        </w:rPr>
        <w:t>标准</w:t>
      </w:r>
      <w:r>
        <w:rPr>
          <w:rFonts w:hint="eastAsia" w:ascii="宋体" w:hAnsi="宋体"/>
          <w:color w:val="000000" w:themeColor="text1"/>
          <w:sz w:val="28"/>
          <w:szCs w:val="28"/>
          <w14:textFill>
            <w14:solidFill>
              <w14:schemeClr w14:val="tx1"/>
            </w14:solidFill>
          </w14:textFill>
        </w:rPr>
        <w:t>的规定</w:t>
      </w:r>
      <w:r>
        <w:rPr>
          <w:rFonts w:ascii="宋体" w:hAnsi="宋体"/>
          <w:color w:val="000000" w:themeColor="text1"/>
          <w:sz w:val="28"/>
          <w:szCs w:val="28"/>
          <w14:textFill>
            <w14:solidFill>
              <w14:schemeClr w14:val="tx1"/>
            </w14:solidFill>
          </w14:textFill>
        </w:rPr>
        <w:t>。</w:t>
      </w:r>
    </w:p>
    <w:p w14:paraId="5DFABBCB">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6</w:t>
      </w:r>
      <w:r>
        <w:rPr>
          <w:rFonts w:ascii="宋体" w:hAnsi="宋体"/>
          <w:color w:val="000000" w:themeColor="text1"/>
          <w:sz w:val="28"/>
          <w:szCs w:val="28"/>
          <w14:textFill>
            <w14:solidFill>
              <w14:schemeClr w14:val="tx1"/>
            </w14:solidFill>
          </w14:textFill>
        </w:rPr>
        <w:t>.3.2  改造区域内的非消防配电回路应根据</w:t>
      </w:r>
      <w:r>
        <w:rPr>
          <w:rFonts w:hint="eastAsia" w:ascii="宋体" w:hAnsi="宋体"/>
          <w:color w:val="000000" w:themeColor="text1"/>
          <w:sz w:val="28"/>
          <w:szCs w:val="28"/>
          <w14:textFill>
            <w14:solidFill>
              <w14:schemeClr w14:val="tx1"/>
            </w14:solidFill>
          </w14:textFill>
        </w:rPr>
        <w:t>国家</w:t>
      </w:r>
      <w:r>
        <w:rPr>
          <w:rFonts w:ascii="宋体" w:hAnsi="宋体"/>
          <w:color w:val="000000" w:themeColor="text1"/>
          <w:sz w:val="28"/>
          <w:szCs w:val="28"/>
          <w14:textFill>
            <w14:solidFill>
              <w14:schemeClr w14:val="tx1"/>
            </w14:solidFill>
          </w14:textFill>
        </w:rPr>
        <w:t>现行</w:t>
      </w:r>
      <w:r>
        <w:rPr>
          <w:rFonts w:hint="eastAsia" w:ascii="宋体" w:hAnsi="宋体"/>
          <w:color w:val="000000" w:themeColor="text1"/>
          <w:sz w:val="28"/>
          <w:szCs w:val="28"/>
          <w14:textFill>
            <w14:solidFill>
              <w14:schemeClr w14:val="tx1"/>
            </w14:solidFill>
          </w14:textFill>
        </w:rPr>
        <w:t>相关</w:t>
      </w:r>
      <w:r>
        <w:rPr>
          <w:rFonts w:ascii="宋体" w:hAnsi="宋体"/>
          <w:color w:val="000000" w:themeColor="text1"/>
          <w:sz w:val="28"/>
          <w:szCs w:val="28"/>
          <w14:textFill>
            <w14:solidFill>
              <w14:schemeClr w14:val="tx1"/>
            </w14:solidFill>
          </w14:textFill>
        </w:rPr>
        <w:t>标准设置电气火灾监控系统或装置，并应</w:t>
      </w:r>
      <w:r>
        <w:rPr>
          <w:rFonts w:hint="eastAsia" w:ascii="宋体" w:hAnsi="宋体"/>
          <w:color w:val="000000" w:themeColor="text1"/>
          <w:sz w:val="28"/>
          <w:szCs w:val="28"/>
          <w14:textFill>
            <w14:solidFill>
              <w14:schemeClr w14:val="tx1"/>
            </w14:solidFill>
          </w14:textFill>
        </w:rPr>
        <w:t>符合</w:t>
      </w:r>
      <w:r>
        <w:rPr>
          <w:rFonts w:ascii="宋体" w:hAnsi="宋体"/>
          <w:color w:val="000000" w:themeColor="text1"/>
          <w:sz w:val="28"/>
          <w:szCs w:val="28"/>
          <w14:textFill>
            <w14:solidFill>
              <w14:schemeClr w14:val="tx1"/>
            </w14:solidFill>
          </w14:textFill>
        </w:rPr>
        <w:t>以下规定：</w:t>
      </w:r>
    </w:p>
    <w:p w14:paraId="05EE127E">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1 当原建筑物有电气火灾监控系统时，改造部分的电气火灾探测器应接入原系统。</w:t>
      </w:r>
    </w:p>
    <w:p w14:paraId="425D6247">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2 当原建筑物无电气火灾监控系统时，</w:t>
      </w:r>
      <w:r>
        <w:rPr>
          <w:rFonts w:hint="eastAsia" w:ascii="宋体" w:hAnsi="宋体"/>
          <w:color w:val="000000" w:themeColor="text1"/>
          <w:sz w:val="28"/>
          <w:szCs w:val="28"/>
          <w14:textFill>
            <w14:solidFill>
              <w14:schemeClr w14:val="tx1"/>
            </w14:solidFill>
          </w14:textFill>
        </w:rPr>
        <w:t>应</w:t>
      </w:r>
      <w:r>
        <w:rPr>
          <w:rFonts w:ascii="宋体" w:hAnsi="宋体"/>
          <w:color w:val="000000" w:themeColor="text1"/>
          <w:sz w:val="28"/>
          <w:szCs w:val="28"/>
          <w14:textFill>
            <w14:solidFill>
              <w14:schemeClr w14:val="tx1"/>
            </w14:solidFill>
          </w14:textFill>
        </w:rPr>
        <w:t>根据改造区域的非消防配电回路设置电气火灾监控系统或装置，并</w:t>
      </w:r>
      <w:r>
        <w:rPr>
          <w:rFonts w:hint="eastAsia" w:ascii="宋体" w:hAnsi="宋体"/>
          <w:color w:val="000000" w:themeColor="text1"/>
          <w:sz w:val="28"/>
          <w:szCs w:val="28"/>
          <w14:textFill>
            <w14:solidFill>
              <w14:schemeClr w14:val="tx1"/>
            </w14:solidFill>
          </w14:textFill>
        </w:rPr>
        <w:t>应</w:t>
      </w:r>
      <w:r>
        <w:rPr>
          <w:rFonts w:ascii="宋体" w:hAnsi="宋体"/>
          <w:color w:val="000000" w:themeColor="text1"/>
          <w:sz w:val="28"/>
          <w:szCs w:val="28"/>
          <w14:textFill>
            <w14:solidFill>
              <w14:schemeClr w14:val="tx1"/>
            </w14:solidFill>
          </w14:textFill>
        </w:rPr>
        <w:t>将报警信号送至消防控制室或有人值班场所。</w:t>
      </w:r>
    </w:p>
    <w:p w14:paraId="63FFCC80">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3 设置电气火灾监控系统确有困难时，可采用独立式电气火灾监控探测器，</w:t>
      </w:r>
      <w:r>
        <w:rPr>
          <w:rFonts w:hint="eastAsia" w:ascii="宋体" w:hAnsi="宋体"/>
          <w:color w:val="000000" w:themeColor="text1"/>
          <w:sz w:val="28"/>
          <w:szCs w:val="28"/>
          <w14:textFill>
            <w14:solidFill>
              <w14:schemeClr w14:val="tx1"/>
            </w14:solidFill>
          </w14:textFill>
        </w:rPr>
        <w:t>但应</w:t>
      </w:r>
      <w:r>
        <w:rPr>
          <w:rFonts w:ascii="宋体" w:hAnsi="宋体"/>
          <w:color w:val="000000" w:themeColor="text1"/>
          <w:sz w:val="28"/>
          <w:szCs w:val="28"/>
          <w14:textFill>
            <w14:solidFill>
              <w14:schemeClr w14:val="tx1"/>
            </w14:solidFill>
          </w14:textFill>
        </w:rPr>
        <w:t>将报警信号送至有人值班场所。</w:t>
      </w:r>
    </w:p>
    <w:p w14:paraId="3AD78329">
      <w:pPr>
        <w:widowControl/>
        <w:snapToGrid w:val="0"/>
        <w:spacing w:line="300" w:lineRule="auto"/>
        <w:jc w:val="left"/>
        <w:rPr>
          <w:rFonts w:ascii="宋体" w:hAnsi="宋体"/>
          <w:color w:val="000000" w:themeColor="text1"/>
          <w:sz w:val="28"/>
          <w:szCs w:val="28"/>
          <w14:textFill>
            <w14:solidFill>
              <w14:schemeClr w14:val="tx1"/>
            </w14:solidFill>
          </w14:textFill>
        </w:rPr>
      </w:pPr>
    </w:p>
    <w:p w14:paraId="5E43A237">
      <w:pPr>
        <w:widowControl/>
        <w:snapToGrid w:val="0"/>
        <w:spacing w:line="300" w:lineRule="auto"/>
        <w:jc w:val="left"/>
        <w:rPr>
          <w:rFonts w:ascii="宋体" w:hAnsi="宋体"/>
          <w:color w:val="000000" w:themeColor="text1"/>
          <w:sz w:val="28"/>
          <w:szCs w:val="28"/>
          <w14:textFill>
            <w14:solidFill>
              <w14:schemeClr w14:val="tx1"/>
            </w14:solidFill>
          </w14:textFill>
        </w:rPr>
      </w:pPr>
    </w:p>
    <w:p w14:paraId="2C696293">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p>
    <w:p w14:paraId="14A333EA">
      <w:pPr>
        <w:widowControl/>
        <w:snapToGrid w:val="0"/>
        <w:spacing w:line="300" w:lineRule="auto"/>
        <w:jc w:val="left"/>
        <w:rPr>
          <w:rFonts w:ascii="宋体" w:hAnsi="宋体"/>
          <w:color w:val="000000" w:themeColor="text1"/>
          <w:sz w:val="28"/>
          <w:szCs w:val="28"/>
          <w14:textFill>
            <w14:solidFill>
              <w14:schemeClr w14:val="tx1"/>
            </w14:solidFill>
          </w14:textFill>
        </w:rPr>
      </w:pPr>
    </w:p>
    <w:p w14:paraId="1DFBED41">
      <w:pPr>
        <w:widowControl/>
        <w:snapToGrid w:val="0"/>
        <w:spacing w:line="300" w:lineRule="auto"/>
        <w:jc w:val="left"/>
        <w:rPr>
          <w:rFonts w:ascii="宋体" w:hAnsi="宋体"/>
          <w:color w:val="000000" w:themeColor="text1"/>
          <w:sz w:val="28"/>
          <w:szCs w:val="28"/>
          <w14:textFill>
            <w14:solidFill>
              <w14:schemeClr w14:val="tx1"/>
            </w14:solidFill>
          </w14:textFill>
        </w:rPr>
      </w:pPr>
    </w:p>
    <w:p w14:paraId="7F6DC2EA">
      <w:pPr>
        <w:widowControl/>
        <w:snapToGrid w:val="0"/>
        <w:spacing w:line="300" w:lineRule="auto"/>
        <w:jc w:val="left"/>
        <w:rPr>
          <w:rFonts w:ascii="宋体" w:hAnsi="宋体"/>
          <w:color w:val="000000" w:themeColor="text1"/>
          <w:sz w:val="28"/>
          <w:szCs w:val="28"/>
          <w14:textFill>
            <w14:solidFill>
              <w14:schemeClr w14:val="tx1"/>
            </w14:solidFill>
          </w14:textFill>
        </w:rPr>
      </w:pPr>
    </w:p>
    <w:p w14:paraId="15F8A461">
      <w:pPr>
        <w:widowControl/>
        <w:snapToGrid w:val="0"/>
        <w:spacing w:line="300" w:lineRule="auto"/>
        <w:jc w:val="left"/>
        <w:rPr>
          <w:rFonts w:ascii="宋体" w:hAnsi="宋体"/>
          <w:color w:val="000000" w:themeColor="text1"/>
          <w:sz w:val="28"/>
          <w:szCs w:val="28"/>
          <w14:textFill>
            <w14:solidFill>
              <w14:schemeClr w14:val="tx1"/>
            </w14:solidFill>
          </w14:textFill>
        </w:rPr>
      </w:pPr>
    </w:p>
    <w:p w14:paraId="66DF496E">
      <w:pPr>
        <w:widowControl/>
        <w:snapToGrid w:val="0"/>
        <w:spacing w:line="300" w:lineRule="auto"/>
        <w:jc w:val="left"/>
        <w:rPr>
          <w:rFonts w:ascii="宋体" w:hAnsi="宋体"/>
          <w:color w:val="000000" w:themeColor="text1"/>
          <w:sz w:val="28"/>
          <w:szCs w:val="28"/>
          <w14:textFill>
            <w14:solidFill>
              <w14:schemeClr w14:val="tx1"/>
            </w14:solidFill>
          </w14:textFill>
        </w:rPr>
      </w:pPr>
    </w:p>
    <w:p w14:paraId="047E5954">
      <w:pPr>
        <w:widowControl/>
        <w:snapToGrid w:val="0"/>
        <w:spacing w:line="300" w:lineRule="auto"/>
        <w:jc w:val="left"/>
        <w:rPr>
          <w:rFonts w:ascii="宋体" w:hAnsi="宋体"/>
          <w:color w:val="000000" w:themeColor="text1"/>
          <w:sz w:val="28"/>
          <w:szCs w:val="28"/>
          <w14:textFill>
            <w14:solidFill>
              <w14:schemeClr w14:val="tx1"/>
            </w14:solidFill>
          </w14:textFill>
        </w:rPr>
      </w:pPr>
    </w:p>
    <w:p w14:paraId="71EB3B8F">
      <w:pPr>
        <w:widowControl/>
        <w:snapToGrid w:val="0"/>
        <w:spacing w:line="300" w:lineRule="auto"/>
        <w:jc w:val="left"/>
        <w:rPr>
          <w:rFonts w:ascii="宋体" w:hAnsi="宋体"/>
          <w:color w:val="000000" w:themeColor="text1"/>
          <w:sz w:val="28"/>
          <w:szCs w:val="28"/>
          <w14:textFill>
            <w14:solidFill>
              <w14:schemeClr w14:val="tx1"/>
            </w14:solidFill>
          </w14:textFill>
        </w:rPr>
      </w:pPr>
    </w:p>
    <w:p w14:paraId="107C5BD8">
      <w:pPr>
        <w:widowControl/>
        <w:snapToGrid w:val="0"/>
        <w:spacing w:line="300" w:lineRule="auto"/>
        <w:jc w:val="left"/>
        <w:rPr>
          <w:rFonts w:ascii="宋体" w:hAnsi="宋体"/>
          <w:color w:val="000000" w:themeColor="text1"/>
          <w:sz w:val="28"/>
          <w:szCs w:val="28"/>
          <w14:textFill>
            <w14:solidFill>
              <w14:schemeClr w14:val="tx1"/>
            </w14:solidFill>
          </w14:textFill>
        </w:rPr>
      </w:pPr>
    </w:p>
    <w:p w14:paraId="65FF3479">
      <w:pPr>
        <w:widowControl/>
        <w:snapToGrid w:val="0"/>
        <w:spacing w:line="300" w:lineRule="auto"/>
        <w:jc w:val="left"/>
        <w:rPr>
          <w:rFonts w:ascii="宋体" w:hAnsi="宋体"/>
          <w:color w:val="000000" w:themeColor="text1"/>
          <w:sz w:val="28"/>
          <w:szCs w:val="28"/>
          <w14:textFill>
            <w14:solidFill>
              <w14:schemeClr w14:val="tx1"/>
            </w14:solidFill>
          </w14:textFill>
        </w:rPr>
      </w:pPr>
    </w:p>
    <w:p w14:paraId="38A383DA">
      <w:pPr>
        <w:widowControl/>
        <w:snapToGrid w:val="0"/>
        <w:spacing w:line="300" w:lineRule="auto"/>
        <w:jc w:val="left"/>
        <w:rPr>
          <w:rFonts w:ascii="宋体" w:hAnsi="宋体"/>
          <w:color w:val="000000" w:themeColor="text1"/>
          <w:sz w:val="28"/>
          <w:szCs w:val="28"/>
          <w14:textFill>
            <w14:solidFill>
              <w14:schemeClr w14:val="tx1"/>
            </w14:solidFill>
          </w14:textFill>
        </w:rPr>
      </w:pPr>
    </w:p>
    <w:p w14:paraId="607F33A0">
      <w:pPr>
        <w:widowControl/>
        <w:snapToGrid w:val="0"/>
        <w:spacing w:line="300" w:lineRule="auto"/>
        <w:jc w:val="left"/>
        <w:rPr>
          <w:rFonts w:ascii="宋体" w:hAnsi="宋体"/>
          <w:color w:val="000000" w:themeColor="text1"/>
          <w:sz w:val="28"/>
          <w:szCs w:val="28"/>
          <w14:textFill>
            <w14:solidFill>
              <w14:schemeClr w14:val="tx1"/>
            </w14:solidFill>
          </w14:textFill>
        </w:rPr>
      </w:pPr>
    </w:p>
    <w:p w14:paraId="5691FF03">
      <w:pPr>
        <w:widowControl/>
        <w:snapToGrid w:val="0"/>
        <w:spacing w:line="300" w:lineRule="auto"/>
        <w:jc w:val="left"/>
        <w:rPr>
          <w:rFonts w:ascii="宋体" w:hAnsi="宋体"/>
          <w:color w:val="000000" w:themeColor="text1"/>
          <w:sz w:val="28"/>
          <w:szCs w:val="28"/>
          <w14:textFill>
            <w14:solidFill>
              <w14:schemeClr w14:val="tx1"/>
            </w14:solidFill>
          </w14:textFill>
        </w:rPr>
      </w:pPr>
    </w:p>
    <w:p w14:paraId="75B13893">
      <w:pPr>
        <w:widowControl/>
        <w:snapToGrid w:val="0"/>
        <w:spacing w:line="300" w:lineRule="auto"/>
        <w:jc w:val="left"/>
        <w:rPr>
          <w:rFonts w:ascii="宋体" w:hAnsi="宋体"/>
          <w:color w:val="000000" w:themeColor="text1"/>
          <w:sz w:val="28"/>
          <w:szCs w:val="28"/>
          <w14:textFill>
            <w14:solidFill>
              <w14:schemeClr w14:val="tx1"/>
            </w14:solidFill>
          </w14:textFill>
        </w:rPr>
      </w:pPr>
    </w:p>
    <w:p w14:paraId="2F36754A">
      <w:pPr>
        <w:widowControl/>
        <w:adjustRightInd w:val="0"/>
        <w:snapToGrid w:val="0"/>
        <w:spacing w:before="162" w:beforeLines="50" w:line="360" w:lineRule="auto"/>
        <w:rPr>
          <w:rFonts w:ascii="宋体" w:hAnsi="宋体"/>
          <w:color w:val="000000" w:themeColor="text1"/>
          <w:sz w:val="28"/>
          <w:szCs w:val="28"/>
          <w14:textFill>
            <w14:solidFill>
              <w14:schemeClr w14:val="tx1"/>
            </w14:solidFill>
          </w14:textFill>
        </w:rPr>
      </w:pPr>
    </w:p>
    <w:p w14:paraId="4359808F">
      <w:pPr>
        <w:widowControl/>
        <w:snapToGrid w:val="0"/>
        <w:spacing w:line="300" w:lineRule="auto"/>
        <w:jc w:val="left"/>
        <w:rPr>
          <w:rFonts w:ascii="宋体" w:hAnsi="宋体"/>
          <w:color w:val="000000" w:themeColor="text1"/>
          <w:sz w:val="28"/>
          <w:szCs w:val="28"/>
          <w14:textFill>
            <w14:solidFill>
              <w14:schemeClr w14:val="tx1"/>
            </w14:solidFill>
          </w14:textFill>
        </w:rPr>
      </w:pPr>
    </w:p>
    <w:p w14:paraId="04F922B6">
      <w:pPr>
        <w:widowControl/>
        <w:snapToGrid w:val="0"/>
        <w:spacing w:line="300" w:lineRule="auto"/>
        <w:jc w:val="left"/>
        <w:rPr>
          <w:rFonts w:ascii="宋体" w:hAnsi="宋体"/>
          <w:color w:val="000000" w:themeColor="text1"/>
          <w:sz w:val="28"/>
          <w:szCs w:val="28"/>
          <w14:textFill>
            <w14:solidFill>
              <w14:schemeClr w14:val="tx1"/>
            </w14:solidFill>
          </w14:textFill>
        </w:rPr>
      </w:pPr>
    </w:p>
    <w:p w14:paraId="32A67516">
      <w:pPr>
        <w:widowControl/>
        <w:snapToGrid w:val="0"/>
        <w:spacing w:line="300" w:lineRule="auto"/>
        <w:jc w:val="left"/>
        <w:rPr>
          <w:rFonts w:ascii="宋体" w:hAnsi="宋体"/>
          <w:color w:val="000000" w:themeColor="text1"/>
          <w:sz w:val="28"/>
          <w:szCs w:val="28"/>
          <w14:textFill>
            <w14:solidFill>
              <w14:schemeClr w14:val="tx1"/>
            </w14:solidFill>
          </w14:textFill>
        </w:rPr>
      </w:pPr>
    </w:p>
    <w:p w14:paraId="023C2BE2">
      <w:pPr>
        <w:widowControl/>
        <w:snapToGrid w:val="0"/>
        <w:spacing w:line="300" w:lineRule="auto"/>
        <w:jc w:val="left"/>
        <w:rPr>
          <w:rFonts w:ascii="宋体" w:hAnsi="宋体"/>
          <w:color w:val="000000" w:themeColor="text1"/>
          <w:sz w:val="28"/>
          <w:szCs w:val="28"/>
          <w14:textFill>
            <w14:solidFill>
              <w14:schemeClr w14:val="tx1"/>
            </w14:solidFill>
          </w14:textFill>
        </w:rPr>
      </w:pPr>
    </w:p>
    <w:p w14:paraId="64B4DC34">
      <w:pPr>
        <w:widowControl/>
        <w:snapToGrid w:val="0"/>
        <w:spacing w:line="300" w:lineRule="auto"/>
        <w:jc w:val="left"/>
        <w:rPr>
          <w:rFonts w:ascii="宋体" w:hAnsi="宋体"/>
          <w:color w:val="000000" w:themeColor="text1"/>
          <w:sz w:val="28"/>
          <w:szCs w:val="28"/>
          <w14:textFill>
            <w14:solidFill>
              <w14:schemeClr w14:val="tx1"/>
            </w14:solidFill>
          </w14:textFill>
        </w:rPr>
      </w:pPr>
    </w:p>
    <w:p w14:paraId="5DC20A07">
      <w:pPr>
        <w:widowControl/>
        <w:snapToGrid w:val="0"/>
        <w:spacing w:line="300" w:lineRule="auto"/>
        <w:jc w:val="left"/>
        <w:rPr>
          <w:rFonts w:ascii="宋体" w:hAnsi="宋体"/>
          <w:color w:val="000000" w:themeColor="text1"/>
          <w:sz w:val="28"/>
          <w:szCs w:val="28"/>
          <w14:textFill>
            <w14:solidFill>
              <w14:schemeClr w14:val="tx1"/>
            </w14:solidFill>
          </w14:textFill>
        </w:rPr>
      </w:pPr>
    </w:p>
    <w:p w14:paraId="30796893">
      <w:pPr>
        <w:widowControl/>
        <w:snapToGrid w:val="0"/>
        <w:spacing w:line="300" w:lineRule="auto"/>
        <w:jc w:val="left"/>
        <w:rPr>
          <w:rFonts w:ascii="宋体" w:hAnsi="宋体"/>
          <w:color w:val="000000" w:themeColor="text1"/>
          <w:sz w:val="28"/>
          <w:szCs w:val="28"/>
          <w14:textFill>
            <w14:solidFill>
              <w14:schemeClr w14:val="tx1"/>
            </w14:solidFill>
          </w14:textFill>
        </w:rPr>
      </w:pPr>
    </w:p>
    <w:p w14:paraId="4EB97021">
      <w:pPr>
        <w:widowControl/>
        <w:snapToGrid w:val="0"/>
        <w:spacing w:line="300" w:lineRule="auto"/>
        <w:jc w:val="left"/>
        <w:rPr>
          <w:rFonts w:ascii="宋体" w:hAnsi="宋体"/>
          <w:color w:val="000000" w:themeColor="text1"/>
          <w:sz w:val="28"/>
          <w:szCs w:val="28"/>
          <w14:textFill>
            <w14:solidFill>
              <w14:schemeClr w14:val="tx1"/>
            </w14:solidFill>
          </w14:textFill>
        </w:rPr>
      </w:pPr>
    </w:p>
    <w:p w14:paraId="48F8E581">
      <w:pPr>
        <w:widowControl/>
        <w:snapToGrid w:val="0"/>
        <w:spacing w:line="300" w:lineRule="auto"/>
        <w:jc w:val="left"/>
        <w:rPr>
          <w:rFonts w:ascii="宋体" w:hAnsi="宋体"/>
          <w:color w:val="000000" w:themeColor="text1"/>
          <w:sz w:val="28"/>
          <w:szCs w:val="28"/>
          <w14:textFill>
            <w14:solidFill>
              <w14:schemeClr w14:val="tx1"/>
            </w14:solidFill>
          </w14:textFill>
        </w:rPr>
      </w:pPr>
    </w:p>
    <w:p w14:paraId="38EEAEC6">
      <w:pPr>
        <w:widowControl/>
        <w:snapToGrid w:val="0"/>
        <w:spacing w:line="300" w:lineRule="auto"/>
        <w:jc w:val="left"/>
        <w:rPr>
          <w:rFonts w:ascii="宋体" w:hAnsi="宋体"/>
          <w:color w:val="000000" w:themeColor="text1"/>
          <w:sz w:val="28"/>
          <w:szCs w:val="28"/>
          <w14:textFill>
            <w14:solidFill>
              <w14:schemeClr w14:val="tx1"/>
            </w14:solidFill>
          </w14:textFill>
        </w:rPr>
      </w:pPr>
    </w:p>
    <w:p w14:paraId="06560526">
      <w:pPr>
        <w:widowControl/>
        <w:jc w:val="left"/>
        <w:rPr>
          <w:rFonts w:ascii="宋体" w:hAnsi="宋体"/>
          <w:color w:val="FF0000"/>
          <w:sz w:val="28"/>
          <w:szCs w:val="28"/>
        </w:rPr>
      </w:pPr>
    </w:p>
    <w:p w14:paraId="5E1A474C">
      <w:pPr>
        <w:pStyle w:val="3"/>
        <w:spacing w:line="360" w:lineRule="auto"/>
        <w:rPr>
          <w:rFonts w:ascii="宋体" w:hAnsi="宋体"/>
          <w:color w:val="000000" w:themeColor="text1"/>
          <w:szCs w:val="28"/>
          <w14:textFill>
            <w14:solidFill>
              <w14:schemeClr w14:val="tx1"/>
            </w14:solidFill>
          </w14:textFill>
        </w:rPr>
      </w:pPr>
      <w:bookmarkStart w:id="108" w:name="_Toc151062992"/>
      <w:bookmarkStart w:id="109" w:name="_Toc151062661"/>
      <w:bookmarkStart w:id="110" w:name="_Toc151061863"/>
      <w:bookmarkStart w:id="111" w:name="_Toc151063129"/>
      <w:r>
        <w:rPr>
          <w:rFonts w:hint="eastAsia"/>
          <w:color w:val="000000" w:themeColor="text1"/>
          <w:sz w:val="36"/>
          <w:szCs w:val="36"/>
          <w14:textFill>
            <w14:solidFill>
              <w14:schemeClr w14:val="tx1"/>
            </w14:solidFill>
          </w14:textFill>
        </w:rPr>
        <w:t xml:space="preserve">7 </w:t>
      </w:r>
      <w:r>
        <w:rPr>
          <w:color w:val="000000" w:themeColor="text1"/>
          <w:sz w:val="36"/>
          <w:szCs w:val="36"/>
          <w14:textFill>
            <w14:solidFill>
              <w14:schemeClr w14:val="tx1"/>
            </w14:solidFill>
          </w14:textFill>
        </w:rPr>
        <w:t xml:space="preserve"> </w:t>
      </w:r>
      <w:r>
        <w:rPr>
          <w:rFonts w:hint="eastAsia"/>
          <w:color w:val="000000" w:themeColor="text1"/>
          <w:sz w:val="36"/>
          <w:szCs w:val="36"/>
          <w14:textFill>
            <w14:solidFill>
              <w14:schemeClr w14:val="tx1"/>
            </w14:solidFill>
          </w14:textFill>
        </w:rPr>
        <w:t>平房院落</w:t>
      </w:r>
      <w:bookmarkEnd w:id="108"/>
      <w:bookmarkEnd w:id="109"/>
      <w:bookmarkEnd w:id="110"/>
      <w:bookmarkEnd w:id="111"/>
    </w:p>
    <w:p w14:paraId="5C813347">
      <w:pPr>
        <w:pStyle w:val="3"/>
        <w:spacing w:line="360" w:lineRule="auto"/>
        <w:rPr>
          <w:rFonts w:ascii="宋体" w:hAnsi="宋体"/>
          <w:sz w:val="28"/>
          <w:szCs w:val="28"/>
        </w:rPr>
      </w:pPr>
      <w:bookmarkStart w:id="112" w:name="_Toc151062993"/>
      <w:bookmarkStart w:id="113" w:name="_Toc151063130"/>
      <w:bookmarkStart w:id="114" w:name="_Toc151061864"/>
      <w:bookmarkStart w:id="115" w:name="_Toc151062662"/>
      <w:r>
        <w:rPr>
          <w:rFonts w:hint="eastAsia" w:ascii="宋体" w:hAnsi="宋体"/>
          <w:sz w:val="28"/>
          <w:szCs w:val="28"/>
        </w:rPr>
        <w:t>7.</w:t>
      </w:r>
      <w:r>
        <w:rPr>
          <w:rFonts w:ascii="宋体" w:hAnsi="宋体"/>
          <w:sz w:val="28"/>
          <w:szCs w:val="28"/>
        </w:rPr>
        <w:t xml:space="preserve">1  </w:t>
      </w:r>
      <w:r>
        <w:rPr>
          <w:rFonts w:hint="eastAsia" w:ascii="宋体" w:hAnsi="宋体"/>
          <w:sz w:val="28"/>
          <w:szCs w:val="28"/>
        </w:rPr>
        <w:t>平房区</w:t>
      </w:r>
      <w:bookmarkEnd w:id="112"/>
      <w:bookmarkEnd w:id="113"/>
      <w:bookmarkEnd w:id="114"/>
      <w:bookmarkEnd w:id="115"/>
    </w:p>
    <w:p w14:paraId="1B23FCDC">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7.</w:t>
      </w:r>
      <w:r>
        <w:rPr>
          <w:rFonts w:ascii="宋体" w:hAnsi="宋体"/>
          <w:color w:val="000000" w:themeColor="text1"/>
          <w:sz w:val="28"/>
          <w:szCs w:val="28"/>
          <w14:textFill>
            <w14:solidFill>
              <w14:schemeClr w14:val="tx1"/>
            </w14:solidFill>
          </w14:textFill>
        </w:rPr>
        <w:t>1</w:t>
      </w:r>
      <w:r>
        <w:rPr>
          <w:rFonts w:hint="eastAsia" w:ascii="宋体" w:hAnsi="宋体"/>
          <w:color w:val="000000" w:themeColor="text1"/>
          <w:sz w:val="28"/>
          <w:szCs w:val="28"/>
          <w14:textFill>
            <w14:solidFill>
              <w14:schemeClr w14:val="tx1"/>
            </w14:solidFill>
          </w14:textFill>
        </w:rPr>
        <w:t>.1</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平房区消防车道的设置，宜满足该区域内任何位置距离最近的消防车道沿可铺设水带的路径的总距离不超过80m。当超过80m时，可采取以下措施之一：</w:t>
      </w:r>
    </w:p>
    <w:p w14:paraId="5DB76467">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1 </w:t>
      </w:r>
      <w:r>
        <w:rPr>
          <w:rFonts w:hint="eastAsia" w:ascii="宋体" w:hAnsi="宋体"/>
          <w:color w:val="000000" w:themeColor="text1"/>
          <w:sz w:val="28"/>
          <w:szCs w:val="28"/>
          <w14:textFill>
            <w14:solidFill>
              <w14:schemeClr w14:val="tx1"/>
            </w14:solidFill>
          </w14:textFill>
        </w:rPr>
        <w:t>沿胡同设置室外消火栓，室外消火栓的保护半径不超过6</w:t>
      </w:r>
      <w:r>
        <w:rPr>
          <w:rFonts w:ascii="宋体" w:hAnsi="宋体"/>
          <w:color w:val="000000" w:themeColor="text1"/>
          <w:sz w:val="28"/>
          <w:szCs w:val="28"/>
          <w14:textFill>
            <w14:solidFill>
              <w14:schemeClr w14:val="tx1"/>
            </w14:solidFill>
          </w14:textFill>
        </w:rPr>
        <w:t>0</w:t>
      </w:r>
      <w:r>
        <w:rPr>
          <w:rFonts w:hint="eastAsia" w:ascii="宋体" w:hAnsi="宋体"/>
          <w:color w:val="000000" w:themeColor="text1"/>
          <w:sz w:val="28"/>
          <w:szCs w:val="28"/>
          <w14:textFill>
            <w14:solidFill>
              <w14:schemeClr w14:val="tx1"/>
            </w14:solidFill>
          </w14:textFill>
        </w:rPr>
        <w:t>m；</w:t>
      </w:r>
    </w:p>
    <w:p w14:paraId="0CCFEB58">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2 </w:t>
      </w:r>
      <w:r>
        <w:rPr>
          <w:rFonts w:hint="eastAsia" w:ascii="宋体" w:hAnsi="宋体"/>
          <w:color w:val="000000" w:themeColor="text1"/>
          <w:sz w:val="28"/>
          <w:szCs w:val="28"/>
          <w14:textFill>
            <w14:solidFill>
              <w14:schemeClr w14:val="tx1"/>
            </w14:solidFill>
          </w14:textFill>
        </w:rPr>
        <w:t>沿胡同铺设可利用消防车进行供水的管道，管道的入口应位于靠近市政消火栓和消防车停靠处，并设置消防水泵结合器。沿该管道，在胡同内设置干式消火栓，干式消火栓的保护半径不超过6</w:t>
      </w:r>
      <w:r>
        <w:rPr>
          <w:rFonts w:ascii="宋体" w:hAnsi="宋体"/>
          <w:color w:val="000000" w:themeColor="text1"/>
          <w:sz w:val="28"/>
          <w:szCs w:val="28"/>
          <w14:textFill>
            <w14:solidFill>
              <w14:schemeClr w14:val="tx1"/>
            </w14:solidFill>
          </w14:textFill>
        </w:rPr>
        <w:t>0</w:t>
      </w:r>
      <w:r>
        <w:rPr>
          <w:rFonts w:hint="eastAsia" w:ascii="宋体" w:hAnsi="宋体"/>
          <w:color w:val="000000" w:themeColor="text1"/>
          <w:sz w:val="28"/>
          <w:szCs w:val="28"/>
          <w14:textFill>
            <w14:solidFill>
              <w14:schemeClr w14:val="tx1"/>
            </w14:solidFill>
          </w14:textFill>
        </w:rPr>
        <w:t>m。</w:t>
      </w:r>
    </w:p>
    <w:p w14:paraId="02760D85">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7.</w:t>
      </w:r>
      <w:r>
        <w:rPr>
          <w:rFonts w:ascii="宋体" w:hAnsi="宋体"/>
          <w:color w:val="000000" w:themeColor="text1"/>
          <w:sz w:val="28"/>
          <w:szCs w:val="28"/>
          <w14:textFill>
            <w14:solidFill>
              <w14:schemeClr w14:val="tx1"/>
            </w14:solidFill>
          </w14:textFill>
        </w:rPr>
        <w:t>1</w:t>
      </w:r>
      <w:r>
        <w:rPr>
          <w:rFonts w:hint="eastAsia" w:ascii="宋体" w:hAnsi="宋体"/>
          <w:color w:val="000000" w:themeColor="text1"/>
          <w:sz w:val="28"/>
          <w:szCs w:val="28"/>
          <w14:textFill>
            <w14:solidFill>
              <w14:schemeClr w14:val="tx1"/>
            </w14:solidFill>
          </w14:textFill>
        </w:rPr>
        <w:t>.2  平房区宜结合胡同、道路或设置防火墙等划分防火控制区，防火控制区的占地面积不宜超过20000㎡。当利用胡同、道路和空地等作为防火隔离带划分防火控制区时，防火隔离带的宽度不应小于6m。</w:t>
      </w:r>
    </w:p>
    <w:p w14:paraId="49F53710">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7.</w:t>
      </w:r>
      <w:r>
        <w:rPr>
          <w:rFonts w:ascii="宋体" w:hAnsi="宋体"/>
          <w:color w:val="000000" w:themeColor="text1"/>
          <w:sz w:val="28"/>
          <w:szCs w:val="28"/>
          <w14:textFill>
            <w14:solidFill>
              <w14:schemeClr w14:val="tx1"/>
            </w14:solidFill>
          </w14:textFill>
        </w:rPr>
        <w:t>1</w:t>
      </w:r>
      <w:r>
        <w:rPr>
          <w:rFonts w:hint="eastAsia" w:ascii="宋体" w:hAnsi="宋体"/>
          <w:color w:val="000000" w:themeColor="text1"/>
          <w:sz w:val="28"/>
          <w:szCs w:val="28"/>
          <w14:textFill>
            <w14:solidFill>
              <w14:schemeClr w14:val="tx1"/>
            </w14:solidFill>
          </w14:textFill>
        </w:rPr>
        <w:t>.3</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平房区内的疏散路径应能在发生火灾时，将所有可能受到火灾影响的人员疏散至室外安全地带。平房区内胡同、市政道路以及街区花园等开阔的场所作为人员疏散、避难的安全场地时，宽度不应小于4</w:t>
      </w:r>
      <w:r>
        <w:rPr>
          <w:rFonts w:ascii="宋体" w:hAnsi="宋体"/>
          <w:color w:val="000000" w:themeColor="text1"/>
          <w:sz w:val="28"/>
          <w:szCs w:val="28"/>
          <w14:textFill>
            <w14:solidFill>
              <w14:schemeClr w14:val="tx1"/>
            </w14:solidFill>
          </w14:textFill>
        </w:rPr>
        <w:t>m</w:t>
      </w:r>
      <w:r>
        <w:rPr>
          <w:rFonts w:hint="eastAsia" w:ascii="宋体" w:hAnsi="宋体"/>
          <w:color w:val="000000" w:themeColor="text1"/>
          <w:sz w:val="28"/>
          <w:szCs w:val="28"/>
          <w14:textFill>
            <w14:solidFill>
              <w14:schemeClr w14:val="tx1"/>
            </w14:solidFill>
          </w14:textFill>
        </w:rPr>
        <w:t>。</w:t>
      </w:r>
    </w:p>
    <w:p w14:paraId="7A58D4CD">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7.</w:t>
      </w:r>
      <w:r>
        <w:rPr>
          <w:rFonts w:ascii="宋体" w:hAnsi="宋体"/>
          <w:color w:val="000000" w:themeColor="text1"/>
          <w:sz w:val="28"/>
          <w:szCs w:val="28"/>
          <w14:textFill>
            <w14:solidFill>
              <w14:schemeClr w14:val="tx1"/>
            </w14:solidFill>
          </w14:textFill>
        </w:rPr>
        <w:t>1</w:t>
      </w: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14:textFill>
            <w14:solidFill>
              <w14:schemeClr w14:val="tx1"/>
            </w14:solidFill>
          </w14:textFill>
        </w:rPr>
        <w:t xml:space="preserve">4  </w:t>
      </w:r>
      <w:r>
        <w:rPr>
          <w:rFonts w:hint="eastAsia" w:ascii="宋体" w:hAnsi="宋体"/>
          <w:color w:val="000000" w:themeColor="text1"/>
          <w:sz w:val="28"/>
          <w:szCs w:val="28"/>
          <w14:textFill>
            <w14:solidFill>
              <w14:schemeClr w14:val="tx1"/>
            </w14:solidFill>
          </w14:textFill>
        </w:rPr>
        <w:t>平房区内设置地面小汽车、电动自动车或自行车等停车位时，不应影响消防车、消防摩托等消防救援设施的通行。</w:t>
      </w:r>
    </w:p>
    <w:p w14:paraId="4EA21DE1">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7.</w:t>
      </w:r>
      <w:r>
        <w:rPr>
          <w:rFonts w:ascii="宋体" w:hAnsi="宋体"/>
          <w:color w:val="000000" w:themeColor="text1"/>
          <w:sz w:val="28"/>
          <w:szCs w:val="28"/>
          <w14:textFill>
            <w14:solidFill>
              <w14:schemeClr w14:val="tx1"/>
            </w14:solidFill>
          </w14:textFill>
        </w:rPr>
        <w:t>1</w:t>
      </w:r>
      <w:r>
        <w:rPr>
          <w:rFonts w:hint="eastAsia" w:ascii="宋体" w:hAnsi="宋体"/>
          <w:color w:val="000000" w:themeColor="text1"/>
          <w:sz w:val="28"/>
          <w:szCs w:val="28"/>
          <w14:textFill>
            <w14:solidFill>
              <w14:schemeClr w14:val="tx1"/>
            </w14:solidFill>
          </w14:textFill>
        </w:rPr>
        <w:t>.5</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平房区根据一个防火控制区，或任意不能按7</w:t>
      </w:r>
      <w:r>
        <w:rPr>
          <w:rFonts w:ascii="宋体" w:hAnsi="宋体"/>
          <w:color w:val="000000" w:themeColor="text1"/>
          <w:sz w:val="28"/>
          <w:szCs w:val="28"/>
          <w14:textFill>
            <w14:solidFill>
              <w14:schemeClr w14:val="tx1"/>
            </w14:solidFill>
          </w14:textFill>
        </w:rPr>
        <w:t>.1.2</w:t>
      </w:r>
      <w:r>
        <w:rPr>
          <w:rFonts w:hint="eastAsia" w:ascii="宋体" w:hAnsi="宋体"/>
          <w:color w:val="000000" w:themeColor="text1"/>
          <w:sz w:val="28"/>
          <w:szCs w:val="28"/>
          <w14:textFill>
            <w14:solidFill>
              <w14:schemeClr w14:val="tx1"/>
            </w14:solidFill>
          </w14:textFill>
        </w:rPr>
        <w:t>条的要求进行防火分隔的2</w:t>
      </w:r>
      <w:r>
        <w:rPr>
          <w:rFonts w:ascii="宋体" w:hAnsi="宋体"/>
          <w:color w:val="000000" w:themeColor="text1"/>
          <w:sz w:val="28"/>
          <w:szCs w:val="28"/>
          <w14:textFill>
            <w14:solidFill>
              <w14:schemeClr w14:val="tx1"/>
            </w14:solidFill>
          </w14:textFill>
        </w:rPr>
        <w:t>0000m</w:t>
      </w:r>
      <w:r>
        <w:rPr>
          <w:rFonts w:ascii="宋体" w:hAnsi="宋体"/>
          <w:color w:val="000000" w:themeColor="text1"/>
          <w:sz w:val="28"/>
          <w:szCs w:val="28"/>
          <w:vertAlign w:val="superscript"/>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区域内的商业设施总面积，应满足下列规定：</w:t>
      </w:r>
    </w:p>
    <w:p w14:paraId="36FF2C06">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商业设施总面积大于等于3000㎡时，应设置自动灭火系统。当小于3000㎡，但大于500㎡时，宜设置不带消防水池的自动喷水灭火系统。当不大于500㎡时，可利用生活供水系统设置简易式喷淋。</w:t>
      </w:r>
    </w:p>
    <w:p w14:paraId="2C87B8CB">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商业设施总面积大于等于3000㎡时，应设置火灾自动报警系统。当小于3000㎡，但大于1500㎡时，宜结合安防系统设置火情视频监控系统，并设置消防值班室。</w:t>
      </w:r>
    </w:p>
    <w:p w14:paraId="399EB7E0">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商业设施总面积大于等于3000㎡时，应在胡同内增设通往街道或其他开阔地带的疏散指示标志。疏散指示标志宜结合胡同风貌特征设置。</w:t>
      </w:r>
    </w:p>
    <w:p w14:paraId="046A6879">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7.</w:t>
      </w:r>
      <w:r>
        <w:rPr>
          <w:rFonts w:ascii="宋体" w:hAnsi="宋体"/>
          <w:color w:val="000000" w:themeColor="text1"/>
          <w:sz w:val="28"/>
          <w:szCs w:val="28"/>
          <w14:textFill>
            <w14:solidFill>
              <w14:schemeClr w14:val="tx1"/>
            </w14:solidFill>
          </w14:textFill>
        </w:rPr>
        <w:t>1</w:t>
      </w:r>
      <w:r>
        <w:rPr>
          <w:rFonts w:hint="eastAsia" w:ascii="宋体" w:hAnsi="宋体"/>
          <w:color w:val="000000" w:themeColor="text1"/>
          <w:sz w:val="28"/>
          <w:szCs w:val="28"/>
          <w14:textFill>
            <w14:solidFill>
              <w14:schemeClr w14:val="tx1"/>
            </w14:solidFill>
          </w14:textFill>
        </w:rPr>
        <w:t>.6</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平房区应设置消防应急广播，消防应急广播与日常广播合用时，应具有火灾时强制切入消防应急广播的功能。</w:t>
      </w:r>
    </w:p>
    <w:p w14:paraId="15A8BB2A">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7.</w:t>
      </w:r>
      <w:r>
        <w:rPr>
          <w:rFonts w:ascii="宋体" w:hAnsi="宋体"/>
          <w:color w:val="000000" w:themeColor="text1"/>
          <w:sz w:val="28"/>
          <w:szCs w:val="28"/>
          <w14:textFill>
            <w14:solidFill>
              <w14:schemeClr w14:val="tx1"/>
            </w14:solidFill>
          </w14:textFill>
        </w:rPr>
        <w:t>1</w:t>
      </w:r>
      <w:r>
        <w:rPr>
          <w:rFonts w:hint="eastAsia" w:ascii="宋体" w:hAnsi="宋体"/>
          <w:color w:val="000000" w:themeColor="text1"/>
          <w:sz w:val="28"/>
          <w:szCs w:val="28"/>
          <w14:textFill>
            <w14:solidFill>
              <w14:schemeClr w14:val="tx1"/>
            </w14:solidFill>
          </w14:textFill>
        </w:rPr>
        <w:t>.7</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设有火灾自动报警和消防联动控制装置的平房区，应设消防控制室。</w:t>
      </w:r>
    </w:p>
    <w:p w14:paraId="07EE081D">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7.</w:t>
      </w:r>
      <w:r>
        <w:rPr>
          <w:rFonts w:ascii="宋体" w:hAnsi="宋体"/>
          <w:color w:val="000000" w:themeColor="text1"/>
          <w:sz w:val="28"/>
          <w:szCs w:val="28"/>
          <w14:textFill>
            <w14:solidFill>
              <w14:schemeClr w14:val="tx1"/>
            </w14:solidFill>
          </w14:textFill>
        </w:rPr>
        <w:t>1</w:t>
      </w:r>
      <w:r>
        <w:rPr>
          <w:rFonts w:hint="eastAsia" w:ascii="宋体" w:hAnsi="宋体"/>
          <w:color w:val="000000" w:themeColor="text1"/>
          <w:sz w:val="28"/>
          <w:szCs w:val="28"/>
          <w14:textFill>
            <w14:solidFill>
              <w14:schemeClr w14:val="tx1"/>
            </w14:solidFill>
          </w14:textFill>
        </w:rPr>
        <w:t>.8</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平房区的消防控制室应满足下列要求：</w:t>
      </w:r>
    </w:p>
    <w:p w14:paraId="725CD174">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应设在临近消防车道、交通方便、易于消防救援人员找到并可以接近的部位；</w:t>
      </w:r>
    </w:p>
    <w:p w14:paraId="3DEF141F">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应设在发生火灾时不易延燃的部位；</w:t>
      </w:r>
    </w:p>
    <w:p w14:paraId="307EDF3F">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宜与监控、广播、通信设施等用房相邻近;</w:t>
      </w:r>
    </w:p>
    <w:p w14:paraId="6610F5B2">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宜符合现行国家标准《火灾自动报警系统设计规范》GB50116、《建筑设计防火规范》GB50016和《消防控制室通用技术要求》GB25506的规定。</w:t>
      </w:r>
    </w:p>
    <w:p w14:paraId="770E6D0B">
      <w:pPr>
        <w:pStyle w:val="3"/>
        <w:spacing w:line="360" w:lineRule="auto"/>
        <w:rPr>
          <w:rFonts w:ascii="宋体" w:hAnsi="宋体"/>
          <w:sz w:val="28"/>
          <w:szCs w:val="28"/>
        </w:rPr>
      </w:pPr>
      <w:bookmarkStart w:id="116" w:name="_Toc151062663"/>
      <w:bookmarkStart w:id="117" w:name="_Toc151063131"/>
      <w:bookmarkStart w:id="118" w:name="_Toc151062994"/>
      <w:bookmarkStart w:id="119" w:name="_Toc151061865"/>
      <w:r>
        <w:rPr>
          <w:rFonts w:hint="eastAsia" w:ascii="宋体" w:hAnsi="宋体"/>
          <w:sz w:val="28"/>
          <w:szCs w:val="28"/>
        </w:rPr>
        <w:t>7.</w:t>
      </w:r>
      <w:r>
        <w:rPr>
          <w:rFonts w:ascii="宋体" w:hAnsi="宋体"/>
          <w:sz w:val="28"/>
          <w:szCs w:val="28"/>
        </w:rPr>
        <w:t>2</w:t>
      </w: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平房院落</w:t>
      </w:r>
      <w:bookmarkEnd w:id="116"/>
      <w:bookmarkEnd w:id="117"/>
      <w:bookmarkEnd w:id="118"/>
      <w:bookmarkEnd w:id="119"/>
    </w:p>
    <w:p w14:paraId="4D82EBF6">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7.</w:t>
      </w:r>
      <w:r>
        <w:rPr>
          <w:rFonts w:ascii="宋体" w:hAnsi="宋体"/>
          <w:color w:val="000000" w:themeColor="text1"/>
          <w:sz w:val="28"/>
          <w:szCs w:val="28"/>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.1</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平房院落的灭火消防救援条件应满足消防救援人员自接到火灾报警起，携带设备5min内到达现场的要求。当难以满足要求时，应增设微型消防站并确保微型消防站的配置应符合平房院落的救援需求。</w:t>
      </w:r>
    </w:p>
    <w:p w14:paraId="5094D7E2">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7.</w:t>
      </w:r>
      <w:r>
        <w:rPr>
          <w:rFonts w:ascii="宋体" w:hAnsi="宋体"/>
          <w:color w:val="000000" w:themeColor="text1"/>
          <w:sz w:val="28"/>
          <w:szCs w:val="28"/>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.2</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平房院落与相邻的院落之间以胡同间隔时，胡同两侧的墙体构造与防火间距应满足下列要求：</w:t>
      </w:r>
    </w:p>
    <w:p w14:paraId="1078FDC0">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胡同两侧的建筑之间的间距不小于4.0m；</w:t>
      </w:r>
    </w:p>
    <w:p w14:paraId="27ED3FFE">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胡同一侧的墙为不燃墙体，当胡同的宽度大于2.0m但不大于4.0m，墙体上门、窗洞口或其他可燃物的面积占墙体总面积的比例不超过5%；胡同的宽度不大于2.0m时，墙上不设门、窗洞口；</w:t>
      </w:r>
    </w:p>
    <w:p w14:paraId="11424081">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胡同两侧的墙均为不燃墙体，且墙上的门、窗洞口或其他可燃物等错开布置。当胡同的宽度大于2.0m但不大于4.0m，其水平错开间距不小于1.0m。胡同的宽度不大于2.0m时，其水平错开间距不小于3.0m。</w:t>
      </w:r>
    </w:p>
    <w:p w14:paraId="310F6494">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7.</w:t>
      </w:r>
      <w:r>
        <w:rPr>
          <w:rFonts w:ascii="宋体" w:hAnsi="宋体"/>
          <w:color w:val="000000" w:themeColor="text1"/>
          <w:sz w:val="28"/>
          <w:szCs w:val="28"/>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.3</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平房院落与相邻建筑直接贴邻时，贴邻其他院落的山墙、后檐墙等应采用不燃材料，且墙上的开洞应采取防火封堵措施。当院落之间的隔墙、外墙或屋面局部采用木构件时，木构件不应连续布置，断开处应采用不燃材料设置宽度不应小于300mm的防火隔离带。</w:t>
      </w:r>
    </w:p>
    <w:p w14:paraId="0600F686">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7.</w:t>
      </w:r>
      <w:r>
        <w:rPr>
          <w:rFonts w:ascii="宋体" w:hAnsi="宋体"/>
          <w:color w:val="000000" w:themeColor="text1"/>
          <w:sz w:val="28"/>
          <w:szCs w:val="28"/>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.4</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以下场所宜布置在贴邻消防车道的位置，且最近的出入口距离消防车道不宜超过30m：</w:t>
      </w:r>
    </w:p>
    <w:p w14:paraId="371421C5">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医院、疗养院、老年人照料设施、学校及类似使用功能的建筑；</w:t>
      </w:r>
    </w:p>
    <w:p w14:paraId="79D787E3">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托儿所、幼儿园的儿童用房和儿童游乐厅等儿童活动场所。</w:t>
      </w:r>
    </w:p>
    <w:p w14:paraId="1A49B7B9">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7.</w:t>
      </w:r>
      <w:r>
        <w:rPr>
          <w:rFonts w:ascii="宋体" w:hAnsi="宋体"/>
          <w:color w:val="000000" w:themeColor="text1"/>
          <w:sz w:val="28"/>
          <w:szCs w:val="28"/>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.5</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有明火的厨房不应设置于檩条、望板、挑檐等采用木构件的房间内。燃气厨房的燃气管道应从室外直接进入燃气厨房，且厨房与其他室内功能之间应按现行规范要求采用耐火极限不低于2.0h的不燃性防火隔墙和乙级防火门进行分隔。</w:t>
      </w:r>
    </w:p>
    <w:p w14:paraId="1F3E7663">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7.</w:t>
      </w:r>
      <w:r>
        <w:rPr>
          <w:rFonts w:ascii="宋体" w:hAnsi="宋体"/>
          <w:color w:val="000000" w:themeColor="text1"/>
          <w:sz w:val="28"/>
          <w:szCs w:val="28"/>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.6</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平房院落的商业与餐饮等营业性场所内不宜设置住宿，如确需设置时，住宿与非住宿部分之间的防火分隔及安全疏散应满足以下要求。</w:t>
      </w:r>
    </w:p>
    <w:p w14:paraId="024A837A">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住宿人员不应超过2人；</w:t>
      </w:r>
    </w:p>
    <w:p w14:paraId="05CC47EC">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住宿与非住宿部分之间应采用混凝土楼板、不小于2.0h耐火极限的不燃性隔墙或实体砖墙分隔并砌筑至楼板底部，确需开口连通，应采用乙级防火门；在单层建筑中，住宿与非住宿部分应分别设置直通室外的疏散出口；</w:t>
      </w:r>
    </w:p>
    <w:p w14:paraId="2312FAE9">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住宿部位宜设在首层靠外墙处，并设置可开启外窗；</w:t>
      </w:r>
    </w:p>
    <w:p w14:paraId="0E7FFFCE">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住宿部位设置在二层时，二层应具有可供逃生的外窗、阳台或者屋顶平台，宜配备多用途消防救生梯。</w:t>
      </w:r>
    </w:p>
    <w:p w14:paraId="45B874FF">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7.</w:t>
      </w:r>
      <w:r>
        <w:rPr>
          <w:rFonts w:ascii="宋体" w:hAnsi="宋体"/>
          <w:color w:val="000000" w:themeColor="text1"/>
          <w:sz w:val="28"/>
          <w:szCs w:val="28"/>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14:textFill>
            <w14:solidFill>
              <w14:schemeClr w14:val="tx1"/>
            </w14:solidFill>
          </w14:textFill>
        </w:rPr>
        <w:t xml:space="preserve">7  </w:t>
      </w:r>
      <w:r>
        <w:rPr>
          <w:rFonts w:hint="eastAsia" w:ascii="宋体" w:hAnsi="宋体"/>
          <w:color w:val="000000" w:themeColor="text1"/>
          <w:sz w:val="28"/>
          <w:szCs w:val="28"/>
          <w14:textFill>
            <w14:solidFill>
              <w14:schemeClr w14:val="tx1"/>
            </w14:solidFill>
          </w14:textFill>
        </w:rPr>
        <w:t>利用平房院落设置的民宿和人才公寓等应满足以下要求：</w:t>
      </w:r>
    </w:p>
    <w:p w14:paraId="43097810">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应在房间内设置疏散路线指示图。</w:t>
      </w:r>
    </w:p>
    <w:p w14:paraId="1F51E30C">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应在房间内和内庭院设置消防应急疏散照明和灯光疏散指示标志。</w:t>
      </w:r>
    </w:p>
    <w:p w14:paraId="4A5B3EC1">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用于睡眠的客房应设置火灾声光报警装置。</w:t>
      </w:r>
    </w:p>
    <w:p w14:paraId="3646FF64">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用于睡眠的客房以及从客房通往室外的其他室内公共空间，应设置火灾探测系统，可采用独立式感烟火灾探测报警器。</w:t>
      </w:r>
    </w:p>
    <w:p w14:paraId="31470BD7">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7.</w:t>
      </w:r>
      <w:r>
        <w:rPr>
          <w:rFonts w:ascii="宋体" w:hAnsi="宋体"/>
          <w:color w:val="000000" w:themeColor="text1"/>
          <w:sz w:val="28"/>
          <w:szCs w:val="28"/>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14:textFill>
            <w14:solidFill>
              <w14:schemeClr w14:val="tx1"/>
            </w14:solidFill>
          </w14:textFill>
        </w:rPr>
        <w:t xml:space="preserve">8  </w:t>
      </w:r>
      <w:r>
        <w:rPr>
          <w:rFonts w:hint="eastAsia" w:ascii="宋体" w:hAnsi="宋体"/>
          <w:color w:val="000000" w:themeColor="text1"/>
          <w:sz w:val="28"/>
          <w:szCs w:val="28"/>
          <w14:textFill>
            <w14:solidFill>
              <w14:schemeClr w14:val="tx1"/>
            </w14:solidFill>
          </w14:textFill>
        </w:rPr>
        <w:t>平房院落不应设置火灾危险性为甲、乙、丙类的生产和集中性储存的场所。当设置服务于商业或居民的储藏间时，储藏间应采用耐火极限不小于1.0h的顶板和2.0h的不燃墙体分隔，储藏间的门应为乙级防火门，且单个储藏间的面积不应超过20㎡。</w:t>
      </w:r>
    </w:p>
    <w:p w14:paraId="3B9086CE">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7.</w:t>
      </w:r>
      <w:r>
        <w:rPr>
          <w:rFonts w:ascii="宋体" w:hAnsi="宋体"/>
          <w:color w:val="000000" w:themeColor="text1"/>
          <w:sz w:val="28"/>
          <w:szCs w:val="28"/>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14:textFill>
            <w14:solidFill>
              <w14:schemeClr w14:val="tx1"/>
            </w14:solidFill>
          </w14:textFill>
        </w:rPr>
        <w:t xml:space="preserve">9  </w:t>
      </w:r>
      <w:r>
        <w:rPr>
          <w:rFonts w:hint="eastAsia" w:ascii="宋体" w:hAnsi="宋体"/>
          <w:color w:val="000000" w:themeColor="text1"/>
          <w:sz w:val="28"/>
          <w:szCs w:val="28"/>
          <w14:textFill>
            <w14:solidFill>
              <w14:schemeClr w14:val="tx1"/>
            </w14:solidFill>
          </w14:textFill>
        </w:rPr>
        <w:t>平房院落的耐火等级和建筑构件的燃烧性能应满足以下要求：</w:t>
      </w:r>
    </w:p>
    <w:p w14:paraId="1F97DCE2">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除因历史风貌需要的保留的木结构外，其他构件的燃烧性能和耐火性能均应符合现行相关标准的要求。</w:t>
      </w:r>
    </w:p>
    <w:p w14:paraId="6FAE0316">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新建、扩建的阁楼、露台、地下室等，其建筑构件的耐火性能和建筑材料的燃烧性能均应符合国家现行相关标准的要求。</w:t>
      </w:r>
    </w:p>
    <w:p w14:paraId="32AAC249">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7.</w:t>
      </w:r>
      <w:r>
        <w:rPr>
          <w:rFonts w:ascii="宋体" w:hAnsi="宋体"/>
          <w:color w:val="000000" w:themeColor="text1"/>
          <w:sz w:val="28"/>
          <w:szCs w:val="28"/>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.10</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平房院落的装修与装饰应满足以下要求：</w:t>
      </w:r>
    </w:p>
    <w:p w14:paraId="6E4FBD76">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1 </w:t>
      </w:r>
      <w:r>
        <w:rPr>
          <w:rFonts w:hint="eastAsia" w:ascii="宋体" w:hAnsi="宋体"/>
          <w:color w:val="000000" w:themeColor="text1"/>
          <w:sz w:val="28"/>
          <w:szCs w:val="28"/>
          <w14:textFill>
            <w14:solidFill>
              <w14:schemeClr w14:val="tx1"/>
            </w14:solidFill>
          </w14:textFill>
        </w:rPr>
        <w:t>除木构件外，其他装修材料均应符合《建筑内部装修设计防火规范》GB50222的要求。</w:t>
      </w:r>
    </w:p>
    <w:p w14:paraId="057A4A99">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2 </w:t>
      </w:r>
      <w:r>
        <w:rPr>
          <w:rFonts w:hint="eastAsia" w:ascii="宋体" w:hAnsi="宋体"/>
          <w:color w:val="000000" w:themeColor="text1"/>
          <w:sz w:val="28"/>
          <w:szCs w:val="28"/>
          <w14:textFill>
            <w14:solidFill>
              <w14:schemeClr w14:val="tx1"/>
            </w14:solidFill>
          </w14:textFill>
        </w:rPr>
        <w:t>使用明火的区域应采用A级保温材料，其他区域应采用燃烧性能等级不低于B1级的保温材料。</w:t>
      </w:r>
    </w:p>
    <w:p w14:paraId="547F47B3">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3 </w:t>
      </w:r>
      <w:r>
        <w:rPr>
          <w:rFonts w:hint="eastAsia" w:ascii="宋体" w:hAnsi="宋体"/>
          <w:color w:val="000000" w:themeColor="text1"/>
          <w:sz w:val="28"/>
          <w:szCs w:val="28"/>
          <w14:textFill>
            <w14:solidFill>
              <w14:schemeClr w14:val="tx1"/>
            </w14:solidFill>
          </w14:textFill>
        </w:rPr>
        <w:t>室外广告牌、遮阳棚等应采用不燃或难燃材料制作，且不应影响疏散设施的使用、消防车的通行以及灭火救援行动。</w:t>
      </w:r>
    </w:p>
    <w:p w14:paraId="4E10BD7B">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7.</w:t>
      </w:r>
      <w:r>
        <w:rPr>
          <w:rFonts w:ascii="宋体" w:hAnsi="宋体"/>
          <w:color w:val="000000" w:themeColor="text1"/>
          <w:sz w:val="28"/>
          <w:szCs w:val="28"/>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.1</w:t>
      </w:r>
      <w:r>
        <w:rPr>
          <w:rFonts w:ascii="宋体" w:hAnsi="宋体"/>
          <w:color w:val="000000" w:themeColor="text1"/>
          <w:sz w:val="28"/>
          <w:szCs w:val="28"/>
          <w14:textFill>
            <w14:solidFill>
              <w14:schemeClr w14:val="tx1"/>
            </w14:solidFill>
          </w14:textFill>
        </w:rPr>
        <w:t xml:space="preserve">1  </w:t>
      </w:r>
      <w:r>
        <w:rPr>
          <w:rFonts w:hint="eastAsia" w:ascii="宋体" w:hAnsi="宋体"/>
          <w:color w:val="000000" w:themeColor="text1"/>
          <w:sz w:val="28"/>
          <w:szCs w:val="28"/>
          <w14:textFill>
            <w14:solidFill>
              <w14:schemeClr w14:val="tx1"/>
            </w14:solidFill>
          </w14:textFill>
        </w:rPr>
        <w:t>平房院落的人员疏散应满足以下要求：</w:t>
      </w:r>
    </w:p>
    <w:p w14:paraId="5F0FEB3B">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安全出口的数量、疏散宽度和疏散距离等应符合现行国家标准的规定。</w:t>
      </w:r>
    </w:p>
    <w:p w14:paraId="3DF805B3">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安全出口通往内庭院时，内庭院应能直接通往胡同或街道。</w:t>
      </w:r>
    </w:p>
    <w:p w14:paraId="2F77C7FB">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3 </w:t>
      </w:r>
      <w:r>
        <w:rPr>
          <w:rFonts w:hint="eastAsia" w:ascii="宋体" w:hAnsi="宋体"/>
          <w:color w:val="000000" w:themeColor="text1"/>
          <w:sz w:val="28"/>
          <w:szCs w:val="28"/>
          <w14:textFill>
            <w14:solidFill>
              <w14:schemeClr w14:val="tx1"/>
            </w14:solidFill>
          </w14:textFill>
        </w:rPr>
        <w:t>当二层的建筑面积不大于200㎡、人数不超过15人时，可利用通往一层的敞开楼梯作为安全出口；当不满足以上规定时，应增设直接通往室外或内庭院的室外楼梯作为第二个安全出口。</w:t>
      </w:r>
    </w:p>
    <w:p w14:paraId="684F5909">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7</w:t>
      </w:r>
      <w:r>
        <w:rPr>
          <w:rFonts w:ascii="宋体" w:hAnsi="宋体"/>
          <w:color w:val="000000" w:themeColor="text1"/>
          <w:sz w:val="28"/>
          <w:szCs w:val="28"/>
          <w14:textFill>
            <w14:solidFill>
              <w14:schemeClr w14:val="tx1"/>
            </w14:solidFill>
          </w14:textFill>
        </w:rPr>
        <w:t>.2.1</w:t>
      </w:r>
      <w:r>
        <w:rPr>
          <w:rFonts w:hint="eastAsia" w:ascii="宋体" w:hAnsi="宋体"/>
          <w:color w:val="000000" w:themeColor="text1"/>
          <w:sz w:val="28"/>
          <w:szCs w:val="28"/>
          <w14:textFill>
            <w14:solidFill>
              <w14:schemeClr w14:val="tx1"/>
            </w14:solidFill>
          </w14:textFill>
        </w:rPr>
        <w:t>2</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消防配电设备不得直接安装在木构件等可燃构件上，当必须安装在可燃构件上时，应采用不燃材料作防火隔热保护，并应采取故障电弧防护措施。</w:t>
      </w:r>
    </w:p>
    <w:p w14:paraId="0A929400">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7.</w:t>
      </w:r>
      <w:r>
        <w:rPr>
          <w:rFonts w:ascii="宋体" w:hAnsi="宋体"/>
          <w:color w:val="000000" w:themeColor="text1"/>
          <w:sz w:val="28"/>
          <w:szCs w:val="28"/>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.13</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消防控制室或消防值班室、配电室、应急广播室、视频监控室、消防水泵房、自备发电机房、消防器材库等发生火灾时仍需坚持工作的场所和设备用房应设置备用照明。</w:t>
      </w:r>
    </w:p>
    <w:p w14:paraId="3CE766B7">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7.</w:t>
      </w:r>
      <w:r>
        <w:rPr>
          <w:rFonts w:ascii="宋体" w:hAnsi="宋体"/>
          <w:color w:val="000000" w:themeColor="text1"/>
          <w:sz w:val="28"/>
          <w:szCs w:val="28"/>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.14</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平房院落用作下列功能时，其室内以及院落应设置消防应急疏散照明和灯光疏散指示标志。</w:t>
      </w:r>
    </w:p>
    <w:p w14:paraId="5D90ED6D">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参观游览厅、商业营业厅、观众厅、餐厅等；</w:t>
      </w:r>
    </w:p>
    <w:p w14:paraId="177F8293">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民宿、歌舞娱乐放映游艺场所、超市和室内夜间集会、表演场所等。</w:t>
      </w:r>
    </w:p>
    <w:p w14:paraId="6AC613B0">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7.</w:t>
      </w:r>
      <w:r>
        <w:rPr>
          <w:rFonts w:ascii="宋体" w:hAnsi="宋体"/>
          <w:color w:val="000000" w:themeColor="text1"/>
          <w:sz w:val="28"/>
          <w:szCs w:val="28"/>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14:textFill>
            <w14:solidFill>
              <w14:schemeClr w14:val="tx1"/>
            </w14:solidFill>
          </w14:textFill>
        </w:rPr>
        <w:t>1</w:t>
      </w:r>
      <w:r>
        <w:rPr>
          <w:rFonts w:hint="eastAsia" w:ascii="宋体" w:hAnsi="宋体"/>
          <w:color w:val="000000" w:themeColor="text1"/>
          <w:sz w:val="28"/>
          <w:szCs w:val="28"/>
          <w14:textFill>
            <w14:solidFill>
              <w14:schemeClr w14:val="tx1"/>
            </w14:solidFill>
          </w14:textFill>
        </w:rPr>
        <w:t>5</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独立式感烟火灾探测报警器应安装在疏散走道、住房、具有火灾危险性的房间、疏散楼梯的顶部。独立式感烟火灾探测报警器，声压级应高于60db且高于背景噪声15db。</w:t>
      </w:r>
    </w:p>
    <w:p w14:paraId="1B9CBE8F">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7.</w:t>
      </w:r>
      <w:r>
        <w:rPr>
          <w:rFonts w:ascii="宋体" w:hAnsi="宋体"/>
          <w:color w:val="000000" w:themeColor="text1"/>
          <w:sz w:val="28"/>
          <w:szCs w:val="28"/>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14:textFill>
            <w14:solidFill>
              <w14:schemeClr w14:val="tx1"/>
            </w14:solidFill>
          </w14:textFill>
        </w:rPr>
        <w:t>1</w:t>
      </w:r>
      <w:r>
        <w:rPr>
          <w:rFonts w:hint="eastAsia" w:ascii="宋体" w:hAnsi="宋体"/>
          <w:color w:val="000000" w:themeColor="text1"/>
          <w:sz w:val="28"/>
          <w:szCs w:val="28"/>
          <w14:textFill>
            <w14:solidFill>
              <w14:schemeClr w14:val="tx1"/>
            </w14:solidFill>
          </w14:textFill>
        </w:rPr>
        <w:t>6</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按现行规范要求不需要设置室内消火栓的平房院落，当建筑周边的市政消火栓或室外消火栓不能满足第</w:t>
      </w:r>
      <w:r>
        <w:rPr>
          <w:rFonts w:ascii="宋体" w:hAnsi="宋体"/>
          <w:color w:val="000000" w:themeColor="text1"/>
          <w:sz w:val="28"/>
          <w:szCs w:val="28"/>
          <w14:textFill>
            <w14:solidFill>
              <w14:schemeClr w14:val="tx1"/>
            </w14:solidFill>
          </w14:textFill>
        </w:rPr>
        <w:t>7</w:t>
      </w: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14:textFill>
            <w14:solidFill>
              <w14:schemeClr w14:val="tx1"/>
            </w14:solidFill>
          </w14:textFill>
        </w:rPr>
        <w:t>1</w:t>
      </w:r>
      <w:r>
        <w:rPr>
          <w:rFonts w:hint="eastAsia" w:ascii="宋体" w:hAnsi="宋体"/>
          <w:color w:val="000000" w:themeColor="text1"/>
          <w:sz w:val="28"/>
          <w:szCs w:val="28"/>
          <w14:textFill>
            <w14:solidFill>
              <w14:schemeClr w14:val="tx1"/>
            </w14:solidFill>
          </w14:textFill>
        </w:rPr>
        <w:t>节的要求时，应在建筑内补充配置消防软管卷盘或轻便消防水龙。消防卷盘或轻便消防水龙应符合《消防给水及消火栓系统技术规范》GB 50974的规定。</w:t>
      </w:r>
    </w:p>
    <w:p w14:paraId="60E92EEC">
      <w:pPr>
        <w:pStyle w:val="3"/>
        <w:spacing w:line="360" w:lineRule="auto"/>
        <w:rPr>
          <w:rFonts w:ascii="宋体" w:hAnsi="宋体"/>
          <w:sz w:val="28"/>
          <w:szCs w:val="28"/>
        </w:rPr>
      </w:pPr>
      <w:bookmarkStart w:id="120" w:name="_Toc130118215"/>
      <w:bookmarkStart w:id="121" w:name="_Toc151063132"/>
      <w:bookmarkStart w:id="122" w:name="_Toc151062995"/>
      <w:bookmarkStart w:id="123" w:name="_Toc151062664"/>
      <w:bookmarkStart w:id="124" w:name="_Toc151061866"/>
      <w:r>
        <w:rPr>
          <w:rFonts w:hint="eastAsia" w:ascii="宋体" w:hAnsi="宋体"/>
          <w:sz w:val="28"/>
          <w:szCs w:val="28"/>
        </w:rPr>
        <w:t>7.</w:t>
      </w:r>
      <w:r>
        <w:rPr>
          <w:rFonts w:ascii="宋体" w:hAnsi="宋体"/>
          <w:sz w:val="28"/>
          <w:szCs w:val="28"/>
        </w:rPr>
        <w:t>3</w:t>
      </w: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商业</w:t>
      </w:r>
      <w:bookmarkEnd w:id="120"/>
      <w:r>
        <w:rPr>
          <w:rFonts w:hint="eastAsia" w:ascii="宋体" w:hAnsi="宋体"/>
          <w:sz w:val="28"/>
          <w:szCs w:val="28"/>
        </w:rPr>
        <w:t>设施</w:t>
      </w:r>
      <w:bookmarkEnd w:id="121"/>
      <w:bookmarkEnd w:id="122"/>
      <w:bookmarkEnd w:id="123"/>
      <w:bookmarkEnd w:id="124"/>
    </w:p>
    <w:p w14:paraId="242CBD5B">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7.</w:t>
      </w:r>
      <w:r>
        <w:rPr>
          <w:rFonts w:ascii="宋体" w:hAnsi="宋体"/>
          <w:color w:val="000000" w:themeColor="text1"/>
          <w:sz w:val="28"/>
          <w:szCs w:val="28"/>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.1</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利用平房院落设置的零售店铺、特色店铺、快餐、餐厅、酒吧、咖啡厅、小型演艺场所等（不包括顾客无法入内的邻街售货亭）尚应满足本节的要求。</w:t>
      </w:r>
    </w:p>
    <w:p w14:paraId="23F96707">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7.</w:t>
      </w:r>
      <w:r>
        <w:rPr>
          <w:rFonts w:ascii="宋体" w:hAnsi="宋体"/>
          <w:color w:val="000000" w:themeColor="text1"/>
          <w:sz w:val="28"/>
          <w:szCs w:val="28"/>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14:textFill>
            <w14:solidFill>
              <w14:schemeClr w14:val="tx1"/>
            </w14:solidFill>
          </w14:textFill>
        </w:rPr>
        <w:t xml:space="preserve">2  </w:t>
      </w:r>
      <w:r>
        <w:rPr>
          <w:rFonts w:hint="eastAsia" w:ascii="宋体" w:hAnsi="宋体"/>
          <w:color w:val="000000" w:themeColor="text1"/>
          <w:sz w:val="28"/>
          <w:szCs w:val="28"/>
          <w14:textFill>
            <w14:solidFill>
              <w14:schemeClr w14:val="tx1"/>
            </w14:solidFill>
          </w14:textFill>
        </w:rPr>
        <w:t>当民居与商业设施贴临布置时，民居应设置独立的疏散通道通往胡同或其他开阔地带。当该疏散通道与商业设施相邻时，疏散通道的侧墙的耐火时间不应小于0.5h，当疏散通道上方设置顶板时，应采用不燃材料。</w:t>
      </w:r>
    </w:p>
    <w:p w14:paraId="673368F1">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7.</w:t>
      </w:r>
      <w:r>
        <w:rPr>
          <w:rFonts w:ascii="宋体" w:hAnsi="宋体"/>
          <w:color w:val="000000" w:themeColor="text1"/>
          <w:sz w:val="28"/>
          <w:szCs w:val="28"/>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14:textFill>
            <w14:solidFill>
              <w14:schemeClr w14:val="tx1"/>
            </w14:solidFill>
          </w14:textFill>
        </w:rPr>
        <w:t xml:space="preserve">3  </w:t>
      </w:r>
      <w:r>
        <w:rPr>
          <w:rFonts w:hint="eastAsia" w:ascii="宋体" w:hAnsi="宋体"/>
          <w:color w:val="000000" w:themeColor="text1"/>
          <w:sz w:val="28"/>
          <w:szCs w:val="28"/>
          <w14:textFill>
            <w14:solidFill>
              <w14:schemeClr w14:val="tx1"/>
            </w14:solidFill>
          </w14:textFill>
        </w:rPr>
        <w:t>餐饮类设施中面积超过20 m</w:t>
      </w:r>
      <w:r>
        <w:rPr>
          <w:rFonts w:hint="eastAsia" w:ascii="宋体" w:hAnsi="宋体"/>
          <w:color w:val="000000" w:themeColor="text1"/>
          <w:sz w:val="28"/>
          <w:szCs w:val="28"/>
          <w:vertAlign w:val="superscript"/>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的燃气厨房与用餐区之间应采取防火分隔措施。除服务人员出入口和送餐口宜设置乙级防火门或钢制防火卷帘外，不应设置其他洞口。排油烟管道应采用耐火极限不低于1.0h的不燃烧体，与可燃材料之间应采用厚度不小于5mm的不燃材料隔热。烟道出口应高出屋顶或伸出建筑外不小于0.5m。</w:t>
      </w:r>
    </w:p>
    <w:p w14:paraId="09B01EFE">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7.</w:t>
      </w:r>
      <w:r>
        <w:rPr>
          <w:rFonts w:ascii="宋体" w:hAnsi="宋体"/>
          <w:color w:val="000000" w:themeColor="text1"/>
          <w:sz w:val="28"/>
          <w:szCs w:val="28"/>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14:textFill>
            <w14:solidFill>
              <w14:schemeClr w14:val="tx1"/>
            </w14:solidFill>
          </w14:textFill>
        </w:rPr>
        <w:t xml:space="preserve">4  </w:t>
      </w:r>
      <w:r>
        <w:rPr>
          <w:rFonts w:hint="eastAsia" w:ascii="宋体" w:hAnsi="宋体"/>
          <w:color w:val="000000" w:themeColor="text1"/>
          <w:sz w:val="28"/>
          <w:szCs w:val="28"/>
          <w14:textFill>
            <w14:solidFill>
              <w14:schemeClr w14:val="tx1"/>
            </w14:solidFill>
          </w14:textFill>
        </w:rPr>
        <w:t>单个商业设施的总建筑面积大于200m</w:t>
      </w:r>
      <w:r>
        <w:rPr>
          <w:rFonts w:hint="eastAsia" w:ascii="宋体" w:hAnsi="宋体"/>
          <w:color w:val="000000" w:themeColor="text1"/>
          <w:sz w:val="28"/>
          <w:szCs w:val="28"/>
          <w:vertAlign w:val="superscript"/>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时，应设置至少2个疏散门通往街道或胡同等室外区域，且2个疏散门的间距不小于5m。从最远点经由通道通往室外的疏散距离不宜超过30m。</w:t>
      </w:r>
    </w:p>
    <w:p w14:paraId="04BA2ED9">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7.</w:t>
      </w:r>
      <w:r>
        <w:rPr>
          <w:rFonts w:ascii="宋体" w:hAnsi="宋体"/>
          <w:color w:val="000000" w:themeColor="text1"/>
          <w:sz w:val="28"/>
          <w:szCs w:val="28"/>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14:textFill>
            <w14:solidFill>
              <w14:schemeClr w14:val="tx1"/>
            </w14:solidFill>
          </w14:textFill>
        </w:rPr>
        <w:t xml:space="preserve">5  </w:t>
      </w:r>
      <w:r>
        <w:rPr>
          <w:rFonts w:hint="eastAsia" w:ascii="宋体" w:hAnsi="宋体"/>
          <w:color w:val="000000" w:themeColor="text1"/>
          <w:sz w:val="28"/>
          <w:szCs w:val="28"/>
          <w14:textFill>
            <w14:solidFill>
              <w14:schemeClr w14:val="tx1"/>
            </w14:solidFill>
          </w14:textFill>
        </w:rPr>
        <w:t>餐饮类设施的公共用餐区人员疏散时不应经过厨房。</w:t>
      </w:r>
    </w:p>
    <w:p w14:paraId="6ED0632A">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7.</w:t>
      </w:r>
      <w:r>
        <w:rPr>
          <w:rFonts w:ascii="宋体" w:hAnsi="宋体"/>
          <w:color w:val="000000" w:themeColor="text1"/>
          <w:sz w:val="28"/>
          <w:szCs w:val="28"/>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14:textFill>
            <w14:solidFill>
              <w14:schemeClr w14:val="tx1"/>
            </w14:solidFill>
          </w14:textFill>
        </w:rPr>
        <w:t xml:space="preserve">6  </w:t>
      </w:r>
      <w:r>
        <w:rPr>
          <w:rFonts w:hint="eastAsia" w:ascii="宋体" w:hAnsi="宋体"/>
          <w:color w:val="000000" w:themeColor="text1"/>
          <w:sz w:val="28"/>
          <w:szCs w:val="28"/>
          <w14:textFill>
            <w14:solidFill>
              <w14:schemeClr w14:val="tx1"/>
            </w14:solidFill>
          </w14:textFill>
        </w:rPr>
        <w:t>餐厅、咖啡厅的人员密度可按1.1 m</w:t>
      </w:r>
      <w:r>
        <w:rPr>
          <w:rFonts w:hint="eastAsia" w:ascii="宋体" w:hAnsi="宋体"/>
          <w:color w:val="000000" w:themeColor="text1"/>
          <w:sz w:val="28"/>
          <w:szCs w:val="28"/>
          <w:vertAlign w:val="superscript"/>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/人确定，酒吧的人员密度宜按0.65 m</w:t>
      </w:r>
      <w:r>
        <w:rPr>
          <w:rFonts w:hint="eastAsia" w:ascii="宋体" w:hAnsi="宋体"/>
          <w:color w:val="000000" w:themeColor="text1"/>
          <w:sz w:val="28"/>
          <w:szCs w:val="28"/>
          <w:vertAlign w:val="superscript"/>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/人。 带露台的建筑，当露台用作为经营场所时，应将露台人数计入二层疏散人数。</w:t>
      </w:r>
    </w:p>
    <w:p w14:paraId="422065B2">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7.</w:t>
      </w:r>
      <w:r>
        <w:rPr>
          <w:rFonts w:ascii="宋体" w:hAnsi="宋体"/>
          <w:color w:val="000000" w:themeColor="text1"/>
          <w:sz w:val="28"/>
          <w:szCs w:val="28"/>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14:textFill>
            <w14:solidFill>
              <w14:schemeClr w14:val="tx1"/>
            </w14:solidFill>
          </w14:textFill>
        </w:rPr>
        <w:t xml:space="preserve">7  </w:t>
      </w:r>
      <w:r>
        <w:rPr>
          <w:rFonts w:hint="eastAsia" w:ascii="宋体" w:hAnsi="宋体"/>
          <w:color w:val="000000" w:themeColor="text1"/>
          <w:sz w:val="28"/>
          <w:szCs w:val="28"/>
          <w14:textFill>
            <w14:solidFill>
              <w14:schemeClr w14:val="tx1"/>
            </w14:solidFill>
          </w14:textFill>
        </w:rPr>
        <w:t>商业设施中的公共场所的院内疏散通道的宽度不应小于0.8m；疏散门应采用向疏散方向开启的平开门（单扇门疏散人数不超过30人时不限），并应确保人员在火灾时易于从内部打开。当在首层设置向疏散方向开启的平开门确有困难而需采用卷帘门、推拉门时，在营业期间必须保持开启状态。</w:t>
      </w:r>
    </w:p>
    <w:p w14:paraId="1CA8EB6F">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7.</w:t>
      </w:r>
      <w:r>
        <w:rPr>
          <w:rFonts w:ascii="宋体" w:hAnsi="宋体"/>
          <w:color w:val="000000" w:themeColor="text1"/>
          <w:sz w:val="28"/>
          <w:szCs w:val="28"/>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14:textFill>
            <w14:solidFill>
              <w14:schemeClr w14:val="tx1"/>
            </w14:solidFill>
          </w14:textFill>
        </w:rPr>
        <w:t xml:space="preserve">8  </w:t>
      </w:r>
      <w:r>
        <w:rPr>
          <w:rFonts w:hint="eastAsia" w:ascii="宋体" w:hAnsi="宋体"/>
          <w:color w:val="000000" w:themeColor="text1"/>
          <w:sz w:val="28"/>
          <w:szCs w:val="28"/>
          <w14:textFill>
            <w14:solidFill>
              <w14:schemeClr w14:val="tx1"/>
            </w14:solidFill>
          </w14:textFill>
        </w:rPr>
        <w:t>商业设施内部的疏散出口上方应设有安全出口标志。从内部不能直接看到安全出口标志时，应在高位补充设置疏散指示标志。店铺内的商品的摆放不应遮挡安全出口或疏散指示标志。</w:t>
      </w:r>
    </w:p>
    <w:p w14:paraId="3059116B">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7.</w:t>
      </w:r>
      <w:r>
        <w:rPr>
          <w:rFonts w:ascii="宋体" w:hAnsi="宋体"/>
          <w:color w:val="000000" w:themeColor="text1"/>
          <w:sz w:val="28"/>
          <w:szCs w:val="28"/>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14:textFill>
            <w14:solidFill>
              <w14:schemeClr w14:val="tx1"/>
            </w14:solidFill>
          </w14:textFill>
        </w:rPr>
        <w:t xml:space="preserve">9  </w:t>
      </w:r>
      <w:r>
        <w:rPr>
          <w:rFonts w:hint="eastAsia" w:ascii="宋体" w:hAnsi="宋体"/>
          <w:color w:val="000000" w:themeColor="text1"/>
          <w:sz w:val="28"/>
          <w:szCs w:val="28"/>
          <w14:textFill>
            <w14:solidFill>
              <w14:schemeClr w14:val="tx1"/>
            </w14:solidFill>
          </w14:textFill>
        </w:rPr>
        <w:t>展示类或体验类商业，当存在影响人员第一时间发现火灾（如视觉体验、虚拟现实体验、以及存在黑暗环境体验等）的情况时，应火灾自动探测器以及声光报警系统。</w:t>
      </w:r>
    </w:p>
    <w:p w14:paraId="31D5EDB7">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7.</w:t>
      </w:r>
      <w:r>
        <w:rPr>
          <w:rFonts w:ascii="宋体" w:hAnsi="宋体"/>
          <w:color w:val="000000" w:themeColor="text1"/>
          <w:sz w:val="28"/>
          <w:szCs w:val="28"/>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14:textFill>
            <w14:solidFill>
              <w14:schemeClr w14:val="tx1"/>
            </w14:solidFill>
          </w14:textFill>
        </w:rPr>
        <w:t xml:space="preserve">10  </w:t>
      </w:r>
      <w:r>
        <w:rPr>
          <w:rFonts w:hint="eastAsia" w:ascii="宋体" w:hAnsi="宋体"/>
          <w:color w:val="000000" w:themeColor="text1"/>
          <w:sz w:val="28"/>
          <w:szCs w:val="28"/>
          <w14:textFill>
            <w14:solidFill>
              <w14:schemeClr w14:val="tx1"/>
            </w14:solidFill>
          </w14:textFill>
        </w:rPr>
        <w:t>单个商业设施的总建筑面积超过100m</w:t>
      </w:r>
      <w:r>
        <w:rPr>
          <w:rFonts w:hint="eastAsia" w:ascii="宋体" w:hAnsi="宋体"/>
          <w:color w:val="000000" w:themeColor="text1"/>
          <w:sz w:val="28"/>
          <w:szCs w:val="28"/>
          <w:vertAlign w:val="superscript"/>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的时，应满足以下要求：</w:t>
      </w:r>
    </w:p>
    <w:p w14:paraId="0D573340">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应设置火灾探测系统，可采用独立式感烟火灾探测报警器。</w:t>
      </w:r>
    </w:p>
    <w:p w14:paraId="318F54B8">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2 </w:t>
      </w:r>
      <w:r>
        <w:rPr>
          <w:rFonts w:hint="eastAsia" w:ascii="宋体" w:hAnsi="宋体"/>
          <w:color w:val="000000" w:themeColor="text1"/>
          <w:sz w:val="28"/>
          <w:szCs w:val="28"/>
          <w14:textFill>
            <w14:solidFill>
              <w14:schemeClr w14:val="tx1"/>
            </w14:solidFill>
          </w14:textFill>
        </w:rPr>
        <w:t>应设置自动灭火系统，可利用生活供水系统设置简易喷淋。</w:t>
      </w:r>
    </w:p>
    <w:p w14:paraId="139D2969">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7.</w:t>
      </w:r>
      <w:r>
        <w:rPr>
          <w:rFonts w:ascii="宋体" w:hAnsi="宋体"/>
          <w:color w:val="000000" w:themeColor="text1"/>
          <w:sz w:val="28"/>
          <w:szCs w:val="28"/>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.1</w:t>
      </w:r>
      <w:r>
        <w:rPr>
          <w:rFonts w:ascii="宋体" w:hAnsi="宋体"/>
          <w:color w:val="000000" w:themeColor="text1"/>
          <w:sz w:val="28"/>
          <w:szCs w:val="28"/>
          <w14:textFill>
            <w14:solidFill>
              <w14:schemeClr w14:val="tx1"/>
            </w14:solidFill>
          </w14:textFill>
        </w:rPr>
        <w:t xml:space="preserve">1  </w:t>
      </w:r>
      <w:r>
        <w:rPr>
          <w:rFonts w:hint="eastAsia" w:ascii="宋体" w:hAnsi="宋体"/>
          <w:color w:val="000000" w:themeColor="text1"/>
          <w:sz w:val="28"/>
          <w:szCs w:val="28"/>
          <w14:textFill>
            <w14:solidFill>
              <w14:schemeClr w14:val="tx1"/>
            </w14:solidFill>
          </w14:textFill>
        </w:rPr>
        <w:t>歌舞娱乐放映游艺场所、室内表演等场所的配电线路应设置电气火灾监控系统；超市、室内游览厅、商业营业厅、观众厅、餐厅、展览厅等宜设置电气火灾监控系统。未设置消防控制室的场所，可以采用独立式电气火灾监控装置。</w:t>
      </w:r>
    </w:p>
    <w:p w14:paraId="03A2937B">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7.</w:t>
      </w:r>
      <w:r>
        <w:rPr>
          <w:rFonts w:ascii="宋体" w:hAnsi="宋体"/>
          <w:color w:val="000000" w:themeColor="text1"/>
          <w:sz w:val="28"/>
          <w:szCs w:val="28"/>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.1</w:t>
      </w:r>
      <w:r>
        <w:rPr>
          <w:rFonts w:ascii="宋体" w:hAnsi="宋体"/>
          <w:color w:val="000000" w:themeColor="text1"/>
          <w:sz w:val="28"/>
          <w:szCs w:val="28"/>
          <w14:textFill>
            <w14:solidFill>
              <w14:schemeClr w14:val="tx1"/>
            </w14:solidFill>
          </w14:textFill>
        </w:rPr>
        <w:t xml:space="preserve">2  </w:t>
      </w:r>
      <w:r>
        <w:rPr>
          <w:rFonts w:hint="eastAsia" w:ascii="宋体" w:hAnsi="宋体"/>
          <w:color w:val="000000" w:themeColor="text1"/>
          <w:sz w:val="28"/>
          <w:szCs w:val="28"/>
          <w14:textFill>
            <w14:solidFill>
              <w14:schemeClr w14:val="tx1"/>
            </w14:solidFill>
          </w14:textFill>
        </w:rPr>
        <w:t>单个商业设施的总建筑面积大于500m</w:t>
      </w:r>
      <w:r>
        <w:rPr>
          <w:rFonts w:hint="eastAsia" w:ascii="宋体" w:hAnsi="宋体"/>
          <w:color w:val="000000" w:themeColor="text1"/>
          <w:sz w:val="28"/>
          <w:szCs w:val="28"/>
          <w:vertAlign w:val="superscript"/>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时，宜设置室内消火栓。</w:t>
      </w:r>
    </w:p>
    <w:p w14:paraId="5834762B">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7.</w:t>
      </w:r>
      <w:r>
        <w:rPr>
          <w:rFonts w:ascii="宋体" w:hAnsi="宋体"/>
          <w:color w:val="000000" w:themeColor="text1"/>
          <w:sz w:val="28"/>
          <w:szCs w:val="28"/>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.1</w:t>
      </w:r>
      <w:r>
        <w:rPr>
          <w:rFonts w:ascii="宋体" w:hAnsi="宋体"/>
          <w:color w:val="000000" w:themeColor="text1"/>
          <w:sz w:val="28"/>
          <w:szCs w:val="28"/>
          <w14:textFill>
            <w14:solidFill>
              <w14:schemeClr w14:val="tx1"/>
            </w14:solidFill>
          </w14:textFill>
        </w:rPr>
        <w:t xml:space="preserve">3  </w:t>
      </w:r>
      <w:r>
        <w:rPr>
          <w:rFonts w:hint="eastAsia" w:ascii="宋体" w:hAnsi="宋体"/>
          <w:color w:val="000000" w:themeColor="text1"/>
          <w:sz w:val="28"/>
          <w:szCs w:val="28"/>
          <w14:textFill>
            <w14:solidFill>
              <w14:schemeClr w14:val="tx1"/>
            </w14:solidFill>
          </w14:textFill>
        </w:rPr>
        <w:t>商业设施的室内以及内庭院等公共区应按国家现行标准《建筑灭火器配置规范》GB50140有关规定设置灭火器。</w:t>
      </w:r>
    </w:p>
    <w:p w14:paraId="167F3985">
      <w:pPr>
        <w:widowControl/>
        <w:snapToGrid w:val="0"/>
        <w:spacing w:line="300" w:lineRule="auto"/>
        <w:jc w:val="left"/>
        <w:rPr>
          <w:rFonts w:ascii="宋体" w:hAnsi="宋体"/>
          <w:color w:val="FF0000"/>
          <w:sz w:val="28"/>
          <w:szCs w:val="28"/>
        </w:rPr>
      </w:pPr>
    </w:p>
    <w:p w14:paraId="540397F9">
      <w:pPr>
        <w:widowControl/>
        <w:jc w:val="left"/>
        <w:rPr>
          <w:rFonts w:ascii="宋体" w:hAnsi="宋体"/>
          <w:color w:val="FF0000"/>
          <w:sz w:val="28"/>
          <w:szCs w:val="28"/>
        </w:rPr>
      </w:pPr>
      <w:r>
        <w:rPr>
          <w:rFonts w:ascii="宋体" w:hAnsi="宋体"/>
          <w:color w:val="FF0000"/>
          <w:sz w:val="28"/>
          <w:szCs w:val="28"/>
        </w:rPr>
        <w:br w:type="page"/>
      </w:r>
    </w:p>
    <w:p w14:paraId="474E2D57">
      <w:pPr>
        <w:pStyle w:val="3"/>
        <w:spacing w:line="360" w:lineRule="auto"/>
        <w:rPr>
          <w:color w:val="000000" w:themeColor="text1"/>
          <w:sz w:val="36"/>
          <w:szCs w:val="36"/>
          <w14:textFill>
            <w14:solidFill>
              <w14:schemeClr w14:val="tx1"/>
            </w14:solidFill>
          </w14:textFill>
        </w:rPr>
      </w:pPr>
      <w:bookmarkStart w:id="125" w:name="_Toc511660202"/>
      <w:bookmarkStart w:id="126" w:name="_Toc151062996"/>
      <w:bookmarkStart w:id="127" w:name="_Toc151063133"/>
      <w:bookmarkStart w:id="128" w:name="_Toc151062665"/>
      <w:r>
        <w:rPr>
          <w:rFonts w:hint="eastAsia"/>
          <w:color w:val="000000" w:themeColor="text1"/>
          <w:sz w:val="36"/>
          <w:szCs w:val="36"/>
          <w14:textFill>
            <w14:solidFill>
              <w14:schemeClr w14:val="tx1"/>
            </w14:solidFill>
          </w14:textFill>
        </w:rPr>
        <w:t>附录</w:t>
      </w:r>
      <w:r>
        <w:rPr>
          <w:color w:val="000000" w:themeColor="text1"/>
          <w:sz w:val="36"/>
          <w:szCs w:val="36"/>
          <w14:textFill>
            <w14:solidFill>
              <w14:schemeClr w14:val="tx1"/>
            </w14:solidFill>
          </w14:textFill>
        </w:rPr>
        <w:t xml:space="preserve">A  </w:t>
      </w:r>
      <w:bookmarkEnd w:id="125"/>
      <w:r>
        <w:rPr>
          <w:rFonts w:hint="eastAsia"/>
          <w:color w:val="000000" w:themeColor="text1"/>
          <w:sz w:val="36"/>
          <w:szCs w:val="36"/>
          <w14:textFill>
            <w14:solidFill>
              <w14:schemeClr w14:val="tx1"/>
            </w14:solidFill>
          </w14:textFill>
        </w:rPr>
        <w:t>消防安全评价报告</w:t>
      </w:r>
      <w:bookmarkEnd w:id="126"/>
      <w:bookmarkEnd w:id="127"/>
      <w:bookmarkEnd w:id="128"/>
    </w:p>
    <w:p w14:paraId="447EABDE">
      <w:pPr>
        <w:widowControl/>
        <w:snapToGrid w:val="0"/>
        <w:spacing w:line="300" w:lineRule="auto"/>
        <w:ind w:firstLine="420"/>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既有建筑</w:t>
      </w:r>
      <w:r>
        <w:rPr>
          <w:rFonts w:ascii="宋体" w:hAnsi="宋体"/>
          <w:color w:val="000000" w:themeColor="text1"/>
          <w:sz w:val="28"/>
          <w:szCs w:val="28"/>
          <w14:textFill>
            <w14:solidFill>
              <w14:schemeClr w14:val="tx1"/>
            </w14:solidFill>
          </w14:textFill>
        </w:rPr>
        <w:t>局部改造</w:t>
      </w:r>
      <w:r>
        <w:rPr>
          <w:rFonts w:hint="eastAsia" w:ascii="宋体" w:hAnsi="宋体"/>
          <w:color w:val="000000" w:themeColor="text1"/>
          <w:sz w:val="28"/>
          <w:szCs w:val="28"/>
          <w14:textFill>
            <w14:solidFill>
              <w14:schemeClr w14:val="tx1"/>
            </w14:solidFill>
          </w14:textFill>
        </w:rPr>
        <w:t>或</w:t>
      </w:r>
      <w:r>
        <w:rPr>
          <w:rFonts w:ascii="宋体" w:hAnsi="宋体"/>
          <w:color w:val="000000" w:themeColor="text1"/>
          <w:sz w:val="28"/>
          <w:szCs w:val="28"/>
          <w14:textFill>
            <w14:solidFill>
              <w14:schemeClr w14:val="tx1"/>
            </w14:solidFill>
          </w14:textFill>
        </w:rPr>
        <w:t>整体改造</w:t>
      </w:r>
      <w:r>
        <w:rPr>
          <w:rFonts w:hint="eastAsia" w:ascii="宋体" w:hAnsi="宋体"/>
          <w:color w:val="000000" w:themeColor="text1"/>
          <w:sz w:val="28"/>
          <w:szCs w:val="28"/>
          <w14:textFill>
            <w14:solidFill>
              <w14:schemeClr w14:val="tx1"/>
            </w14:solidFill>
          </w14:textFill>
        </w:rPr>
        <w:t>设计实施前，建设单位应组织开展消防安全评价，并形成消防安全评价报告。</w:t>
      </w:r>
    </w:p>
    <w:p w14:paraId="185022A0">
      <w:pPr>
        <w:pStyle w:val="3"/>
        <w:rPr>
          <w:rFonts w:ascii="黑体" w:hAnsi="黑体"/>
          <w:bCs w:val="0"/>
          <w:color w:val="000000" w:themeColor="text1"/>
          <w:sz w:val="28"/>
          <w:szCs w:val="28"/>
          <w14:textFill>
            <w14:solidFill>
              <w14:schemeClr w14:val="tx1"/>
            </w14:solidFill>
          </w14:textFill>
        </w:rPr>
      </w:pPr>
      <w:bookmarkStart w:id="129" w:name="_Toc151062666"/>
      <w:bookmarkStart w:id="130" w:name="_Toc151062997"/>
      <w:bookmarkStart w:id="131" w:name="_Toc151063134"/>
      <w:bookmarkStart w:id="132" w:name="_Toc151061867"/>
      <w:r>
        <w:rPr>
          <w:rFonts w:hint="eastAsia" w:ascii="黑体" w:hAnsi="黑体"/>
          <w:bCs w:val="0"/>
          <w:color w:val="000000" w:themeColor="text1"/>
          <w:sz w:val="28"/>
          <w:szCs w:val="28"/>
          <w14:textFill>
            <w14:solidFill>
              <w14:schemeClr w14:val="tx1"/>
            </w14:solidFill>
          </w14:textFill>
        </w:rPr>
        <w:t>A.1消防安全评价报告</w:t>
      </w:r>
      <w:bookmarkEnd w:id="129"/>
      <w:bookmarkEnd w:id="130"/>
      <w:bookmarkEnd w:id="131"/>
      <w:bookmarkEnd w:id="132"/>
    </w:p>
    <w:p w14:paraId="11C1CBB4">
      <w:pPr>
        <w:spacing w:before="162" w:beforeLines="50"/>
        <w:ind w:firstLine="338" w:firstLineChars="117"/>
        <w:jc w:val="left"/>
        <w:rPr>
          <w:rFonts w:ascii="宋体" w:hAnsi="宋体" w:cs="仿宋"/>
          <w:b/>
          <w:sz w:val="28"/>
          <w:szCs w:val="28"/>
        </w:rPr>
      </w:pPr>
      <w:r>
        <w:rPr>
          <w:rFonts w:hint="eastAsia" w:ascii="宋体" w:hAnsi="宋体" w:cs="仿宋"/>
          <w:b/>
          <w:sz w:val="28"/>
          <w:szCs w:val="28"/>
        </w:rPr>
        <w:t>1、工程现状概况</w:t>
      </w:r>
    </w:p>
    <w:p w14:paraId="5DEC715C">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1.1 建筑改造概况</w:t>
      </w:r>
    </w:p>
    <w:p w14:paraId="7531DB98">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××（建筑）因××原因，需进行既有建筑改造。（根据工程具体情况展开描述）</w:t>
      </w:r>
    </w:p>
    <w:p w14:paraId="4D9DC8E1">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1.2 既有建筑概况</w:t>
      </w:r>
    </w:p>
    <w:p w14:paraId="49B88E5C">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××（建筑）位于北京市××区××路（街）××号。</w:t>
      </w:r>
    </w:p>
    <w:p w14:paraId="342844FB">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建筑主要功能××，建筑类别××，耐火等级××，火灾危险性分类××，总建筑面积××m</w:t>
      </w:r>
      <w:r>
        <w:rPr>
          <w:rFonts w:hint="eastAsia" w:ascii="宋体" w:hAnsi="宋体"/>
          <w:color w:val="000000" w:themeColor="text1"/>
          <w:sz w:val="28"/>
          <w:szCs w:val="28"/>
          <w:vertAlign w:val="superscript"/>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，地上×层，地下×层，建筑高度××m，建筑功能为××。</w:t>
      </w:r>
    </w:p>
    <w:p w14:paraId="262649FC">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建筑竣工日期××，竣工图纸提供情况××，取得消防行政审批手续情况××，原设计单位××，原施工单位××。</w:t>
      </w:r>
    </w:p>
    <w:p w14:paraId="065D9658">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主要消防设施有消防安全疏散设施、火灾应急照明系统、火灾自动报警系统、消火栓系统、自动喷水灭火系统、气体灭火系统、干粉灭火系统、机械加压送风系统、机械排烟系统、防火分隔系统、灭火器等。</w:t>
      </w:r>
    </w:p>
    <w:p w14:paraId="0045B2BE">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1.3 建筑产权证明、消防设计审查验收证书及结论</w:t>
      </w:r>
    </w:p>
    <w:p w14:paraId="1DD51144">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××（建筑）建设单位（产权单位）是××。本次改造实施单位是××。</w:t>
      </w:r>
    </w:p>
    <w:p w14:paraId="46993DD7">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××建筑或场所×层于××年×月消防设计审核合格，××年×月通过消防验收，结论合格。 </w:t>
      </w:r>
    </w:p>
    <w:p w14:paraId="4E56B22E">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    （以上内容根据实际情况描述）</w:t>
      </w:r>
    </w:p>
    <w:p w14:paraId="47415F85">
      <w:pPr>
        <w:spacing w:before="162" w:beforeLines="50"/>
        <w:ind w:firstLine="338" w:firstLineChars="117"/>
        <w:jc w:val="left"/>
        <w:rPr>
          <w:rFonts w:ascii="宋体" w:hAnsi="宋体" w:cs="仿宋"/>
          <w:b/>
          <w:sz w:val="28"/>
          <w:szCs w:val="28"/>
        </w:rPr>
      </w:pPr>
      <w:r>
        <w:rPr>
          <w:rFonts w:hint="eastAsia" w:ascii="宋体" w:hAnsi="宋体" w:cs="仿宋"/>
          <w:b/>
          <w:sz w:val="28"/>
          <w:szCs w:val="28"/>
        </w:rPr>
        <w:t>2、评价依据</w:t>
      </w:r>
    </w:p>
    <w:p w14:paraId="4D2CA61F">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本次消防技术评价的有关法律法规、规章及标准。</w:t>
      </w:r>
    </w:p>
    <w:p w14:paraId="3ADBB225">
      <w:pPr>
        <w:spacing w:before="162" w:beforeLines="50"/>
        <w:ind w:firstLine="338" w:firstLineChars="117"/>
        <w:jc w:val="left"/>
        <w:rPr>
          <w:rFonts w:ascii="宋体" w:hAnsi="宋体" w:cs="仿宋"/>
          <w:b/>
          <w:sz w:val="28"/>
          <w:szCs w:val="28"/>
        </w:rPr>
      </w:pPr>
      <w:r>
        <w:rPr>
          <w:rFonts w:hint="eastAsia" w:ascii="宋体" w:hAnsi="宋体" w:cs="仿宋"/>
          <w:b/>
          <w:sz w:val="28"/>
          <w:szCs w:val="28"/>
        </w:rPr>
        <w:t>3、执行现行技术标准的难点</w:t>
      </w:r>
    </w:p>
    <w:p w14:paraId="1878698B">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1）改造前后火灾危险对比分析。</w:t>
      </w:r>
    </w:p>
    <w:p w14:paraId="034867FC">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2）符合当时消防技术标准要求但不符合现行消防技术标准要求存在的问题及执行难点。其他难以执行现行技术标准要求的问题及执行难点。</w:t>
      </w:r>
    </w:p>
    <w:p w14:paraId="3DAED2D9">
      <w:pPr>
        <w:spacing w:before="162" w:beforeLines="50"/>
        <w:ind w:firstLine="338" w:firstLineChars="117"/>
        <w:jc w:val="left"/>
        <w:rPr>
          <w:rFonts w:ascii="宋体" w:hAnsi="宋体" w:cs="仿宋"/>
          <w:b/>
          <w:sz w:val="28"/>
          <w:szCs w:val="28"/>
        </w:rPr>
      </w:pPr>
      <w:r>
        <w:rPr>
          <w:rFonts w:hint="eastAsia" w:ascii="宋体" w:hAnsi="宋体" w:cs="仿宋"/>
          <w:b/>
          <w:sz w:val="28"/>
          <w:szCs w:val="28"/>
        </w:rPr>
        <w:t>4、改造方案的防火设计情况专项说明</w:t>
      </w:r>
    </w:p>
    <w:p w14:paraId="48A887A3">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总平面消防设计、防火分隔系统、消防安全疏散和避难设施、火灾应急照明系统、火灾自动报警系统、消火栓系统、自动喷水灭火系统、气体灭火系统、干粉灭火系统、机械加压送风系统、机械排烟系统、消防救援设施等。</w:t>
      </w:r>
    </w:p>
    <w:p w14:paraId="0CDE2120">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针对上述改造难点，可能的解决方案对比分析（包括优缺点分析、可操作性分析、改造费用估算等）。</w:t>
      </w:r>
    </w:p>
    <w:p w14:paraId="795A4764">
      <w:pPr>
        <w:spacing w:before="162" w:beforeLines="50"/>
        <w:ind w:firstLine="338" w:firstLineChars="117"/>
        <w:jc w:val="left"/>
        <w:rPr>
          <w:rFonts w:ascii="宋体" w:hAnsi="宋体" w:cs="仿宋"/>
          <w:b/>
          <w:sz w:val="28"/>
          <w:szCs w:val="28"/>
        </w:rPr>
      </w:pPr>
      <w:r>
        <w:rPr>
          <w:rFonts w:hint="eastAsia" w:ascii="宋体" w:hAnsi="宋体" w:cs="仿宋"/>
          <w:b/>
          <w:sz w:val="28"/>
          <w:szCs w:val="28"/>
        </w:rPr>
        <w:t>5、改造方案评价分析</w:t>
      </w:r>
    </w:p>
    <w:p w14:paraId="067F798A">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1）建筑设计</w:t>
      </w:r>
    </w:p>
    <w:p w14:paraId="7A9DDD25">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2）消防设施</w:t>
      </w:r>
    </w:p>
    <w:p w14:paraId="63B6C89C">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3）消防电气</w:t>
      </w:r>
    </w:p>
    <w:p w14:paraId="785478E7">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4）消防安全管理</w:t>
      </w:r>
    </w:p>
    <w:p w14:paraId="052B57F7">
      <w:pPr>
        <w:spacing w:before="162" w:beforeLines="50"/>
        <w:ind w:firstLine="338" w:firstLineChars="117"/>
        <w:jc w:val="left"/>
        <w:rPr>
          <w:rFonts w:ascii="宋体" w:hAnsi="宋体" w:cs="仿宋"/>
          <w:b/>
          <w:sz w:val="28"/>
          <w:szCs w:val="28"/>
        </w:rPr>
      </w:pPr>
      <w:r>
        <w:rPr>
          <w:rFonts w:hint="eastAsia" w:ascii="宋体" w:hAnsi="宋体" w:cs="仿宋"/>
          <w:b/>
          <w:sz w:val="28"/>
          <w:szCs w:val="28"/>
        </w:rPr>
        <w:t>6、评价结论</w:t>
      </w:r>
    </w:p>
    <w:p w14:paraId="3E7B0313">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根据消防安全评价的要求和程序，结合现行消防技术标准和《既有建筑改造防火设计标准》，对消防评价内容进行分析，通过改造前情况和改造后需执行的标准进行对照、针对改造的难度提出改造后拟采取的消防技术措施，该建筑改造评价报告提出的解决措施和建议□可以/□不可以满足消防安全的技术要求。</w:t>
      </w:r>
    </w:p>
    <w:p w14:paraId="543BBF6B">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评价结论：□可行  □不可行</w:t>
      </w:r>
    </w:p>
    <w:p w14:paraId="0769E338">
      <w:pPr>
        <w:spacing w:line="360" w:lineRule="auto"/>
        <w:ind w:firstLine="420"/>
        <w:rPr>
          <w:rFonts w:ascii="仿宋" w:hAnsi="仿宋" w:eastAsia="仿宋"/>
          <w:sz w:val="24"/>
        </w:rPr>
      </w:pPr>
      <w:r>
        <w:rPr>
          <w:rFonts w:hint="eastAsia" w:ascii="仿宋" w:hAnsi="仿宋" w:eastAsia="仿宋"/>
          <w:sz w:val="24"/>
        </w:rPr>
        <w:t>注：报告封面、签字页及其他证明文件需随报告正文一同提交。</w:t>
      </w:r>
    </w:p>
    <w:p w14:paraId="008DEE2B">
      <w:pPr>
        <w:widowControl/>
        <w:snapToGrid w:val="0"/>
        <w:spacing w:line="300" w:lineRule="auto"/>
        <w:jc w:val="left"/>
        <w:rPr>
          <w:rFonts w:ascii="宋体" w:hAnsi="宋体"/>
          <w:color w:val="000000" w:themeColor="text1"/>
          <w:sz w:val="28"/>
          <w:szCs w:val="28"/>
          <w14:textFill>
            <w14:solidFill>
              <w14:schemeClr w14:val="tx1"/>
            </w14:solidFill>
          </w14:textFill>
        </w:rPr>
      </w:pPr>
    </w:p>
    <w:p w14:paraId="3E714766">
      <w:pPr>
        <w:widowControl/>
        <w:snapToGrid w:val="0"/>
        <w:spacing w:line="300" w:lineRule="auto"/>
        <w:ind w:firstLine="576" w:firstLineChars="200"/>
        <w:jc w:val="left"/>
        <w:rPr>
          <w:rFonts w:ascii="宋体" w:hAnsi="宋体"/>
          <w:color w:val="FF0000"/>
          <w:sz w:val="28"/>
          <w:szCs w:val="28"/>
        </w:rPr>
      </w:pPr>
    </w:p>
    <w:p w14:paraId="227E11BE">
      <w:pPr>
        <w:widowControl/>
        <w:jc w:val="center"/>
        <w:rPr>
          <w:rFonts w:ascii="宋体" w:hAnsi="宋体"/>
          <w:color w:val="FF0000"/>
          <w:sz w:val="28"/>
          <w:szCs w:val="28"/>
        </w:rPr>
      </w:pPr>
    </w:p>
    <w:p w14:paraId="6F7CA81D">
      <w:pPr>
        <w:widowControl/>
        <w:jc w:val="left"/>
        <w:rPr>
          <w:rFonts w:ascii="宋体" w:hAnsi="宋体"/>
          <w:color w:val="FF0000"/>
          <w:sz w:val="28"/>
          <w:szCs w:val="28"/>
        </w:rPr>
      </w:pPr>
    </w:p>
    <w:p w14:paraId="7D3A4EF2">
      <w:pPr>
        <w:widowControl/>
        <w:jc w:val="left"/>
        <w:rPr>
          <w:rFonts w:ascii="宋体" w:hAnsi="宋体"/>
          <w:color w:val="FF0000"/>
          <w:sz w:val="28"/>
          <w:szCs w:val="28"/>
        </w:rPr>
      </w:pPr>
      <w:r>
        <w:rPr>
          <w:rFonts w:ascii="宋体" w:hAnsi="宋体"/>
          <w:color w:val="FF0000"/>
          <w:sz w:val="28"/>
          <w:szCs w:val="28"/>
        </w:rPr>
        <w:br w:type="page"/>
      </w:r>
    </w:p>
    <w:p w14:paraId="314A8209">
      <w:pPr>
        <w:pStyle w:val="3"/>
        <w:rPr>
          <w:rFonts w:ascii="黑体" w:hAnsi="黑体"/>
          <w:bCs w:val="0"/>
          <w:color w:val="000000" w:themeColor="text1"/>
          <w:sz w:val="28"/>
          <w:szCs w:val="28"/>
          <w14:textFill>
            <w14:solidFill>
              <w14:schemeClr w14:val="tx1"/>
            </w14:solidFill>
          </w14:textFill>
        </w:rPr>
      </w:pPr>
      <w:bookmarkStart w:id="133" w:name="_Toc151062667"/>
      <w:bookmarkStart w:id="134" w:name="_Toc151061868"/>
      <w:bookmarkStart w:id="135" w:name="_Toc151063135"/>
      <w:bookmarkStart w:id="136" w:name="_Toc151062998"/>
      <w:r>
        <w:rPr>
          <w:rFonts w:hint="eastAsia" w:ascii="黑体" w:hAnsi="黑体"/>
          <w:bCs w:val="0"/>
          <w:color w:val="000000" w:themeColor="text1"/>
          <w:sz w:val="28"/>
          <w:szCs w:val="28"/>
          <w14:textFill>
            <w14:solidFill>
              <w14:schemeClr w14:val="tx1"/>
            </w14:solidFill>
          </w14:textFill>
        </w:rPr>
        <w:t>A.2 消防安全评价表</w:t>
      </w:r>
      <w:bookmarkEnd w:id="133"/>
      <w:bookmarkEnd w:id="134"/>
      <w:bookmarkEnd w:id="135"/>
      <w:bookmarkEnd w:id="136"/>
    </w:p>
    <w:tbl>
      <w:tblPr>
        <w:tblStyle w:val="33"/>
        <w:tblW w:w="10055"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41"/>
        <w:gridCol w:w="688"/>
        <w:gridCol w:w="1296"/>
        <w:gridCol w:w="460"/>
        <w:gridCol w:w="1300"/>
        <w:gridCol w:w="1285"/>
        <w:gridCol w:w="511"/>
        <w:gridCol w:w="253"/>
        <w:gridCol w:w="116"/>
        <w:gridCol w:w="526"/>
        <w:gridCol w:w="794"/>
        <w:gridCol w:w="1985"/>
      </w:tblGrid>
      <w:tr w14:paraId="0948C74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1529" w:type="dxa"/>
            <w:gridSpan w:val="2"/>
            <w:vAlign w:val="center"/>
          </w:tcPr>
          <w:p w14:paraId="6AABBA11">
            <w:pPr>
              <w:spacing w:before="162" w:beforeLines="50"/>
              <w:rPr>
                <w:rFonts w:ascii="宋体" w:hAnsi="宋体"/>
                <w:kern w:val="0"/>
                <w:sz w:val="18"/>
                <w:szCs w:val="18"/>
              </w:rPr>
            </w:pPr>
            <w:r>
              <w:rPr>
                <w:rFonts w:hint="eastAsia" w:ascii="宋体" w:hAnsi="宋体"/>
                <w:kern w:val="0"/>
                <w:sz w:val="18"/>
                <w:szCs w:val="18"/>
              </w:rPr>
              <w:t>工程名称</w:t>
            </w:r>
          </w:p>
        </w:tc>
        <w:tc>
          <w:tcPr>
            <w:tcW w:w="3056" w:type="dxa"/>
            <w:gridSpan w:val="3"/>
            <w:tcBorders>
              <w:right w:val="single" w:color="auto" w:sz="8" w:space="0"/>
            </w:tcBorders>
            <w:vAlign w:val="center"/>
          </w:tcPr>
          <w:p w14:paraId="44AC0D39">
            <w:pPr>
              <w:spacing w:before="162" w:beforeLines="50"/>
              <w:ind w:firstLine="360"/>
              <w:jc w:val="center"/>
              <w:rPr>
                <w:rFonts w:ascii="宋体" w:hAnsi="宋体"/>
                <w:kern w:val="0"/>
                <w:sz w:val="18"/>
                <w:szCs w:val="18"/>
              </w:rPr>
            </w:pPr>
          </w:p>
        </w:tc>
        <w:tc>
          <w:tcPr>
            <w:tcW w:w="1285" w:type="dxa"/>
            <w:tcBorders>
              <w:left w:val="single" w:color="auto" w:sz="8" w:space="0"/>
            </w:tcBorders>
            <w:vAlign w:val="center"/>
          </w:tcPr>
          <w:p w14:paraId="4E17B588">
            <w:pPr>
              <w:spacing w:before="162" w:beforeLines="50"/>
              <w:ind w:left="-20" w:leftChars="-98" w:hanging="184" w:hangingChars="98"/>
              <w:jc w:val="center"/>
              <w:rPr>
                <w:rFonts w:ascii="宋体" w:hAnsi="宋体"/>
                <w:kern w:val="0"/>
                <w:sz w:val="18"/>
                <w:szCs w:val="18"/>
              </w:rPr>
            </w:pPr>
            <w:r>
              <w:rPr>
                <w:rFonts w:hint="eastAsia" w:ascii="宋体" w:hAnsi="宋体"/>
                <w:kern w:val="0"/>
                <w:sz w:val="18"/>
                <w:szCs w:val="18"/>
              </w:rPr>
              <w:t>工程地址</w:t>
            </w:r>
          </w:p>
        </w:tc>
        <w:tc>
          <w:tcPr>
            <w:tcW w:w="4185" w:type="dxa"/>
            <w:gridSpan w:val="6"/>
            <w:vAlign w:val="center"/>
          </w:tcPr>
          <w:p w14:paraId="0479BF4D">
            <w:pPr>
              <w:spacing w:before="162" w:beforeLines="50"/>
              <w:rPr>
                <w:rFonts w:ascii="宋体" w:hAnsi="宋体"/>
                <w:kern w:val="0"/>
                <w:sz w:val="18"/>
                <w:szCs w:val="18"/>
              </w:rPr>
            </w:pPr>
            <w:r>
              <w:rPr>
                <w:rFonts w:hint="eastAsia" w:ascii="宋体" w:hAnsi="宋体"/>
                <w:kern w:val="0"/>
                <w:sz w:val="18"/>
                <w:szCs w:val="18"/>
                <w:u w:val="single"/>
              </w:rPr>
              <w:t xml:space="preserve">        </w:t>
            </w:r>
            <w:r>
              <w:rPr>
                <w:rFonts w:hint="eastAsia" w:ascii="宋体" w:hAnsi="宋体"/>
                <w:kern w:val="0"/>
                <w:sz w:val="18"/>
                <w:szCs w:val="18"/>
              </w:rPr>
              <w:t>区</w:t>
            </w:r>
            <w:r>
              <w:rPr>
                <w:rFonts w:hint="eastAsia" w:ascii="宋体" w:hAnsi="宋体"/>
                <w:kern w:val="0"/>
                <w:sz w:val="18"/>
                <w:szCs w:val="18"/>
                <w:u w:val="single"/>
              </w:rPr>
              <w:t xml:space="preserve">       </w:t>
            </w:r>
            <w:r>
              <w:rPr>
                <w:rFonts w:hint="eastAsia" w:ascii="宋体" w:hAnsi="宋体"/>
                <w:kern w:val="0"/>
                <w:sz w:val="18"/>
                <w:szCs w:val="18"/>
              </w:rPr>
              <w:t>街道</w:t>
            </w:r>
            <w:r>
              <w:rPr>
                <w:rFonts w:hint="eastAsia" w:ascii="宋体" w:hAnsi="宋体"/>
                <w:kern w:val="0"/>
                <w:sz w:val="18"/>
                <w:szCs w:val="18"/>
                <w:u w:val="single"/>
              </w:rPr>
              <w:t xml:space="preserve">     </w:t>
            </w:r>
            <w:r>
              <w:rPr>
                <w:rFonts w:ascii="宋体" w:hAnsi="宋体"/>
                <w:kern w:val="0"/>
                <w:sz w:val="18"/>
                <w:szCs w:val="18"/>
                <w:u w:val="single"/>
              </w:rPr>
              <w:t xml:space="preserve"> </w:t>
            </w:r>
            <w:r>
              <w:rPr>
                <w:rFonts w:hint="eastAsia" w:ascii="宋体" w:hAnsi="宋体"/>
                <w:kern w:val="0"/>
                <w:sz w:val="18"/>
                <w:szCs w:val="18"/>
              </w:rPr>
              <w:t>路（街）</w:t>
            </w:r>
            <w:r>
              <w:rPr>
                <w:rFonts w:hint="eastAsia" w:ascii="宋体" w:hAnsi="宋体"/>
                <w:kern w:val="0"/>
                <w:sz w:val="18"/>
                <w:szCs w:val="18"/>
                <w:u w:val="single"/>
              </w:rPr>
              <w:t xml:space="preserve">    </w:t>
            </w:r>
            <w:r>
              <w:rPr>
                <w:rFonts w:hint="eastAsia" w:ascii="宋体" w:hAnsi="宋体"/>
                <w:kern w:val="0"/>
                <w:sz w:val="18"/>
                <w:szCs w:val="18"/>
              </w:rPr>
              <w:t>号</w:t>
            </w:r>
          </w:p>
        </w:tc>
      </w:tr>
      <w:tr w14:paraId="5B84705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50" w:hRule="atLeast"/>
          <w:jc w:val="center"/>
        </w:trPr>
        <w:tc>
          <w:tcPr>
            <w:tcW w:w="1529" w:type="dxa"/>
            <w:gridSpan w:val="2"/>
            <w:vAlign w:val="center"/>
          </w:tcPr>
          <w:p w14:paraId="2B2A06A7">
            <w:pPr>
              <w:spacing w:before="162" w:beforeLines="50"/>
              <w:rPr>
                <w:rFonts w:ascii="宋体" w:hAnsi="宋体"/>
                <w:kern w:val="0"/>
                <w:sz w:val="18"/>
                <w:szCs w:val="18"/>
              </w:rPr>
            </w:pPr>
            <w:r>
              <w:rPr>
                <w:rFonts w:ascii="宋体" w:hAnsi="宋体"/>
                <w:kern w:val="0"/>
                <w:sz w:val="18"/>
                <w:szCs w:val="18"/>
              </w:rPr>
              <w:br w:type="page"/>
            </w:r>
            <w:r>
              <w:rPr>
                <w:rFonts w:ascii="宋体" w:hAnsi="宋体"/>
                <w:kern w:val="0"/>
                <w:sz w:val="18"/>
                <w:szCs w:val="18"/>
              </w:rPr>
              <w:br w:type="page"/>
            </w:r>
            <w:r>
              <w:rPr>
                <w:rFonts w:hint="eastAsia" w:ascii="宋体" w:hAnsi="宋体"/>
                <w:kern w:val="0"/>
                <w:sz w:val="18"/>
                <w:szCs w:val="18"/>
              </w:rPr>
              <w:t>改造实施单位</w:t>
            </w:r>
          </w:p>
        </w:tc>
        <w:tc>
          <w:tcPr>
            <w:tcW w:w="3056" w:type="dxa"/>
            <w:gridSpan w:val="3"/>
            <w:tcBorders>
              <w:right w:val="single" w:color="auto" w:sz="8" w:space="0"/>
            </w:tcBorders>
            <w:vAlign w:val="center"/>
          </w:tcPr>
          <w:p w14:paraId="4117358F">
            <w:pPr>
              <w:spacing w:before="162" w:beforeLines="50"/>
              <w:ind w:firstLine="360"/>
              <w:jc w:val="center"/>
              <w:rPr>
                <w:rFonts w:ascii="宋体" w:hAnsi="宋体"/>
                <w:kern w:val="0"/>
                <w:sz w:val="18"/>
                <w:szCs w:val="18"/>
              </w:rPr>
            </w:pPr>
          </w:p>
        </w:tc>
        <w:tc>
          <w:tcPr>
            <w:tcW w:w="1285" w:type="dxa"/>
            <w:tcBorders>
              <w:left w:val="single" w:color="auto" w:sz="8" w:space="0"/>
            </w:tcBorders>
            <w:vAlign w:val="center"/>
          </w:tcPr>
          <w:p w14:paraId="21B536BB">
            <w:pPr>
              <w:spacing w:before="162" w:beforeLines="50"/>
              <w:rPr>
                <w:rFonts w:ascii="宋体" w:hAnsi="宋体"/>
                <w:kern w:val="0"/>
                <w:sz w:val="18"/>
                <w:szCs w:val="18"/>
              </w:rPr>
            </w:pPr>
            <w:r>
              <w:rPr>
                <w:rFonts w:hint="eastAsia" w:ascii="宋体" w:hAnsi="宋体"/>
                <w:kern w:val="0"/>
                <w:sz w:val="18"/>
                <w:szCs w:val="18"/>
              </w:rPr>
              <w:t xml:space="preserve"> 原建设单位（产权单位）</w:t>
            </w:r>
          </w:p>
        </w:tc>
        <w:tc>
          <w:tcPr>
            <w:tcW w:w="4185" w:type="dxa"/>
            <w:gridSpan w:val="6"/>
            <w:vAlign w:val="center"/>
          </w:tcPr>
          <w:p w14:paraId="47C0D4DD">
            <w:pPr>
              <w:spacing w:before="162" w:beforeLines="50"/>
              <w:ind w:firstLine="360"/>
              <w:jc w:val="center"/>
              <w:rPr>
                <w:rFonts w:ascii="宋体" w:hAnsi="宋体"/>
                <w:kern w:val="0"/>
                <w:sz w:val="18"/>
                <w:szCs w:val="18"/>
              </w:rPr>
            </w:pPr>
          </w:p>
        </w:tc>
      </w:tr>
      <w:tr w14:paraId="2EE7387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1529" w:type="dxa"/>
            <w:gridSpan w:val="2"/>
            <w:vAlign w:val="center"/>
          </w:tcPr>
          <w:p w14:paraId="0F003CA3">
            <w:pPr>
              <w:spacing w:before="162" w:beforeLines="50"/>
              <w:rPr>
                <w:rFonts w:ascii="宋体" w:hAnsi="宋体"/>
                <w:kern w:val="0"/>
                <w:sz w:val="18"/>
                <w:szCs w:val="18"/>
              </w:rPr>
            </w:pPr>
            <w:r>
              <w:rPr>
                <w:rFonts w:hint="eastAsia" w:ascii="宋体" w:hAnsi="宋体"/>
                <w:kern w:val="0"/>
                <w:sz w:val="18"/>
                <w:szCs w:val="18"/>
              </w:rPr>
              <w:t>改造设计单位</w:t>
            </w:r>
          </w:p>
        </w:tc>
        <w:tc>
          <w:tcPr>
            <w:tcW w:w="3056" w:type="dxa"/>
            <w:gridSpan w:val="3"/>
            <w:tcBorders>
              <w:right w:val="single" w:color="auto" w:sz="8" w:space="0"/>
            </w:tcBorders>
            <w:vAlign w:val="center"/>
          </w:tcPr>
          <w:p w14:paraId="1E0D2E35">
            <w:pPr>
              <w:spacing w:before="162" w:beforeLines="50"/>
              <w:jc w:val="center"/>
              <w:rPr>
                <w:rFonts w:ascii="宋体" w:hAnsi="宋体"/>
                <w:kern w:val="0"/>
                <w:sz w:val="18"/>
                <w:szCs w:val="18"/>
              </w:rPr>
            </w:pPr>
          </w:p>
        </w:tc>
        <w:tc>
          <w:tcPr>
            <w:tcW w:w="1285" w:type="dxa"/>
            <w:tcBorders>
              <w:left w:val="single" w:color="auto" w:sz="8" w:space="0"/>
            </w:tcBorders>
            <w:vAlign w:val="center"/>
          </w:tcPr>
          <w:p w14:paraId="02BF6D86">
            <w:pPr>
              <w:spacing w:before="162" w:beforeLines="50"/>
              <w:ind w:left="-20" w:leftChars="-98" w:right="180" w:hanging="184" w:hangingChars="98"/>
              <w:jc w:val="right"/>
              <w:rPr>
                <w:rFonts w:ascii="宋体" w:hAnsi="宋体"/>
                <w:kern w:val="0"/>
                <w:sz w:val="18"/>
                <w:szCs w:val="18"/>
              </w:rPr>
            </w:pPr>
            <w:r>
              <w:rPr>
                <w:rFonts w:hint="eastAsia" w:ascii="宋体" w:hAnsi="宋体"/>
                <w:kern w:val="0"/>
                <w:sz w:val="18"/>
                <w:szCs w:val="18"/>
              </w:rPr>
              <w:t>原设计单位</w:t>
            </w:r>
          </w:p>
        </w:tc>
        <w:tc>
          <w:tcPr>
            <w:tcW w:w="4185" w:type="dxa"/>
            <w:gridSpan w:val="6"/>
            <w:vAlign w:val="center"/>
          </w:tcPr>
          <w:p w14:paraId="7D07E3CC">
            <w:pPr>
              <w:spacing w:before="162" w:beforeLines="50"/>
              <w:ind w:firstLine="360"/>
              <w:jc w:val="center"/>
              <w:rPr>
                <w:rFonts w:ascii="宋体" w:hAnsi="宋体"/>
                <w:kern w:val="0"/>
                <w:sz w:val="18"/>
                <w:szCs w:val="18"/>
              </w:rPr>
            </w:pPr>
          </w:p>
        </w:tc>
      </w:tr>
      <w:tr w14:paraId="7693280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529" w:type="dxa"/>
            <w:gridSpan w:val="2"/>
            <w:vAlign w:val="center"/>
          </w:tcPr>
          <w:p w14:paraId="01179686">
            <w:pPr>
              <w:spacing w:before="162" w:beforeLines="50"/>
              <w:rPr>
                <w:rFonts w:ascii="宋体" w:hAnsi="宋体"/>
                <w:kern w:val="0"/>
                <w:sz w:val="18"/>
                <w:szCs w:val="18"/>
              </w:rPr>
            </w:pPr>
            <w:r>
              <w:rPr>
                <w:rFonts w:ascii="宋体" w:hAnsi="宋体"/>
                <w:kern w:val="0"/>
                <w:sz w:val="18"/>
                <w:szCs w:val="18"/>
              </w:rPr>
              <w:br w:type="page"/>
            </w:r>
            <w:r>
              <w:rPr>
                <w:rFonts w:hint="eastAsia" w:ascii="宋体" w:hAnsi="宋体"/>
                <w:kern w:val="0"/>
                <w:sz w:val="18"/>
                <w:szCs w:val="18"/>
              </w:rPr>
              <w:br w:type="page"/>
            </w:r>
            <w:r>
              <w:rPr>
                <w:rFonts w:hint="eastAsia" w:ascii="宋体" w:hAnsi="宋体"/>
                <w:kern w:val="0"/>
                <w:sz w:val="18"/>
                <w:szCs w:val="18"/>
              </w:rPr>
              <w:t>评价单位</w:t>
            </w:r>
          </w:p>
        </w:tc>
        <w:tc>
          <w:tcPr>
            <w:tcW w:w="3056" w:type="dxa"/>
            <w:gridSpan w:val="3"/>
            <w:tcBorders>
              <w:right w:val="single" w:color="auto" w:sz="8" w:space="0"/>
            </w:tcBorders>
            <w:vAlign w:val="center"/>
          </w:tcPr>
          <w:p w14:paraId="25CBE224">
            <w:pPr>
              <w:spacing w:before="162" w:beforeLines="50"/>
              <w:ind w:firstLine="360"/>
              <w:jc w:val="center"/>
              <w:rPr>
                <w:rFonts w:ascii="宋体" w:hAnsi="宋体"/>
                <w:kern w:val="0"/>
                <w:sz w:val="18"/>
                <w:szCs w:val="18"/>
              </w:rPr>
            </w:pPr>
          </w:p>
        </w:tc>
        <w:tc>
          <w:tcPr>
            <w:tcW w:w="1285" w:type="dxa"/>
            <w:tcBorders>
              <w:left w:val="single" w:color="auto" w:sz="8" w:space="0"/>
            </w:tcBorders>
            <w:vAlign w:val="center"/>
          </w:tcPr>
          <w:p w14:paraId="7E68E5F3">
            <w:pPr>
              <w:spacing w:before="162" w:beforeLines="50"/>
              <w:rPr>
                <w:rFonts w:ascii="宋体" w:hAnsi="宋体"/>
                <w:kern w:val="0"/>
                <w:sz w:val="18"/>
                <w:szCs w:val="18"/>
              </w:rPr>
            </w:pPr>
            <w:r>
              <w:rPr>
                <w:rFonts w:hint="eastAsia" w:ascii="宋体" w:hAnsi="宋体"/>
                <w:kern w:val="0"/>
                <w:sz w:val="18"/>
                <w:szCs w:val="18"/>
              </w:rPr>
              <w:t>评价单位</w:t>
            </w:r>
          </w:p>
          <w:p w14:paraId="12A5B1FF">
            <w:pPr>
              <w:spacing w:before="162" w:beforeLines="50"/>
              <w:rPr>
                <w:rFonts w:ascii="宋体" w:hAnsi="宋体"/>
                <w:kern w:val="0"/>
                <w:sz w:val="18"/>
                <w:szCs w:val="18"/>
              </w:rPr>
            </w:pPr>
            <w:r>
              <w:rPr>
                <w:rFonts w:hint="eastAsia" w:ascii="宋体" w:hAnsi="宋体"/>
                <w:kern w:val="0"/>
                <w:sz w:val="18"/>
                <w:szCs w:val="18"/>
              </w:rPr>
              <w:t>联系人</w:t>
            </w:r>
          </w:p>
        </w:tc>
        <w:tc>
          <w:tcPr>
            <w:tcW w:w="764" w:type="dxa"/>
            <w:gridSpan w:val="2"/>
            <w:vAlign w:val="center"/>
          </w:tcPr>
          <w:p w14:paraId="2CC6B5ED">
            <w:pPr>
              <w:spacing w:before="162" w:beforeLines="50"/>
              <w:ind w:firstLine="360"/>
              <w:jc w:val="center"/>
              <w:rPr>
                <w:rFonts w:ascii="宋体" w:hAnsi="宋体"/>
                <w:kern w:val="0"/>
                <w:sz w:val="18"/>
                <w:szCs w:val="18"/>
              </w:rPr>
            </w:pPr>
          </w:p>
        </w:tc>
        <w:tc>
          <w:tcPr>
            <w:tcW w:w="642" w:type="dxa"/>
            <w:gridSpan w:val="2"/>
            <w:vAlign w:val="center"/>
          </w:tcPr>
          <w:p w14:paraId="22595BC1">
            <w:pPr>
              <w:spacing w:before="162" w:beforeLines="50"/>
              <w:rPr>
                <w:rFonts w:ascii="宋体" w:hAnsi="宋体"/>
                <w:kern w:val="0"/>
                <w:sz w:val="18"/>
                <w:szCs w:val="18"/>
              </w:rPr>
            </w:pPr>
            <w:r>
              <w:rPr>
                <w:rFonts w:hint="eastAsia" w:ascii="宋体" w:hAnsi="宋体"/>
                <w:kern w:val="0"/>
                <w:sz w:val="18"/>
                <w:szCs w:val="18"/>
              </w:rPr>
              <w:t>联系电话</w:t>
            </w:r>
          </w:p>
        </w:tc>
        <w:tc>
          <w:tcPr>
            <w:tcW w:w="2779" w:type="dxa"/>
            <w:gridSpan w:val="2"/>
            <w:vAlign w:val="center"/>
          </w:tcPr>
          <w:p w14:paraId="49274DDA">
            <w:pPr>
              <w:spacing w:before="162" w:beforeLines="50"/>
              <w:ind w:firstLine="360"/>
              <w:jc w:val="center"/>
              <w:rPr>
                <w:rFonts w:ascii="宋体" w:hAnsi="宋体"/>
                <w:kern w:val="0"/>
                <w:sz w:val="18"/>
                <w:szCs w:val="18"/>
              </w:rPr>
            </w:pPr>
          </w:p>
        </w:tc>
      </w:tr>
      <w:tr w14:paraId="0FEC5D1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45" w:hRule="atLeast"/>
          <w:jc w:val="center"/>
        </w:trPr>
        <w:tc>
          <w:tcPr>
            <w:tcW w:w="1529" w:type="dxa"/>
            <w:gridSpan w:val="2"/>
            <w:vAlign w:val="center"/>
          </w:tcPr>
          <w:p w14:paraId="59D6BB85">
            <w:pPr>
              <w:spacing w:before="162" w:beforeLines="50"/>
              <w:rPr>
                <w:rFonts w:ascii="宋体" w:hAnsi="宋体"/>
                <w:kern w:val="0"/>
                <w:sz w:val="18"/>
                <w:szCs w:val="18"/>
              </w:rPr>
            </w:pPr>
            <w:r>
              <w:rPr>
                <w:rFonts w:hint="eastAsia" w:ascii="宋体" w:hAnsi="宋体"/>
                <w:kern w:val="0"/>
                <w:sz w:val="18"/>
                <w:szCs w:val="18"/>
              </w:rPr>
              <w:t>改造建筑场所类别</w:t>
            </w:r>
          </w:p>
        </w:tc>
        <w:tc>
          <w:tcPr>
            <w:tcW w:w="8526" w:type="dxa"/>
            <w:gridSpan w:val="10"/>
            <w:tcBorders>
              <w:right w:val="single" w:color="auto" w:sz="4" w:space="0"/>
            </w:tcBorders>
            <w:vAlign w:val="center"/>
          </w:tcPr>
          <w:p w14:paraId="56CB24D3">
            <w:pPr>
              <w:spacing w:before="162" w:beforeLines="50"/>
              <w:rPr>
                <w:rFonts w:ascii="宋体" w:hAnsi="宋体"/>
                <w:snapToGrid w:val="0"/>
                <w:kern w:val="0"/>
                <w:position w:val="-6"/>
                <w:sz w:val="18"/>
                <w:szCs w:val="18"/>
              </w:rPr>
            </w:pPr>
            <w:r>
              <w:rPr>
                <w:rFonts w:hint="eastAsia" w:ascii="宋体" w:hAnsi="宋体"/>
                <w:snapToGrid w:val="0"/>
                <w:kern w:val="0"/>
                <w:position w:val="-6"/>
                <w:sz w:val="18"/>
                <w:szCs w:val="18"/>
              </w:rPr>
              <w:t xml:space="preserve">□A类   □B类  □C类  □D类   □E类  □F类  </w:t>
            </w:r>
          </w:p>
        </w:tc>
      </w:tr>
      <w:tr w14:paraId="1CEDD77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45" w:hRule="atLeast"/>
          <w:jc w:val="center"/>
        </w:trPr>
        <w:tc>
          <w:tcPr>
            <w:tcW w:w="1529" w:type="dxa"/>
            <w:gridSpan w:val="2"/>
            <w:vAlign w:val="center"/>
          </w:tcPr>
          <w:p w14:paraId="49107D0F">
            <w:pPr>
              <w:spacing w:before="162" w:beforeLines="50"/>
              <w:rPr>
                <w:rFonts w:ascii="宋体" w:hAnsi="宋体"/>
                <w:kern w:val="0"/>
                <w:sz w:val="18"/>
                <w:szCs w:val="18"/>
              </w:rPr>
            </w:pPr>
            <w:r>
              <w:rPr>
                <w:rFonts w:hint="eastAsia" w:ascii="宋体" w:hAnsi="宋体"/>
                <w:kern w:val="0"/>
                <w:sz w:val="18"/>
                <w:szCs w:val="18"/>
              </w:rPr>
              <w:t>改造工程类别</w:t>
            </w:r>
          </w:p>
        </w:tc>
        <w:tc>
          <w:tcPr>
            <w:tcW w:w="8526" w:type="dxa"/>
            <w:gridSpan w:val="10"/>
            <w:tcBorders>
              <w:right w:val="single" w:color="auto" w:sz="4" w:space="0"/>
            </w:tcBorders>
            <w:vAlign w:val="center"/>
          </w:tcPr>
          <w:p w14:paraId="1DDD646C">
            <w:pPr>
              <w:spacing w:before="162" w:beforeLines="50"/>
              <w:rPr>
                <w:rFonts w:ascii="宋体" w:hAnsi="宋体"/>
                <w:snapToGrid w:val="0"/>
                <w:kern w:val="0"/>
                <w:position w:val="-6"/>
                <w:sz w:val="18"/>
                <w:szCs w:val="18"/>
              </w:rPr>
            </w:pPr>
            <w:r>
              <w:rPr>
                <w:rFonts w:hint="eastAsia" w:ascii="宋体" w:hAnsi="宋体"/>
                <w:snapToGrid w:val="0"/>
                <w:kern w:val="0"/>
                <w:position w:val="-6"/>
                <w:sz w:val="18"/>
                <w:szCs w:val="18"/>
              </w:rPr>
              <w:t xml:space="preserve">□局部改造工程   □整体改造工程 </w:t>
            </w:r>
          </w:p>
        </w:tc>
      </w:tr>
      <w:tr w14:paraId="0FCDBE2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45" w:hRule="atLeast"/>
          <w:jc w:val="center"/>
        </w:trPr>
        <w:tc>
          <w:tcPr>
            <w:tcW w:w="1529" w:type="dxa"/>
            <w:gridSpan w:val="2"/>
            <w:vAlign w:val="center"/>
          </w:tcPr>
          <w:p w14:paraId="738A3C4E">
            <w:pPr>
              <w:spacing w:before="162" w:beforeLines="50"/>
              <w:rPr>
                <w:rFonts w:ascii="宋体" w:hAnsi="宋体"/>
                <w:kern w:val="0"/>
                <w:sz w:val="18"/>
                <w:szCs w:val="18"/>
              </w:rPr>
            </w:pPr>
            <w:r>
              <w:rPr>
                <w:rFonts w:hint="eastAsia" w:ascii="宋体" w:hAnsi="宋体"/>
                <w:kern w:val="0"/>
                <w:sz w:val="18"/>
                <w:szCs w:val="18"/>
              </w:rPr>
              <w:t>改造前功能</w:t>
            </w:r>
          </w:p>
        </w:tc>
        <w:tc>
          <w:tcPr>
            <w:tcW w:w="3056" w:type="dxa"/>
            <w:gridSpan w:val="3"/>
            <w:tcBorders>
              <w:right w:val="single" w:color="auto" w:sz="4" w:space="0"/>
            </w:tcBorders>
            <w:vAlign w:val="center"/>
          </w:tcPr>
          <w:p w14:paraId="0479BCB9">
            <w:pPr>
              <w:spacing w:before="162" w:beforeLines="50"/>
              <w:rPr>
                <w:rFonts w:ascii="宋体" w:hAnsi="宋体"/>
                <w:snapToGrid w:val="0"/>
                <w:kern w:val="0"/>
                <w:position w:val="-6"/>
                <w:sz w:val="18"/>
                <w:szCs w:val="18"/>
              </w:rPr>
            </w:pPr>
          </w:p>
        </w:tc>
        <w:tc>
          <w:tcPr>
            <w:tcW w:w="1285" w:type="dxa"/>
            <w:tcBorders>
              <w:left w:val="single" w:color="auto" w:sz="4" w:space="0"/>
              <w:right w:val="single" w:color="auto" w:sz="4" w:space="0"/>
            </w:tcBorders>
            <w:vAlign w:val="center"/>
          </w:tcPr>
          <w:p w14:paraId="58206D1F">
            <w:pPr>
              <w:spacing w:before="162" w:beforeLines="50"/>
              <w:rPr>
                <w:rFonts w:ascii="宋体" w:hAnsi="宋体"/>
                <w:snapToGrid w:val="0"/>
                <w:kern w:val="0"/>
                <w:position w:val="-6"/>
                <w:sz w:val="18"/>
                <w:szCs w:val="18"/>
              </w:rPr>
            </w:pPr>
            <w:r>
              <w:rPr>
                <w:rFonts w:hint="eastAsia" w:ascii="宋体" w:hAnsi="宋体"/>
                <w:kern w:val="0"/>
                <w:sz w:val="18"/>
                <w:szCs w:val="18"/>
              </w:rPr>
              <w:t>改造后功能</w:t>
            </w:r>
          </w:p>
        </w:tc>
        <w:tc>
          <w:tcPr>
            <w:tcW w:w="4185" w:type="dxa"/>
            <w:gridSpan w:val="6"/>
            <w:tcBorders>
              <w:left w:val="single" w:color="auto" w:sz="4" w:space="0"/>
              <w:right w:val="single" w:color="auto" w:sz="4" w:space="0"/>
            </w:tcBorders>
            <w:vAlign w:val="center"/>
          </w:tcPr>
          <w:p w14:paraId="5963084E">
            <w:pPr>
              <w:spacing w:before="162" w:beforeLines="50"/>
              <w:rPr>
                <w:rFonts w:ascii="宋体" w:hAnsi="宋体"/>
                <w:snapToGrid w:val="0"/>
                <w:kern w:val="0"/>
                <w:position w:val="-6"/>
                <w:sz w:val="18"/>
                <w:szCs w:val="18"/>
              </w:rPr>
            </w:pPr>
          </w:p>
        </w:tc>
      </w:tr>
      <w:tr w14:paraId="372BB9E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4585" w:type="dxa"/>
            <w:gridSpan w:val="5"/>
            <w:vAlign w:val="center"/>
          </w:tcPr>
          <w:p w14:paraId="3D541C74">
            <w:pPr>
              <w:spacing w:before="162" w:beforeLines="50"/>
              <w:jc w:val="left"/>
              <w:rPr>
                <w:rFonts w:ascii="宋体" w:hAnsi="宋体"/>
                <w:kern w:val="0"/>
                <w:sz w:val="18"/>
                <w:szCs w:val="18"/>
              </w:rPr>
            </w:pPr>
            <w:r>
              <w:rPr>
                <w:rFonts w:hint="eastAsia" w:ascii="宋体" w:hAnsi="宋体"/>
                <w:sz w:val="18"/>
                <w:szCs w:val="18"/>
              </w:rPr>
              <w:t>改造前既有建筑施工图审查机构出具的综合审查合格书、技术咨询报告等审查意见</w:t>
            </w:r>
            <w:r>
              <w:rPr>
                <w:rFonts w:hint="eastAsia" w:ascii="宋体" w:hAnsi="宋体"/>
                <w:kern w:val="0"/>
                <w:sz w:val="18"/>
                <w:szCs w:val="18"/>
              </w:rPr>
              <w:t>文号</w:t>
            </w:r>
          </w:p>
        </w:tc>
        <w:tc>
          <w:tcPr>
            <w:tcW w:w="1285" w:type="dxa"/>
            <w:vAlign w:val="center"/>
          </w:tcPr>
          <w:p w14:paraId="1BC17E63">
            <w:pPr>
              <w:spacing w:before="162" w:beforeLines="50"/>
              <w:rPr>
                <w:rFonts w:ascii="宋体" w:hAnsi="宋体"/>
                <w:kern w:val="0"/>
                <w:sz w:val="18"/>
                <w:szCs w:val="18"/>
              </w:rPr>
            </w:pPr>
          </w:p>
        </w:tc>
        <w:tc>
          <w:tcPr>
            <w:tcW w:w="764" w:type="dxa"/>
            <w:gridSpan w:val="2"/>
            <w:vAlign w:val="center"/>
          </w:tcPr>
          <w:p w14:paraId="15D613A3">
            <w:pPr>
              <w:spacing w:before="162" w:beforeLines="50"/>
              <w:rPr>
                <w:rFonts w:ascii="宋体" w:hAnsi="宋体"/>
                <w:kern w:val="0"/>
                <w:sz w:val="18"/>
                <w:szCs w:val="18"/>
              </w:rPr>
            </w:pPr>
            <w:r>
              <w:rPr>
                <w:rFonts w:hint="eastAsia" w:ascii="宋体" w:hAnsi="宋体"/>
                <w:kern w:val="0"/>
                <w:sz w:val="18"/>
                <w:szCs w:val="18"/>
              </w:rPr>
              <w:t>审核日期</w:t>
            </w:r>
          </w:p>
        </w:tc>
        <w:tc>
          <w:tcPr>
            <w:tcW w:w="1436" w:type="dxa"/>
            <w:gridSpan w:val="3"/>
            <w:tcBorders>
              <w:right w:val="single" w:color="auto" w:sz="4" w:space="0"/>
            </w:tcBorders>
            <w:vAlign w:val="center"/>
          </w:tcPr>
          <w:p w14:paraId="24F98968">
            <w:pPr>
              <w:spacing w:before="162" w:beforeLines="50"/>
              <w:ind w:firstLine="360"/>
              <w:jc w:val="center"/>
              <w:rPr>
                <w:rFonts w:ascii="宋体" w:hAnsi="宋体"/>
                <w:kern w:val="0"/>
                <w:sz w:val="18"/>
                <w:szCs w:val="18"/>
              </w:rPr>
            </w:pPr>
          </w:p>
        </w:tc>
        <w:tc>
          <w:tcPr>
            <w:tcW w:w="1985" w:type="dxa"/>
            <w:tcBorders>
              <w:left w:val="single" w:color="auto" w:sz="4" w:space="0"/>
            </w:tcBorders>
            <w:vAlign w:val="center"/>
          </w:tcPr>
          <w:p w14:paraId="54E48FB1">
            <w:pPr>
              <w:spacing w:before="162" w:beforeLines="50"/>
              <w:rPr>
                <w:rFonts w:ascii="宋体" w:hAnsi="宋体"/>
                <w:kern w:val="0"/>
                <w:sz w:val="18"/>
                <w:szCs w:val="18"/>
              </w:rPr>
            </w:pPr>
            <w:r>
              <w:rPr>
                <w:rFonts w:hint="eastAsia" w:ascii="宋体" w:hAnsi="宋体"/>
                <w:kern w:val="0"/>
                <w:sz w:val="18"/>
                <w:szCs w:val="18"/>
              </w:rPr>
              <w:t>（实施审查之前的可不填）</w:t>
            </w:r>
          </w:p>
        </w:tc>
      </w:tr>
      <w:tr w14:paraId="61F82A7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4585" w:type="dxa"/>
            <w:gridSpan w:val="5"/>
            <w:vAlign w:val="center"/>
          </w:tcPr>
          <w:p w14:paraId="1B00236F">
            <w:pPr>
              <w:spacing w:before="162" w:beforeLines="50"/>
              <w:jc w:val="left"/>
              <w:rPr>
                <w:rFonts w:ascii="宋体" w:hAnsi="宋体"/>
                <w:kern w:val="0"/>
                <w:sz w:val="18"/>
                <w:szCs w:val="18"/>
              </w:rPr>
            </w:pPr>
            <w:r>
              <w:rPr>
                <w:rFonts w:hint="eastAsia" w:ascii="宋体" w:hAnsi="宋体"/>
                <w:sz w:val="18"/>
                <w:szCs w:val="18"/>
              </w:rPr>
              <w:t>改造前既有建筑消防批复文件编号</w:t>
            </w:r>
          </w:p>
        </w:tc>
        <w:tc>
          <w:tcPr>
            <w:tcW w:w="1285" w:type="dxa"/>
            <w:vAlign w:val="center"/>
          </w:tcPr>
          <w:p w14:paraId="32FC8F5C">
            <w:pPr>
              <w:spacing w:before="162" w:beforeLines="50"/>
              <w:ind w:firstLine="360"/>
              <w:jc w:val="center"/>
              <w:rPr>
                <w:rFonts w:ascii="宋体" w:hAnsi="宋体"/>
                <w:kern w:val="0"/>
                <w:sz w:val="18"/>
                <w:szCs w:val="18"/>
              </w:rPr>
            </w:pPr>
          </w:p>
        </w:tc>
        <w:tc>
          <w:tcPr>
            <w:tcW w:w="764" w:type="dxa"/>
            <w:gridSpan w:val="2"/>
            <w:vAlign w:val="center"/>
          </w:tcPr>
          <w:p w14:paraId="175C2C4C">
            <w:pPr>
              <w:spacing w:before="162" w:beforeLines="50"/>
              <w:rPr>
                <w:rFonts w:ascii="宋体" w:hAnsi="宋体"/>
                <w:kern w:val="0"/>
                <w:sz w:val="18"/>
                <w:szCs w:val="18"/>
              </w:rPr>
            </w:pPr>
            <w:r>
              <w:rPr>
                <w:rFonts w:hint="eastAsia" w:ascii="宋体" w:hAnsi="宋体"/>
                <w:kern w:val="0"/>
                <w:sz w:val="18"/>
                <w:szCs w:val="18"/>
              </w:rPr>
              <w:t>审核日期</w:t>
            </w:r>
          </w:p>
        </w:tc>
        <w:tc>
          <w:tcPr>
            <w:tcW w:w="1436" w:type="dxa"/>
            <w:gridSpan w:val="3"/>
            <w:tcBorders>
              <w:right w:val="single" w:color="auto" w:sz="4" w:space="0"/>
            </w:tcBorders>
            <w:vAlign w:val="center"/>
          </w:tcPr>
          <w:p w14:paraId="0439F9EF">
            <w:pPr>
              <w:spacing w:before="162" w:beforeLines="50"/>
              <w:ind w:firstLine="360"/>
              <w:jc w:val="center"/>
              <w:rPr>
                <w:rFonts w:ascii="宋体" w:hAnsi="宋体"/>
                <w:kern w:val="0"/>
                <w:sz w:val="18"/>
                <w:szCs w:val="18"/>
              </w:rPr>
            </w:pPr>
          </w:p>
        </w:tc>
        <w:tc>
          <w:tcPr>
            <w:tcW w:w="1985" w:type="dxa"/>
            <w:tcBorders>
              <w:left w:val="single" w:color="auto" w:sz="4" w:space="0"/>
            </w:tcBorders>
            <w:vAlign w:val="center"/>
          </w:tcPr>
          <w:p w14:paraId="43709814">
            <w:pPr>
              <w:spacing w:before="162" w:beforeLines="50"/>
              <w:rPr>
                <w:rFonts w:ascii="宋体" w:hAnsi="宋体"/>
                <w:kern w:val="0"/>
                <w:sz w:val="18"/>
                <w:szCs w:val="18"/>
              </w:rPr>
            </w:pPr>
            <w:r>
              <w:rPr>
                <w:rFonts w:hint="eastAsia" w:ascii="宋体" w:hAnsi="宋体"/>
                <w:kern w:val="0"/>
                <w:sz w:val="18"/>
                <w:szCs w:val="18"/>
              </w:rPr>
              <w:t>（历史久远的可不填）</w:t>
            </w:r>
          </w:p>
        </w:tc>
      </w:tr>
      <w:tr w14:paraId="7FD7C37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4585" w:type="dxa"/>
            <w:gridSpan w:val="5"/>
            <w:vAlign w:val="center"/>
          </w:tcPr>
          <w:p w14:paraId="5A1C5702">
            <w:pPr>
              <w:spacing w:before="162" w:beforeLines="50"/>
              <w:jc w:val="left"/>
              <w:rPr>
                <w:rFonts w:ascii="宋体" w:hAnsi="宋体"/>
                <w:kern w:val="0"/>
                <w:sz w:val="18"/>
                <w:szCs w:val="18"/>
              </w:rPr>
            </w:pPr>
            <w:r>
              <w:rPr>
                <w:rFonts w:hint="eastAsia" w:ascii="宋体" w:hAnsi="宋体"/>
                <w:kern w:val="0"/>
                <w:sz w:val="18"/>
                <w:szCs w:val="18"/>
              </w:rPr>
              <w:t>改造前既有建设工程质量监督机构</w:t>
            </w:r>
          </w:p>
        </w:tc>
        <w:tc>
          <w:tcPr>
            <w:tcW w:w="5470" w:type="dxa"/>
            <w:gridSpan w:val="7"/>
            <w:vAlign w:val="center"/>
          </w:tcPr>
          <w:p w14:paraId="2DB29992">
            <w:pPr>
              <w:spacing w:before="162" w:beforeLines="50"/>
              <w:ind w:firstLine="360"/>
              <w:jc w:val="center"/>
              <w:rPr>
                <w:rFonts w:ascii="宋体" w:hAnsi="宋体"/>
                <w:kern w:val="0"/>
                <w:sz w:val="18"/>
                <w:szCs w:val="18"/>
              </w:rPr>
            </w:pPr>
          </w:p>
        </w:tc>
      </w:tr>
      <w:tr w14:paraId="68F207A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5" w:hRule="atLeast"/>
          <w:jc w:val="center"/>
        </w:trPr>
        <w:tc>
          <w:tcPr>
            <w:tcW w:w="10055" w:type="dxa"/>
            <w:gridSpan w:val="12"/>
            <w:vAlign w:val="center"/>
          </w:tcPr>
          <w:p w14:paraId="14BE6D7B">
            <w:pPr>
              <w:spacing w:before="162" w:beforeLines="50"/>
              <w:jc w:val="center"/>
              <w:rPr>
                <w:rFonts w:ascii="宋体" w:hAnsi="宋体"/>
                <w:b/>
                <w:kern w:val="0"/>
                <w:sz w:val="24"/>
              </w:rPr>
            </w:pPr>
            <w:r>
              <w:rPr>
                <w:rFonts w:hint="eastAsia" w:ascii="宋体" w:hAnsi="宋体"/>
                <w:b/>
                <w:kern w:val="0"/>
                <w:sz w:val="24"/>
              </w:rPr>
              <w:t>一、工程概况</w:t>
            </w:r>
          </w:p>
        </w:tc>
      </w:tr>
      <w:tr w14:paraId="7B3978D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04" w:hRule="atLeast"/>
          <w:jc w:val="center"/>
        </w:trPr>
        <w:tc>
          <w:tcPr>
            <w:tcW w:w="3285" w:type="dxa"/>
            <w:gridSpan w:val="4"/>
            <w:tcBorders>
              <w:right w:val="single" w:color="auto" w:sz="4" w:space="0"/>
            </w:tcBorders>
            <w:vAlign w:val="center"/>
          </w:tcPr>
          <w:p w14:paraId="7AE48052">
            <w:pPr>
              <w:jc w:val="left"/>
              <w:rPr>
                <w:rFonts w:ascii="宋体" w:hAnsi="宋体"/>
                <w:kern w:val="0"/>
                <w:sz w:val="15"/>
                <w:szCs w:val="15"/>
              </w:rPr>
            </w:pPr>
            <w:r>
              <w:rPr>
                <w:rFonts w:hint="eastAsia" w:ascii="宋体" w:hAnsi="宋体"/>
                <w:kern w:val="0"/>
                <w:sz w:val="18"/>
                <w:szCs w:val="18"/>
              </w:rPr>
              <w:t>内容</w:t>
            </w:r>
          </w:p>
        </w:tc>
        <w:tc>
          <w:tcPr>
            <w:tcW w:w="3465" w:type="dxa"/>
            <w:gridSpan w:val="5"/>
            <w:tcBorders>
              <w:left w:val="single" w:color="auto" w:sz="4" w:space="0"/>
              <w:right w:val="single" w:color="auto" w:sz="4" w:space="0"/>
            </w:tcBorders>
            <w:vAlign w:val="center"/>
          </w:tcPr>
          <w:p w14:paraId="75C79FD8">
            <w:pPr>
              <w:jc w:val="left"/>
              <w:rPr>
                <w:rFonts w:ascii="宋体" w:hAnsi="宋体"/>
                <w:kern w:val="0"/>
                <w:sz w:val="15"/>
                <w:szCs w:val="15"/>
              </w:rPr>
            </w:pPr>
            <w:r>
              <w:rPr>
                <w:rFonts w:hint="eastAsia" w:ascii="宋体" w:hAnsi="宋体"/>
                <w:kern w:val="0"/>
                <w:sz w:val="18"/>
                <w:szCs w:val="18"/>
              </w:rPr>
              <w:t>改造前</w:t>
            </w:r>
          </w:p>
        </w:tc>
        <w:tc>
          <w:tcPr>
            <w:tcW w:w="3305" w:type="dxa"/>
            <w:gridSpan w:val="3"/>
            <w:tcBorders>
              <w:left w:val="single" w:color="auto" w:sz="4" w:space="0"/>
            </w:tcBorders>
            <w:vAlign w:val="center"/>
          </w:tcPr>
          <w:p w14:paraId="5800B360">
            <w:pPr>
              <w:jc w:val="left"/>
              <w:rPr>
                <w:rFonts w:ascii="宋体" w:hAnsi="宋体"/>
                <w:kern w:val="0"/>
                <w:sz w:val="15"/>
                <w:szCs w:val="15"/>
              </w:rPr>
            </w:pPr>
            <w:r>
              <w:rPr>
                <w:rFonts w:hint="eastAsia" w:ascii="宋体" w:hAnsi="宋体"/>
                <w:kern w:val="0"/>
                <w:sz w:val="18"/>
                <w:szCs w:val="18"/>
              </w:rPr>
              <w:t>改造后</w:t>
            </w:r>
          </w:p>
        </w:tc>
      </w:tr>
      <w:tr w14:paraId="54F43C6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04" w:hRule="atLeast"/>
          <w:jc w:val="center"/>
        </w:trPr>
        <w:tc>
          <w:tcPr>
            <w:tcW w:w="3285" w:type="dxa"/>
            <w:gridSpan w:val="4"/>
            <w:tcBorders>
              <w:right w:val="single" w:color="auto" w:sz="4" w:space="0"/>
            </w:tcBorders>
            <w:vAlign w:val="center"/>
          </w:tcPr>
          <w:p w14:paraId="393AA971">
            <w:pPr>
              <w:jc w:val="left"/>
              <w:rPr>
                <w:rFonts w:ascii="宋体" w:hAnsi="宋体"/>
                <w:kern w:val="0"/>
                <w:sz w:val="18"/>
                <w:szCs w:val="18"/>
              </w:rPr>
            </w:pPr>
            <w:r>
              <w:rPr>
                <w:rFonts w:hint="eastAsia" w:ascii="宋体" w:hAnsi="宋体"/>
                <w:kern w:val="0"/>
                <w:sz w:val="18"/>
                <w:szCs w:val="18"/>
              </w:rPr>
              <w:t>1建筑名称</w:t>
            </w:r>
          </w:p>
        </w:tc>
        <w:tc>
          <w:tcPr>
            <w:tcW w:w="3465" w:type="dxa"/>
            <w:gridSpan w:val="5"/>
            <w:tcBorders>
              <w:left w:val="single" w:color="auto" w:sz="4" w:space="0"/>
              <w:right w:val="single" w:color="auto" w:sz="4" w:space="0"/>
            </w:tcBorders>
            <w:vAlign w:val="center"/>
          </w:tcPr>
          <w:p w14:paraId="2DF5701D">
            <w:pPr>
              <w:jc w:val="left"/>
              <w:rPr>
                <w:rFonts w:ascii="宋体" w:hAnsi="宋体"/>
                <w:kern w:val="0"/>
                <w:sz w:val="15"/>
                <w:szCs w:val="15"/>
              </w:rPr>
            </w:pPr>
          </w:p>
        </w:tc>
        <w:tc>
          <w:tcPr>
            <w:tcW w:w="3305" w:type="dxa"/>
            <w:gridSpan w:val="3"/>
            <w:tcBorders>
              <w:left w:val="single" w:color="auto" w:sz="4" w:space="0"/>
            </w:tcBorders>
            <w:vAlign w:val="center"/>
          </w:tcPr>
          <w:p w14:paraId="4B5FBB61">
            <w:pPr>
              <w:jc w:val="left"/>
              <w:rPr>
                <w:rFonts w:ascii="宋体" w:hAnsi="宋体"/>
                <w:kern w:val="0"/>
                <w:sz w:val="15"/>
                <w:szCs w:val="15"/>
              </w:rPr>
            </w:pPr>
          </w:p>
        </w:tc>
      </w:tr>
      <w:tr w14:paraId="67470EE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04" w:hRule="atLeast"/>
          <w:jc w:val="center"/>
        </w:trPr>
        <w:tc>
          <w:tcPr>
            <w:tcW w:w="3285" w:type="dxa"/>
            <w:gridSpan w:val="4"/>
            <w:tcBorders>
              <w:right w:val="single" w:color="auto" w:sz="4" w:space="0"/>
            </w:tcBorders>
            <w:vAlign w:val="center"/>
          </w:tcPr>
          <w:p w14:paraId="2ABB734C">
            <w:pPr>
              <w:jc w:val="left"/>
              <w:rPr>
                <w:rFonts w:ascii="宋体" w:hAnsi="宋体"/>
                <w:kern w:val="0"/>
                <w:sz w:val="18"/>
                <w:szCs w:val="18"/>
              </w:rPr>
            </w:pPr>
            <w:r>
              <w:rPr>
                <w:rFonts w:hint="eastAsia" w:ascii="宋体" w:hAnsi="宋体"/>
                <w:kern w:val="0"/>
                <w:sz w:val="18"/>
                <w:szCs w:val="18"/>
              </w:rPr>
              <w:t>2总建筑面积（m</w:t>
            </w:r>
            <w:r>
              <w:rPr>
                <w:rFonts w:ascii="宋体" w:hAnsi="宋体"/>
                <w:kern w:val="0"/>
                <w:sz w:val="15"/>
                <w:szCs w:val="15"/>
                <w:vertAlign w:val="superscript"/>
              </w:rPr>
              <w:t>2</w:t>
            </w:r>
            <w:r>
              <w:rPr>
                <w:rFonts w:hint="eastAsia" w:ascii="宋体" w:hAnsi="宋体"/>
                <w:kern w:val="0"/>
                <w:sz w:val="18"/>
                <w:szCs w:val="18"/>
              </w:rPr>
              <w:t>）</w:t>
            </w:r>
          </w:p>
        </w:tc>
        <w:tc>
          <w:tcPr>
            <w:tcW w:w="3465" w:type="dxa"/>
            <w:gridSpan w:val="5"/>
            <w:tcBorders>
              <w:left w:val="single" w:color="auto" w:sz="4" w:space="0"/>
              <w:right w:val="single" w:color="auto" w:sz="4" w:space="0"/>
            </w:tcBorders>
            <w:vAlign w:val="center"/>
          </w:tcPr>
          <w:p w14:paraId="549C14DE">
            <w:pPr>
              <w:jc w:val="left"/>
              <w:rPr>
                <w:rFonts w:ascii="宋体" w:hAnsi="宋体"/>
                <w:kern w:val="0"/>
                <w:sz w:val="15"/>
                <w:szCs w:val="15"/>
              </w:rPr>
            </w:pPr>
          </w:p>
        </w:tc>
        <w:tc>
          <w:tcPr>
            <w:tcW w:w="3305" w:type="dxa"/>
            <w:gridSpan w:val="3"/>
            <w:tcBorders>
              <w:left w:val="single" w:color="auto" w:sz="4" w:space="0"/>
            </w:tcBorders>
            <w:vAlign w:val="center"/>
          </w:tcPr>
          <w:p w14:paraId="424548CE">
            <w:pPr>
              <w:jc w:val="left"/>
              <w:rPr>
                <w:rFonts w:ascii="宋体" w:hAnsi="宋体"/>
                <w:kern w:val="0"/>
                <w:sz w:val="15"/>
                <w:szCs w:val="15"/>
              </w:rPr>
            </w:pPr>
          </w:p>
        </w:tc>
      </w:tr>
      <w:tr w14:paraId="0452DBC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04" w:hRule="atLeast"/>
          <w:jc w:val="center"/>
        </w:trPr>
        <w:tc>
          <w:tcPr>
            <w:tcW w:w="3285" w:type="dxa"/>
            <w:gridSpan w:val="4"/>
            <w:tcBorders>
              <w:right w:val="single" w:color="auto" w:sz="4" w:space="0"/>
            </w:tcBorders>
          </w:tcPr>
          <w:p w14:paraId="074E91D7">
            <w:pPr>
              <w:tabs>
                <w:tab w:val="left" w:pos="426"/>
              </w:tabs>
              <w:rPr>
                <w:rFonts w:ascii="宋体" w:hAnsi="宋体"/>
                <w:kern w:val="0"/>
                <w:sz w:val="18"/>
                <w:szCs w:val="18"/>
              </w:rPr>
            </w:pPr>
            <w:r>
              <w:rPr>
                <w:rFonts w:hint="eastAsia" w:ascii="宋体" w:hAnsi="宋体"/>
                <w:kern w:val="0"/>
                <w:sz w:val="18"/>
                <w:szCs w:val="18"/>
              </w:rPr>
              <w:t>地上总建筑面积（m</w:t>
            </w:r>
            <w:r>
              <w:rPr>
                <w:rFonts w:ascii="宋体" w:hAnsi="宋体"/>
                <w:kern w:val="0"/>
                <w:sz w:val="15"/>
                <w:szCs w:val="15"/>
                <w:vertAlign w:val="superscript"/>
              </w:rPr>
              <w:t>2</w:t>
            </w:r>
            <w:r>
              <w:rPr>
                <w:rFonts w:hint="eastAsia" w:ascii="宋体" w:hAnsi="宋体"/>
                <w:kern w:val="0"/>
                <w:sz w:val="18"/>
                <w:szCs w:val="18"/>
              </w:rPr>
              <w:t>）</w:t>
            </w:r>
          </w:p>
        </w:tc>
        <w:tc>
          <w:tcPr>
            <w:tcW w:w="3465" w:type="dxa"/>
            <w:gridSpan w:val="5"/>
            <w:tcBorders>
              <w:left w:val="single" w:color="auto" w:sz="4" w:space="0"/>
              <w:right w:val="single" w:color="auto" w:sz="4" w:space="0"/>
            </w:tcBorders>
            <w:vAlign w:val="center"/>
          </w:tcPr>
          <w:p w14:paraId="4CE6CFA1">
            <w:pPr>
              <w:jc w:val="left"/>
              <w:rPr>
                <w:rFonts w:ascii="宋体" w:hAnsi="宋体"/>
                <w:kern w:val="0"/>
                <w:sz w:val="15"/>
                <w:szCs w:val="15"/>
              </w:rPr>
            </w:pPr>
          </w:p>
        </w:tc>
        <w:tc>
          <w:tcPr>
            <w:tcW w:w="3305" w:type="dxa"/>
            <w:gridSpan w:val="3"/>
            <w:tcBorders>
              <w:left w:val="single" w:color="auto" w:sz="4" w:space="0"/>
            </w:tcBorders>
            <w:vAlign w:val="center"/>
          </w:tcPr>
          <w:p w14:paraId="59A6BA87">
            <w:pPr>
              <w:jc w:val="left"/>
              <w:rPr>
                <w:rFonts w:ascii="宋体" w:hAnsi="宋体"/>
                <w:kern w:val="0"/>
                <w:sz w:val="15"/>
                <w:szCs w:val="15"/>
              </w:rPr>
            </w:pPr>
          </w:p>
        </w:tc>
      </w:tr>
      <w:tr w14:paraId="1B2B7E3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04" w:hRule="atLeast"/>
          <w:jc w:val="center"/>
        </w:trPr>
        <w:tc>
          <w:tcPr>
            <w:tcW w:w="3285" w:type="dxa"/>
            <w:gridSpan w:val="4"/>
            <w:tcBorders>
              <w:right w:val="single" w:color="auto" w:sz="4" w:space="0"/>
            </w:tcBorders>
          </w:tcPr>
          <w:p w14:paraId="06B10A9E">
            <w:pPr>
              <w:tabs>
                <w:tab w:val="left" w:pos="426"/>
              </w:tabs>
              <w:rPr>
                <w:rFonts w:ascii="宋体" w:hAnsi="宋体"/>
                <w:kern w:val="0"/>
                <w:sz w:val="18"/>
                <w:szCs w:val="18"/>
              </w:rPr>
            </w:pPr>
            <w:r>
              <w:rPr>
                <w:rFonts w:hint="eastAsia" w:ascii="宋体" w:hAnsi="宋体"/>
                <w:kern w:val="0"/>
                <w:sz w:val="18"/>
                <w:szCs w:val="18"/>
              </w:rPr>
              <w:t>地下总建筑面积（m</w:t>
            </w:r>
            <w:r>
              <w:rPr>
                <w:rFonts w:ascii="宋体" w:hAnsi="宋体"/>
                <w:kern w:val="0"/>
                <w:sz w:val="15"/>
                <w:szCs w:val="15"/>
                <w:vertAlign w:val="superscript"/>
              </w:rPr>
              <w:t>2</w:t>
            </w:r>
            <w:r>
              <w:rPr>
                <w:rFonts w:hint="eastAsia" w:ascii="宋体" w:hAnsi="宋体"/>
                <w:kern w:val="0"/>
                <w:sz w:val="18"/>
                <w:szCs w:val="18"/>
              </w:rPr>
              <w:t>）</w:t>
            </w:r>
          </w:p>
        </w:tc>
        <w:tc>
          <w:tcPr>
            <w:tcW w:w="3465" w:type="dxa"/>
            <w:gridSpan w:val="5"/>
            <w:tcBorders>
              <w:left w:val="single" w:color="auto" w:sz="4" w:space="0"/>
              <w:right w:val="single" w:color="auto" w:sz="4" w:space="0"/>
            </w:tcBorders>
            <w:vAlign w:val="center"/>
          </w:tcPr>
          <w:p w14:paraId="4E04C2C1">
            <w:pPr>
              <w:jc w:val="left"/>
              <w:rPr>
                <w:rFonts w:ascii="宋体" w:hAnsi="宋体"/>
                <w:kern w:val="0"/>
                <w:sz w:val="15"/>
                <w:szCs w:val="15"/>
              </w:rPr>
            </w:pPr>
          </w:p>
        </w:tc>
        <w:tc>
          <w:tcPr>
            <w:tcW w:w="3305" w:type="dxa"/>
            <w:gridSpan w:val="3"/>
            <w:tcBorders>
              <w:left w:val="single" w:color="auto" w:sz="4" w:space="0"/>
            </w:tcBorders>
            <w:vAlign w:val="center"/>
          </w:tcPr>
          <w:p w14:paraId="6BF4C2E3">
            <w:pPr>
              <w:jc w:val="left"/>
              <w:rPr>
                <w:rFonts w:ascii="宋体" w:hAnsi="宋体"/>
                <w:kern w:val="0"/>
                <w:sz w:val="15"/>
                <w:szCs w:val="15"/>
              </w:rPr>
            </w:pPr>
          </w:p>
        </w:tc>
      </w:tr>
      <w:tr w14:paraId="2B0869F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04" w:hRule="atLeast"/>
          <w:jc w:val="center"/>
        </w:trPr>
        <w:tc>
          <w:tcPr>
            <w:tcW w:w="3285" w:type="dxa"/>
            <w:gridSpan w:val="4"/>
            <w:tcBorders>
              <w:right w:val="single" w:color="auto" w:sz="4" w:space="0"/>
            </w:tcBorders>
          </w:tcPr>
          <w:p w14:paraId="380AE0DE">
            <w:pPr>
              <w:jc w:val="left"/>
              <w:rPr>
                <w:rFonts w:ascii="宋体" w:hAnsi="宋体"/>
                <w:kern w:val="0"/>
                <w:sz w:val="18"/>
                <w:szCs w:val="18"/>
              </w:rPr>
            </w:pPr>
            <w:r>
              <w:rPr>
                <w:rFonts w:hint="eastAsia" w:ascii="宋体" w:hAnsi="宋体"/>
                <w:kern w:val="0"/>
                <w:sz w:val="18"/>
                <w:szCs w:val="18"/>
              </w:rPr>
              <w:t>3改造总建筑面积（m</w:t>
            </w:r>
            <w:r>
              <w:rPr>
                <w:rFonts w:ascii="宋体" w:hAnsi="宋体"/>
                <w:kern w:val="0"/>
                <w:sz w:val="15"/>
                <w:szCs w:val="15"/>
                <w:vertAlign w:val="superscript"/>
              </w:rPr>
              <w:t>2</w:t>
            </w:r>
            <w:r>
              <w:rPr>
                <w:rFonts w:hint="eastAsia" w:ascii="宋体" w:hAnsi="宋体"/>
                <w:kern w:val="0"/>
                <w:sz w:val="18"/>
                <w:szCs w:val="18"/>
              </w:rPr>
              <w:t>）</w:t>
            </w:r>
          </w:p>
        </w:tc>
        <w:tc>
          <w:tcPr>
            <w:tcW w:w="3465" w:type="dxa"/>
            <w:gridSpan w:val="5"/>
            <w:tcBorders>
              <w:left w:val="single" w:color="auto" w:sz="4" w:space="0"/>
              <w:right w:val="single" w:color="auto" w:sz="4" w:space="0"/>
            </w:tcBorders>
            <w:vAlign w:val="center"/>
          </w:tcPr>
          <w:p w14:paraId="5F768F50">
            <w:pPr>
              <w:jc w:val="left"/>
              <w:rPr>
                <w:rFonts w:ascii="宋体" w:hAnsi="宋体"/>
                <w:kern w:val="0"/>
                <w:sz w:val="18"/>
                <w:szCs w:val="18"/>
              </w:rPr>
            </w:pPr>
          </w:p>
        </w:tc>
        <w:tc>
          <w:tcPr>
            <w:tcW w:w="3305" w:type="dxa"/>
            <w:gridSpan w:val="3"/>
            <w:tcBorders>
              <w:left w:val="single" w:color="auto" w:sz="4" w:space="0"/>
            </w:tcBorders>
            <w:vAlign w:val="center"/>
          </w:tcPr>
          <w:p w14:paraId="3E90E662">
            <w:pPr>
              <w:jc w:val="left"/>
              <w:rPr>
                <w:rFonts w:ascii="宋体" w:hAnsi="宋体"/>
                <w:kern w:val="0"/>
                <w:sz w:val="18"/>
                <w:szCs w:val="18"/>
              </w:rPr>
            </w:pPr>
          </w:p>
        </w:tc>
      </w:tr>
      <w:tr w14:paraId="50D866A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04" w:hRule="atLeast"/>
          <w:jc w:val="center"/>
        </w:trPr>
        <w:tc>
          <w:tcPr>
            <w:tcW w:w="3285" w:type="dxa"/>
            <w:gridSpan w:val="4"/>
            <w:tcBorders>
              <w:right w:val="single" w:color="auto" w:sz="4" w:space="0"/>
            </w:tcBorders>
          </w:tcPr>
          <w:p w14:paraId="2AE97BC3">
            <w:pPr>
              <w:jc w:val="left"/>
              <w:rPr>
                <w:rFonts w:ascii="宋体" w:hAnsi="宋体"/>
                <w:kern w:val="0"/>
                <w:sz w:val="18"/>
                <w:szCs w:val="18"/>
              </w:rPr>
            </w:pPr>
            <w:r>
              <w:rPr>
                <w:rFonts w:hint="eastAsia" w:ascii="宋体" w:hAnsi="宋体"/>
                <w:kern w:val="0"/>
                <w:sz w:val="18"/>
                <w:szCs w:val="18"/>
              </w:rPr>
              <w:t xml:space="preserve">    地上改造建筑面积（m</w:t>
            </w:r>
            <w:r>
              <w:rPr>
                <w:rFonts w:ascii="宋体" w:hAnsi="宋体"/>
                <w:kern w:val="0"/>
                <w:sz w:val="15"/>
                <w:szCs w:val="15"/>
                <w:vertAlign w:val="superscript"/>
              </w:rPr>
              <w:t>2</w:t>
            </w:r>
            <w:r>
              <w:rPr>
                <w:rFonts w:hint="eastAsia" w:ascii="宋体" w:hAnsi="宋体"/>
                <w:kern w:val="0"/>
                <w:sz w:val="18"/>
                <w:szCs w:val="18"/>
              </w:rPr>
              <w:t>）</w:t>
            </w:r>
          </w:p>
        </w:tc>
        <w:tc>
          <w:tcPr>
            <w:tcW w:w="3465" w:type="dxa"/>
            <w:gridSpan w:val="5"/>
            <w:tcBorders>
              <w:left w:val="single" w:color="auto" w:sz="4" w:space="0"/>
              <w:right w:val="single" w:color="auto" w:sz="4" w:space="0"/>
            </w:tcBorders>
            <w:vAlign w:val="center"/>
          </w:tcPr>
          <w:p w14:paraId="2F385E88">
            <w:pPr>
              <w:jc w:val="left"/>
              <w:rPr>
                <w:rFonts w:ascii="宋体" w:hAnsi="宋体"/>
                <w:kern w:val="0"/>
                <w:sz w:val="18"/>
                <w:szCs w:val="18"/>
              </w:rPr>
            </w:pPr>
          </w:p>
        </w:tc>
        <w:tc>
          <w:tcPr>
            <w:tcW w:w="3305" w:type="dxa"/>
            <w:gridSpan w:val="3"/>
            <w:tcBorders>
              <w:left w:val="single" w:color="auto" w:sz="4" w:space="0"/>
            </w:tcBorders>
            <w:vAlign w:val="center"/>
          </w:tcPr>
          <w:p w14:paraId="7119B2A9">
            <w:pPr>
              <w:jc w:val="left"/>
              <w:rPr>
                <w:rFonts w:ascii="宋体" w:hAnsi="宋体"/>
                <w:kern w:val="0"/>
                <w:sz w:val="18"/>
                <w:szCs w:val="18"/>
              </w:rPr>
            </w:pPr>
          </w:p>
        </w:tc>
      </w:tr>
      <w:tr w14:paraId="2306699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04" w:hRule="atLeast"/>
          <w:jc w:val="center"/>
        </w:trPr>
        <w:tc>
          <w:tcPr>
            <w:tcW w:w="3285" w:type="dxa"/>
            <w:gridSpan w:val="4"/>
            <w:tcBorders>
              <w:right w:val="single" w:color="auto" w:sz="4" w:space="0"/>
            </w:tcBorders>
          </w:tcPr>
          <w:p w14:paraId="68A090AA">
            <w:pPr>
              <w:jc w:val="left"/>
              <w:rPr>
                <w:rFonts w:ascii="宋体" w:hAnsi="宋体"/>
                <w:kern w:val="0"/>
                <w:sz w:val="18"/>
                <w:szCs w:val="18"/>
              </w:rPr>
            </w:pPr>
            <w:r>
              <w:rPr>
                <w:rFonts w:hint="eastAsia" w:ascii="宋体" w:hAnsi="宋体"/>
                <w:kern w:val="0"/>
                <w:sz w:val="18"/>
                <w:szCs w:val="18"/>
              </w:rPr>
              <w:t xml:space="preserve">    地下改造建筑面积（m</w:t>
            </w:r>
            <w:r>
              <w:rPr>
                <w:rFonts w:ascii="宋体" w:hAnsi="宋体"/>
                <w:kern w:val="0"/>
                <w:sz w:val="15"/>
                <w:szCs w:val="15"/>
                <w:vertAlign w:val="superscript"/>
              </w:rPr>
              <w:t>2</w:t>
            </w:r>
            <w:r>
              <w:rPr>
                <w:rFonts w:hint="eastAsia" w:ascii="宋体" w:hAnsi="宋体"/>
                <w:kern w:val="0"/>
                <w:sz w:val="18"/>
                <w:szCs w:val="18"/>
              </w:rPr>
              <w:t>）</w:t>
            </w:r>
          </w:p>
        </w:tc>
        <w:tc>
          <w:tcPr>
            <w:tcW w:w="3465" w:type="dxa"/>
            <w:gridSpan w:val="5"/>
            <w:tcBorders>
              <w:left w:val="single" w:color="auto" w:sz="4" w:space="0"/>
              <w:right w:val="single" w:color="auto" w:sz="4" w:space="0"/>
            </w:tcBorders>
            <w:vAlign w:val="center"/>
          </w:tcPr>
          <w:p w14:paraId="0CCC3062">
            <w:pPr>
              <w:jc w:val="left"/>
              <w:rPr>
                <w:rFonts w:ascii="宋体" w:hAnsi="宋体"/>
                <w:kern w:val="0"/>
                <w:sz w:val="18"/>
                <w:szCs w:val="18"/>
              </w:rPr>
            </w:pPr>
          </w:p>
        </w:tc>
        <w:tc>
          <w:tcPr>
            <w:tcW w:w="3305" w:type="dxa"/>
            <w:gridSpan w:val="3"/>
            <w:tcBorders>
              <w:left w:val="single" w:color="auto" w:sz="4" w:space="0"/>
            </w:tcBorders>
            <w:vAlign w:val="center"/>
          </w:tcPr>
          <w:p w14:paraId="09EDAB7E">
            <w:pPr>
              <w:jc w:val="left"/>
              <w:rPr>
                <w:rFonts w:ascii="宋体" w:hAnsi="宋体"/>
                <w:kern w:val="0"/>
                <w:sz w:val="18"/>
                <w:szCs w:val="18"/>
              </w:rPr>
            </w:pPr>
          </w:p>
        </w:tc>
      </w:tr>
      <w:tr w14:paraId="7689AB1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04" w:hRule="atLeast"/>
          <w:jc w:val="center"/>
        </w:trPr>
        <w:tc>
          <w:tcPr>
            <w:tcW w:w="3285" w:type="dxa"/>
            <w:gridSpan w:val="4"/>
            <w:tcBorders>
              <w:right w:val="single" w:color="auto" w:sz="4" w:space="0"/>
            </w:tcBorders>
          </w:tcPr>
          <w:p w14:paraId="75869231">
            <w:pPr>
              <w:jc w:val="left"/>
              <w:rPr>
                <w:rFonts w:ascii="宋体" w:hAnsi="宋体"/>
                <w:kern w:val="0"/>
                <w:sz w:val="18"/>
                <w:szCs w:val="18"/>
              </w:rPr>
            </w:pPr>
            <w:r>
              <w:rPr>
                <w:rFonts w:hint="eastAsia" w:ascii="宋体" w:hAnsi="宋体"/>
                <w:kern w:val="0"/>
                <w:sz w:val="18"/>
                <w:szCs w:val="18"/>
              </w:rPr>
              <w:t>4建筑功能</w:t>
            </w:r>
          </w:p>
        </w:tc>
        <w:tc>
          <w:tcPr>
            <w:tcW w:w="3465" w:type="dxa"/>
            <w:gridSpan w:val="5"/>
            <w:tcBorders>
              <w:left w:val="single" w:color="auto" w:sz="4" w:space="0"/>
              <w:right w:val="single" w:color="auto" w:sz="4" w:space="0"/>
            </w:tcBorders>
            <w:vAlign w:val="center"/>
          </w:tcPr>
          <w:p w14:paraId="0E45B143">
            <w:pPr>
              <w:jc w:val="left"/>
              <w:rPr>
                <w:rFonts w:ascii="宋体" w:hAnsi="宋体"/>
                <w:kern w:val="0"/>
                <w:sz w:val="18"/>
                <w:szCs w:val="18"/>
              </w:rPr>
            </w:pPr>
          </w:p>
        </w:tc>
        <w:tc>
          <w:tcPr>
            <w:tcW w:w="3305" w:type="dxa"/>
            <w:gridSpan w:val="3"/>
            <w:tcBorders>
              <w:left w:val="single" w:color="auto" w:sz="4" w:space="0"/>
            </w:tcBorders>
            <w:vAlign w:val="center"/>
          </w:tcPr>
          <w:p w14:paraId="386F5465">
            <w:pPr>
              <w:jc w:val="left"/>
              <w:rPr>
                <w:rFonts w:ascii="宋体" w:hAnsi="宋体"/>
                <w:kern w:val="0"/>
                <w:sz w:val="18"/>
                <w:szCs w:val="18"/>
              </w:rPr>
            </w:pPr>
          </w:p>
        </w:tc>
      </w:tr>
      <w:tr w14:paraId="35F9492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04" w:hRule="atLeast"/>
          <w:jc w:val="center"/>
        </w:trPr>
        <w:tc>
          <w:tcPr>
            <w:tcW w:w="3285" w:type="dxa"/>
            <w:gridSpan w:val="4"/>
            <w:tcBorders>
              <w:right w:val="single" w:color="auto" w:sz="4" w:space="0"/>
            </w:tcBorders>
          </w:tcPr>
          <w:p w14:paraId="697A2221">
            <w:pPr>
              <w:jc w:val="left"/>
              <w:rPr>
                <w:rFonts w:ascii="宋体" w:hAnsi="宋体"/>
                <w:kern w:val="0"/>
                <w:sz w:val="18"/>
                <w:szCs w:val="18"/>
              </w:rPr>
            </w:pPr>
            <w:r>
              <w:rPr>
                <w:rFonts w:hint="eastAsia" w:ascii="宋体" w:hAnsi="宋体"/>
                <w:kern w:val="0"/>
                <w:sz w:val="18"/>
                <w:szCs w:val="18"/>
              </w:rPr>
              <w:t>5建筑层数</w:t>
            </w:r>
          </w:p>
        </w:tc>
        <w:tc>
          <w:tcPr>
            <w:tcW w:w="3465" w:type="dxa"/>
            <w:gridSpan w:val="5"/>
            <w:tcBorders>
              <w:left w:val="single" w:color="auto" w:sz="4" w:space="0"/>
              <w:right w:val="single" w:color="auto" w:sz="4" w:space="0"/>
            </w:tcBorders>
          </w:tcPr>
          <w:p w14:paraId="04F6DB6D">
            <w:pPr>
              <w:tabs>
                <w:tab w:val="left" w:pos="426"/>
              </w:tabs>
              <w:rPr>
                <w:i/>
                <w:color w:val="AEAAAA"/>
                <w:sz w:val="18"/>
                <w:szCs w:val="18"/>
              </w:rPr>
            </w:pPr>
            <w:r>
              <w:rPr>
                <w:rFonts w:hint="eastAsia"/>
                <w:i/>
                <w:color w:val="AEAAAA"/>
                <w:sz w:val="18"/>
                <w:szCs w:val="18"/>
              </w:rPr>
              <w:t>地上X层，地下X层</w:t>
            </w:r>
          </w:p>
        </w:tc>
        <w:tc>
          <w:tcPr>
            <w:tcW w:w="3305" w:type="dxa"/>
            <w:gridSpan w:val="3"/>
            <w:tcBorders>
              <w:left w:val="single" w:color="auto" w:sz="4" w:space="0"/>
            </w:tcBorders>
          </w:tcPr>
          <w:p w14:paraId="11E36C08">
            <w:pPr>
              <w:tabs>
                <w:tab w:val="left" w:pos="426"/>
              </w:tabs>
              <w:rPr>
                <w:i/>
                <w:color w:val="AEAAAA"/>
                <w:sz w:val="18"/>
                <w:szCs w:val="18"/>
              </w:rPr>
            </w:pPr>
            <w:r>
              <w:rPr>
                <w:rFonts w:hint="eastAsia"/>
                <w:i/>
                <w:color w:val="AEAAAA"/>
                <w:sz w:val="18"/>
                <w:szCs w:val="18"/>
              </w:rPr>
              <w:t>地上X层，地下X层</w:t>
            </w:r>
          </w:p>
        </w:tc>
      </w:tr>
      <w:tr w14:paraId="7F4FB38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04" w:hRule="atLeast"/>
          <w:jc w:val="center"/>
        </w:trPr>
        <w:tc>
          <w:tcPr>
            <w:tcW w:w="3285" w:type="dxa"/>
            <w:gridSpan w:val="4"/>
            <w:tcBorders>
              <w:right w:val="single" w:color="auto" w:sz="4" w:space="0"/>
            </w:tcBorders>
          </w:tcPr>
          <w:p w14:paraId="4F876FDE">
            <w:pPr>
              <w:jc w:val="left"/>
              <w:rPr>
                <w:rFonts w:ascii="宋体" w:hAnsi="宋体"/>
                <w:kern w:val="0"/>
                <w:sz w:val="18"/>
                <w:szCs w:val="18"/>
              </w:rPr>
            </w:pPr>
            <w:r>
              <w:rPr>
                <w:rFonts w:hint="eastAsia" w:ascii="宋体" w:hAnsi="宋体"/>
                <w:kern w:val="0"/>
                <w:sz w:val="18"/>
                <w:szCs w:val="18"/>
              </w:rPr>
              <w:t>6建筑高度</w:t>
            </w:r>
          </w:p>
        </w:tc>
        <w:tc>
          <w:tcPr>
            <w:tcW w:w="3465" w:type="dxa"/>
            <w:gridSpan w:val="5"/>
            <w:tcBorders>
              <w:left w:val="single" w:color="auto" w:sz="4" w:space="0"/>
              <w:right w:val="single" w:color="auto" w:sz="4" w:space="0"/>
            </w:tcBorders>
            <w:vAlign w:val="center"/>
          </w:tcPr>
          <w:p w14:paraId="6197730E">
            <w:pPr>
              <w:jc w:val="left"/>
              <w:rPr>
                <w:rFonts w:ascii="宋体" w:hAnsi="宋体"/>
                <w:kern w:val="0"/>
                <w:sz w:val="18"/>
                <w:szCs w:val="18"/>
              </w:rPr>
            </w:pPr>
          </w:p>
        </w:tc>
        <w:tc>
          <w:tcPr>
            <w:tcW w:w="3305" w:type="dxa"/>
            <w:gridSpan w:val="3"/>
            <w:tcBorders>
              <w:left w:val="single" w:color="auto" w:sz="4" w:space="0"/>
            </w:tcBorders>
            <w:vAlign w:val="center"/>
          </w:tcPr>
          <w:p w14:paraId="72B15B4E">
            <w:pPr>
              <w:jc w:val="left"/>
              <w:rPr>
                <w:rFonts w:ascii="宋体" w:hAnsi="宋体"/>
                <w:kern w:val="0"/>
                <w:sz w:val="18"/>
                <w:szCs w:val="18"/>
              </w:rPr>
            </w:pPr>
          </w:p>
        </w:tc>
      </w:tr>
      <w:tr w14:paraId="2B64DE3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04" w:hRule="atLeast"/>
          <w:jc w:val="center"/>
        </w:trPr>
        <w:tc>
          <w:tcPr>
            <w:tcW w:w="3285" w:type="dxa"/>
            <w:gridSpan w:val="4"/>
            <w:tcBorders>
              <w:right w:val="single" w:color="auto" w:sz="4" w:space="0"/>
            </w:tcBorders>
          </w:tcPr>
          <w:p w14:paraId="646A00B8">
            <w:pPr>
              <w:jc w:val="left"/>
              <w:rPr>
                <w:rFonts w:ascii="宋体" w:hAnsi="宋体"/>
                <w:kern w:val="0"/>
                <w:sz w:val="18"/>
                <w:szCs w:val="18"/>
              </w:rPr>
            </w:pPr>
            <w:r>
              <w:rPr>
                <w:rFonts w:hint="eastAsia" w:ascii="宋体" w:hAnsi="宋体"/>
                <w:kern w:val="0"/>
                <w:sz w:val="18"/>
                <w:szCs w:val="18"/>
              </w:rPr>
              <w:t>7消防分类</w:t>
            </w:r>
          </w:p>
        </w:tc>
        <w:tc>
          <w:tcPr>
            <w:tcW w:w="3465" w:type="dxa"/>
            <w:gridSpan w:val="5"/>
            <w:tcBorders>
              <w:left w:val="single" w:color="auto" w:sz="4" w:space="0"/>
              <w:right w:val="single" w:color="auto" w:sz="4" w:space="0"/>
            </w:tcBorders>
            <w:vAlign w:val="center"/>
          </w:tcPr>
          <w:p w14:paraId="68543661">
            <w:pPr>
              <w:jc w:val="left"/>
              <w:rPr>
                <w:rFonts w:ascii="宋体" w:hAnsi="宋体"/>
                <w:kern w:val="0"/>
                <w:sz w:val="18"/>
                <w:szCs w:val="18"/>
              </w:rPr>
            </w:pPr>
          </w:p>
        </w:tc>
        <w:tc>
          <w:tcPr>
            <w:tcW w:w="3305" w:type="dxa"/>
            <w:gridSpan w:val="3"/>
            <w:tcBorders>
              <w:left w:val="single" w:color="auto" w:sz="4" w:space="0"/>
            </w:tcBorders>
            <w:vAlign w:val="center"/>
          </w:tcPr>
          <w:p w14:paraId="5AABACA4">
            <w:pPr>
              <w:jc w:val="left"/>
              <w:rPr>
                <w:rFonts w:ascii="宋体" w:hAnsi="宋体"/>
                <w:kern w:val="0"/>
                <w:sz w:val="18"/>
                <w:szCs w:val="18"/>
              </w:rPr>
            </w:pPr>
          </w:p>
        </w:tc>
      </w:tr>
      <w:tr w14:paraId="421F83E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04" w:hRule="atLeast"/>
          <w:jc w:val="center"/>
        </w:trPr>
        <w:tc>
          <w:tcPr>
            <w:tcW w:w="3285" w:type="dxa"/>
            <w:gridSpan w:val="4"/>
            <w:tcBorders>
              <w:right w:val="single" w:color="auto" w:sz="4" w:space="0"/>
            </w:tcBorders>
          </w:tcPr>
          <w:p w14:paraId="2ACA4D07">
            <w:pPr>
              <w:jc w:val="left"/>
              <w:rPr>
                <w:rFonts w:ascii="宋体" w:hAnsi="宋体"/>
                <w:kern w:val="0"/>
                <w:sz w:val="18"/>
                <w:szCs w:val="18"/>
              </w:rPr>
            </w:pPr>
            <w:r>
              <w:rPr>
                <w:rFonts w:hint="eastAsia" w:ascii="宋体" w:hAnsi="宋体"/>
                <w:kern w:val="0"/>
                <w:sz w:val="18"/>
                <w:szCs w:val="18"/>
              </w:rPr>
              <w:t>8耐火等级</w:t>
            </w:r>
          </w:p>
        </w:tc>
        <w:tc>
          <w:tcPr>
            <w:tcW w:w="3465" w:type="dxa"/>
            <w:gridSpan w:val="5"/>
            <w:tcBorders>
              <w:left w:val="single" w:color="auto" w:sz="4" w:space="0"/>
              <w:right w:val="single" w:color="auto" w:sz="4" w:space="0"/>
            </w:tcBorders>
          </w:tcPr>
          <w:p w14:paraId="5DAD1117">
            <w:pPr>
              <w:tabs>
                <w:tab w:val="left" w:pos="426"/>
              </w:tabs>
              <w:rPr>
                <w:i/>
                <w:color w:val="AEAAAA"/>
                <w:sz w:val="18"/>
                <w:szCs w:val="18"/>
              </w:rPr>
            </w:pPr>
            <w:r>
              <w:rPr>
                <w:rFonts w:hint="eastAsia"/>
                <w:i/>
                <w:color w:val="AEAAAA"/>
                <w:sz w:val="18"/>
                <w:szCs w:val="18"/>
              </w:rPr>
              <w:t>地上X级，地下X级</w:t>
            </w:r>
          </w:p>
        </w:tc>
        <w:tc>
          <w:tcPr>
            <w:tcW w:w="3305" w:type="dxa"/>
            <w:gridSpan w:val="3"/>
            <w:tcBorders>
              <w:left w:val="single" w:color="auto" w:sz="4" w:space="0"/>
            </w:tcBorders>
          </w:tcPr>
          <w:p w14:paraId="00458C61">
            <w:pPr>
              <w:tabs>
                <w:tab w:val="left" w:pos="426"/>
              </w:tabs>
              <w:rPr>
                <w:i/>
                <w:color w:val="AEAAAA"/>
                <w:sz w:val="18"/>
                <w:szCs w:val="18"/>
              </w:rPr>
            </w:pPr>
            <w:r>
              <w:rPr>
                <w:rFonts w:hint="eastAsia"/>
                <w:i/>
                <w:color w:val="AEAAAA"/>
                <w:sz w:val="18"/>
                <w:szCs w:val="18"/>
              </w:rPr>
              <w:t>地上X级，地下X级</w:t>
            </w:r>
          </w:p>
        </w:tc>
      </w:tr>
      <w:tr w14:paraId="31024C5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04" w:hRule="atLeast"/>
          <w:jc w:val="center"/>
        </w:trPr>
        <w:tc>
          <w:tcPr>
            <w:tcW w:w="3285" w:type="dxa"/>
            <w:gridSpan w:val="4"/>
            <w:tcBorders>
              <w:right w:val="single" w:color="auto" w:sz="4" w:space="0"/>
            </w:tcBorders>
          </w:tcPr>
          <w:p w14:paraId="4921BD76">
            <w:pPr>
              <w:jc w:val="left"/>
              <w:rPr>
                <w:rFonts w:ascii="宋体" w:hAnsi="宋体"/>
                <w:kern w:val="0"/>
                <w:sz w:val="18"/>
                <w:szCs w:val="18"/>
              </w:rPr>
            </w:pPr>
            <w:r>
              <w:rPr>
                <w:rFonts w:hint="eastAsia" w:ascii="宋体" w:hAnsi="宋体"/>
                <w:kern w:val="0"/>
                <w:sz w:val="18"/>
                <w:szCs w:val="18"/>
              </w:rPr>
              <w:t>9结构类型</w:t>
            </w:r>
          </w:p>
        </w:tc>
        <w:tc>
          <w:tcPr>
            <w:tcW w:w="3465" w:type="dxa"/>
            <w:gridSpan w:val="5"/>
            <w:tcBorders>
              <w:left w:val="single" w:color="auto" w:sz="4" w:space="0"/>
              <w:right w:val="single" w:color="auto" w:sz="4" w:space="0"/>
            </w:tcBorders>
            <w:vAlign w:val="center"/>
          </w:tcPr>
          <w:p w14:paraId="071FFE5C">
            <w:pPr>
              <w:jc w:val="left"/>
              <w:rPr>
                <w:rFonts w:ascii="宋体" w:hAnsi="宋体"/>
                <w:kern w:val="0"/>
                <w:sz w:val="18"/>
                <w:szCs w:val="18"/>
              </w:rPr>
            </w:pPr>
          </w:p>
        </w:tc>
        <w:tc>
          <w:tcPr>
            <w:tcW w:w="3305" w:type="dxa"/>
            <w:gridSpan w:val="3"/>
            <w:tcBorders>
              <w:left w:val="single" w:color="auto" w:sz="4" w:space="0"/>
            </w:tcBorders>
            <w:vAlign w:val="center"/>
          </w:tcPr>
          <w:p w14:paraId="57C2C158">
            <w:pPr>
              <w:jc w:val="left"/>
              <w:rPr>
                <w:rFonts w:ascii="宋体" w:hAnsi="宋体"/>
                <w:kern w:val="0"/>
                <w:sz w:val="18"/>
                <w:szCs w:val="18"/>
              </w:rPr>
            </w:pPr>
          </w:p>
        </w:tc>
      </w:tr>
      <w:tr w14:paraId="6E6E8ED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04" w:hRule="atLeast"/>
          <w:jc w:val="center"/>
        </w:trPr>
        <w:tc>
          <w:tcPr>
            <w:tcW w:w="3285" w:type="dxa"/>
            <w:gridSpan w:val="4"/>
            <w:tcBorders>
              <w:right w:val="single" w:color="auto" w:sz="4" w:space="0"/>
            </w:tcBorders>
          </w:tcPr>
          <w:p w14:paraId="46AB374F">
            <w:pPr>
              <w:jc w:val="left"/>
              <w:rPr>
                <w:rFonts w:ascii="宋体" w:hAnsi="宋体"/>
                <w:kern w:val="0"/>
                <w:sz w:val="18"/>
                <w:szCs w:val="18"/>
              </w:rPr>
            </w:pPr>
            <w:r>
              <w:rPr>
                <w:rFonts w:hint="eastAsia" w:ascii="宋体" w:hAnsi="宋体"/>
                <w:kern w:val="0"/>
                <w:sz w:val="18"/>
                <w:szCs w:val="18"/>
              </w:rPr>
              <w:t>10建筑设计使用年限</w:t>
            </w:r>
          </w:p>
        </w:tc>
        <w:tc>
          <w:tcPr>
            <w:tcW w:w="3465" w:type="dxa"/>
            <w:gridSpan w:val="5"/>
            <w:tcBorders>
              <w:left w:val="single" w:color="auto" w:sz="4" w:space="0"/>
              <w:right w:val="single" w:color="auto" w:sz="4" w:space="0"/>
            </w:tcBorders>
            <w:vAlign w:val="center"/>
          </w:tcPr>
          <w:p w14:paraId="66003512">
            <w:pPr>
              <w:jc w:val="left"/>
              <w:rPr>
                <w:rFonts w:ascii="宋体" w:hAnsi="宋体"/>
                <w:kern w:val="0"/>
                <w:sz w:val="18"/>
                <w:szCs w:val="18"/>
              </w:rPr>
            </w:pPr>
          </w:p>
        </w:tc>
        <w:tc>
          <w:tcPr>
            <w:tcW w:w="3305" w:type="dxa"/>
            <w:gridSpan w:val="3"/>
            <w:tcBorders>
              <w:left w:val="single" w:color="auto" w:sz="4" w:space="0"/>
            </w:tcBorders>
            <w:vAlign w:val="center"/>
          </w:tcPr>
          <w:p w14:paraId="52BAEF05">
            <w:pPr>
              <w:jc w:val="left"/>
              <w:rPr>
                <w:rFonts w:ascii="宋体" w:hAnsi="宋体"/>
                <w:kern w:val="0"/>
                <w:sz w:val="18"/>
                <w:szCs w:val="18"/>
              </w:rPr>
            </w:pPr>
          </w:p>
        </w:tc>
      </w:tr>
      <w:tr w14:paraId="5AFD702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04" w:hRule="atLeast"/>
          <w:jc w:val="center"/>
        </w:trPr>
        <w:tc>
          <w:tcPr>
            <w:tcW w:w="3285" w:type="dxa"/>
            <w:gridSpan w:val="4"/>
            <w:tcBorders>
              <w:right w:val="single" w:color="auto" w:sz="4" w:space="0"/>
            </w:tcBorders>
          </w:tcPr>
          <w:p w14:paraId="013D6091">
            <w:pPr>
              <w:jc w:val="left"/>
              <w:rPr>
                <w:rFonts w:ascii="宋体" w:hAnsi="宋体"/>
                <w:kern w:val="0"/>
                <w:sz w:val="18"/>
                <w:szCs w:val="18"/>
              </w:rPr>
            </w:pPr>
            <w:r>
              <w:rPr>
                <w:rFonts w:hint="eastAsia" w:ascii="宋体" w:hAnsi="宋体"/>
                <w:kern w:val="0"/>
                <w:sz w:val="18"/>
                <w:szCs w:val="18"/>
              </w:rPr>
              <w:t>11建造年代</w:t>
            </w:r>
          </w:p>
        </w:tc>
        <w:tc>
          <w:tcPr>
            <w:tcW w:w="3465" w:type="dxa"/>
            <w:gridSpan w:val="5"/>
            <w:tcBorders>
              <w:left w:val="single" w:color="auto" w:sz="4" w:space="0"/>
              <w:right w:val="single" w:color="auto" w:sz="4" w:space="0"/>
            </w:tcBorders>
            <w:vAlign w:val="center"/>
          </w:tcPr>
          <w:p w14:paraId="00EBE3AC">
            <w:pPr>
              <w:jc w:val="left"/>
              <w:rPr>
                <w:rFonts w:ascii="宋体" w:hAnsi="宋体"/>
                <w:kern w:val="0"/>
                <w:sz w:val="18"/>
                <w:szCs w:val="18"/>
              </w:rPr>
            </w:pPr>
          </w:p>
        </w:tc>
        <w:tc>
          <w:tcPr>
            <w:tcW w:w="3305" w:type="dxa"/>
            <w:gridSpan w:val="3"/>
            <w:tcBorders>
              <w:left w:val="single" w:color="auto" w:sz="4" w:space="0"/>
            </w:tcBorders>
            <w:vAlign w:val="center"/>
          </w:tcPr>
          <w:p w14:paraId="70604984">
            <w:pPr>
              <w:jc w:val="left"/>
              <w:rPr>
                <w:rFonts w:ascii="宋体" w:hAnsi="宋体"/>
                <w:kern w:val="0"/>
                <w:sz w:val="18"/>
                <w:szCs w:val="18"/>
              </w:rPr>
            </w:pPr>
          </w:p>
        </w:tc>
      </w:tr>
      <w:tr w14:paraId="4733C6D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04" w:hRule="atLeast"/>
          <w:jc w:val="center"/>
        </w:trPr>
        <w:tc>
          <w:tcPr>
            <w:tcW w:w="10055" w:type="dxa"/>
            <w:gridSpan w:val="12"/>
            <w:vAlign w:val="center"/>
          </w:tcPr>
          <w:p w14:paraId="22638F42">
            <w:pPr>
              <w:jc w:val="right"/>
              <w:rPr>
                <w:rFonts w:ascii="宋体" w:hAnsi="宋体"/>
                <w:kern w:val="0"/>
                <w:sz w:val="15"/>
                <w:szCs w:val="15"/>
              </w:rPr>
            </w:pPr>
            <w:r>
              <w:rPr>
                <w:rFonts w:hint="eastAsia" w:ascii="宋体" w:hAnsi="宋体"/>
                <w:kern w:val="0"/>
                <w:sz w:val="18"/>
                <w:szCs w:val="18"/>
              </w:rPr>
              <w:t>上栏可根据实际情况增减</w:t>
            </w:r>
          </w:p>
        </w:tc>
      </w:tr>
      <w:tr w14:paraId="72B36EA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10055" w:type="dxa"/>
            <w:gridSpan w:val="12"/>
            <w:vAlign w:val="center"/>
          </w:tcPr>
          <w:p w14:paraId="3CAE876D">
            <w:pPr>
              <w:spacing w:before="162" w:beforeLines="50"/>
              <w:jc w:val="center"/>
              <w:rPr>
                <w:rFonts w:ascii="宋体" w:hAnsi="宋体"/>
                <w:b/>
                <w:kern w:val="0"/>
                <w:sz w:val="24"/>
              </w:rPr>
            </w:pPr>
            <w:r>
              <w:rPr>
                <w:rFonts w:hint="eastAsia" w:ascii="宋体" w:hAnsi="宋体"/>
                <w:b/>
                <w:kern w:val="0"/>
                <w:sz w:val="24"/>
              </w:rPr>
              <w:t>二、评价内容</w:t>
            </w:r>
          </w:p>
        </w:tc>
      </w:tr>
      <w:tr w14:paraId="6ED6B66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2825" w:type="dxa"/>
            <w:gridSpan w:val="3"/>
            <w:vAlign w:val="center"/>
          </w:tcPr>
          <w:p w14:paraId="7BB78AB9">
            <w:pPr>
              <w:ind w:firstLine="360"/>
              <w:jc w:val="left"/>
              <w:rPr>
                <w:rFonts w:ascii="宋体" w:hAnsi="宋体"/>
                <w:sz w:val="18"/>
                <w:szCs w:val="18"/>
              </w:rPr>
            </w:pPr>
            <w:r>
              <w:rPr>
                <w:rFonts w:hint="eastAsia" w:ascii="宋体" w:hAnsi="宋体"/>
                <w:sz w:val="18"/>
                <w:szCs w:val="18"/>
              </w:rPr>
              <w:t>评价内容</w:t>
            </w:r>
          </w:p>
        </w:tc>
        <w:tc>
          <w:tcPr>
            <w:tcW w:w="1760" w:type="dxa"/>
            <w:gridSpan w:val="2"/>
            <w:vAlign w:val="center"/>
          </w:tcPr>
          <w:p w14:paraId="3E918108">
            <w:pPr>
              <w:jc w:val="center"/>
              <w:rPr>
                <w:rFonts w:ascii="宋体" w:hAnsi="宋体"/>
                <w:sz w:val="18"/>
                <w:szCs w:val="18"/>
              </w:rPr>
            </w:pPr>
            <w:r>
              <w:rPr>
                <w:rFonts w:hint="eastAsia" w:ascii="宋体" w:hAnsi="宋体"/>
                <w:sz w:val="18"/>
                <w:szCs w:val="18"/>
              </w:rPr>
              <w:t>改造前情况</w:t>
            </w:r>
          </w:p>
        </w:tc>
        <w:tc>
          <w:tcPr>
            <w:tcW w:w="1796" w:type="dxa"/>
            <w:gridSpan w:val="2"/>
            <w:vAlign w:val="center"/>
          </w:tcPr>
          <w:p w14:paraId="27C0BA14">
            <w:pPr>
              <w:jc w:val="left"/>
              <w:rPr>
                <w:rFonts w:ascii="宋体" w:hAnsi="宋体"/>
                <w:sz w:val="18"/>
                <w:szCs w:val="18"/>
              </w:rPr>
            </w:pPr>
            <w:r>
              <w:rPr>
                <w:rFonts w:hint="eastAsia" w:ascii="宋体" w:hAnsi="宋体"/>
                <w:sz w:val="18"/>
                <w:szCs w:val="18"/>
              </w:rPr>
              <w:t>改造后需执行的标准要求</w:t>
            </w:r>
          </w:p>
        </w:tc>
        <w:tc>
          <w:tcPr>
            <w:tcW w:w="1689" w:type="dxa"/>
            <w:gridSpan w:val="4"/>
            <w:vAlign w:val="center"/>
          </w:tcPr>
          <w:p w14:paraId="26712F5F">
            <w:pPr>
              <w:jc w:val="left"/>
              <w:rPr>
                <w:rFonts w:ascii="宋体" w:hAnsi="宋体"/>
                <w:sz w:val="18"/>
                <w:szCs w:val="18"/>
              </w:rPr>
            </w:pPr>
            <w:r>
              <w:rPr>
                <w:rFonts w:hint="eastAsia" w:ascii="宋体" w:hAnsi="宋体"/>
                <w:sz w:val="18"/>
                <w:szCs w:val="18"/>
              </w:rPr>
              <w:t>执行现行技术标准的难点</w:t>
            </w:r>
          </w:p>
        </w:tc>
        <w:tc>
          <w:tcPr>
            <w:tcW w:w="1985" w:type="dxa"/>
            <w:vAlign w:val="center"/>
          </w:tcPr>
          <w:p w14:paraId="28D3DEA9">
            <w:pPr>
              <w:jc w:val="left"/>
              <w:rPr>
                <w:rFonts w:ascii="宋体" w:hAnsi="宋体"/>
                <w:sz w:val="18"/>
                <w:szCs w:val="18"/>
              </w:rPr>
            </w:pPr>
            <w:r>
              <w:rPr>
                <w:rFonts w:hint="eastAsia" w:ascii="宋体" w:hAnsi="宋体"/>
                <w:sz w:val="18"/>
                <w:szCs w:val="18"/>
              </w:rPr>
              <w:t>改造后拟采取的消防技术措施及建议</w:t>
            </w:r>
          </w:p>
        </w:tc>
      </w:tr>
      <w:tr w14:paraId="5755810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restart"/>
            <w:tcBorders>
              <w:right w:val="single" w:color="auto" w:sz="4" w:space="0"/>
            </w:tcBorders>
            <w:vAlign w:val="center"/>
          </w:tcPr>
          <w:p w14:paraId="4225D653">
            <w:pPr>
              <w:jc w:val="left"/>
              <w:rPr>
                <w:rFonts w:ascii="宋体" w:hAnsi="宋体"/>
                <w:sz w:val="18"/>
                <w:szCs w:val="18"/>
              </w:rPr>
            </w:pPr>
            <w:r>
              <w:rPr>
                <w:rFonts w:hint="eastAsia" w:ascii="宋体" w:hAnsi="宋体"/>
                <w:sz w:val="18"/>
                <w:szCs w:val="18"/>
              </w:rPr>
              <w:t>1</w:t>
            </w:r>
          </w:p>
          <w:p w14:paraId="331329D9">
            <w:pPr>
              <w:jc w:val="left"/>
              <w:rPr>
                <w:rFonts w:ascii="宋体" w:hAnsi="宋体"/>
                <w:sz w:val="18"/>
                <w:szCs w:val="18"/>
              </w:rPr>
            </w:pPr>
            <w:r>
              <w:rPr>
                <w:rFonts w:hint="eastAsia" w:ascii="宋体" w:hAnsi="宋体"/>
                <w:sz w:val="18"/>
                <w:szCs w:val="18"/>
              </w:rPr>
              <w:t>建筑耐火等级</w:t>
            </w:r>
          </w:p>
        </w:tc>
        <w:tc>
          <w:tcPr>
            <w:tcW w:w="1984" w:type="dxa"/>
            <w:gridSpan w:val="2"/>
            <w:tcBorders>
              <w:left w:val="single" w:color="auto" w:sz="4" w:space="0"/>
              <w:right w:val="single" w:color="auto" w:sz="4" w:space="0"/>
            </w:tcBorders>
            <w:vAlign w:val="center"/>
          </w:tcPr>
          <w:p w14:paraId="0B430E89">
            <w:pPr>
              <w:jc w:val="left"/>
              <w:rPr>
                <w:rFonts w:ascii="宋体" w:hAnsi="宋体"/>
                <w:sz w:val="18"/>
                <w:szCs w:val="18"/>
              </w:rPr>
            </w:pPr>
            <w:r>
              <w:rPr>
                <w:rFonts w:hint="eastAsia" w:ascii="宋体" w:hAnsi="宋体"/>
                <w:sz w:val="18"/>
                <w:szCs w:val="18"/>
              </w:rPr>
              <w:t>1建筑类别</w:t>
            </w:r>
          </w:p>
        </w:tc>
        <w:tc>
          <w:tcPr>
            <w:tcW w:w="1760" w:type="dxa"/>
            <w:gridSpan w:val="2"/>
            <w:tcBorders>
              <w:left w:val="single" w:color="auto" w:sz="4" w:space="0"/>
            </w:tcBorders>
            <w:vAlign w:val="center"/>
          </w:tcPr>
          <w:p w14:paraId="7D64F8B5">
            <w:pPr>
              <w:ind w:firstLine="360"/>
              <w:jc w:val="center"/>
              <w:rPr>
                <w:rFonts w:ascii="宋体" w:hAnsi="宋体"/>
                <w:sz w:val="18"/>
                <w:szCs w:val="18"/>
              </w:rPr>
            </w:pPr>
          </w:p>
        </w:tc>
        <w:tc>
          <w:tcPr>
            <w:tcW w:w="1796" w:type="dxa"/>
            <w:gridSpan w:val="2"/>
            <w:vAlign w:val="center"/>
          </w:tcPr>
          <w:p w14:paraId="1618A378">
            <w:pPr>
              <w:ind w:firstLine="360"/>
              <w:jc w:val="center"/>
              <w:rPr>
                <w:rFonts w:ascii="宋体" w:hAnsi="宋体"/>
                <w:sz w:val="18"/>
                <w:szCs w:val="18"/>
              </w:rPr>
            </w:pPr>
          </w:p>
        </w:tc>
        <w:tc>
          <w:tcPr>
            <w:tcW w:w="1689" w:type="dxa"/>
            <w:gridSpan w:val="4"/>
            <w:vAlign w:val="center"/>
          </w:tcPr>
          <w:p w14:paraId="3314D311">
            <w:pPr>
              <w:ind w:firstLine="360"/>
              <w:jc w:val="center"/>
              <w:rPr>
                <w:rFonts w:ascii="宋体" w:hAnsi="宋体"/>
                <w:sz w:val="18"/>
                <w:szCs w:val="18"/>
              </w:rPr>
            </w:pPr>
          </w:p>
        </w:tc>
        <w:tc>
          <w:tcPr>
            <w:tcW w:w="1985" w:type="dxa"/>
            <w:vAlign w:val="center"/>
          </w:tcPr>
          <w:p w14:paraId="6E811023">
            <w:pPr>
              <w:ind w:firstLine="360"/>
              <w:jc w:val="center"/>
              <w:rPr>
                <w:rFonts w:ascii="宋体" w:hAnsi="宋体"/>
                <w:sz w:val="18"/>
                <w:szCs w:val="18"/>
              </w:rPr>
            </w:pPr>
          </w:p>
        </w:tc>
      </w:tr>
      <w:tr w14:paraId="06414B4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14:paraId="7D66BDB0">
            <w:pPr>
              <w:jc w:val="left"/>
              <w:rPr>
                <w:rFonts w:ascii="宋体" w:hAnsi="宋体"/>
                <w:sz w:val="18"/>
                <w:szCs w:val="18"/>
              </w:rPr>
            </w:pPr>
          </w:p>
        </w:tc>
        <w:tc>
          <w:tcPr>
            <w:tcW w:w="1984" w:type="dxa"/>
            <w:gridSpan w:val="2"/>
            <w:tcBorders>
              <w:left w:val="single" w:color="auto" w:sz="4" w:space="0"/>
              <w:right w:val="single" w:color="auto" w:sz="4" w:space="0"/>
            </w:tcBorders>
            <w:vAlign w:val="center"/>
          </w:tcPr>
          <w:p w14:paraId="405F93A8">
            <w:pPr>
              <w:jc w:val="left"/>
              <w:rPr>
                <w:rFonts w:ascii="宋体" w:hAnsi="宋体"/>
                <w:sz w:val="18"/>
                <w:szCs w:val="18"/>
              </w:rPr>
            </w:pPr>
            <w:r>
              <w:rPr>
                <w:rFonts w:hint="eastAsia" w:ascii="宋体" w:hAnsi="宋体"/>
                <w:sz w:val="18"/>
                <w:szCs w:val="18"/>
              </w:rPr>
              <w:t>2耐火级别</w:t>
            </w:r>
          </w:p>
        </w:tc>
        <w:tc>
          <w:tcPr>
            <w:tcW w:w="1760" w:type="dxa"/>
            <w:gridSpan w:val="2"/>
            <w:tcBorders>
              <w:left w:val="single" w:color="auto" w:sz="4" w:space="0"/>
            </w:tcBorders>
            <w:vAlign w:val="center"/>
          </w:tcPr>
          <w:p w14:paraId="6BFFF0E8">
            <w:pPr>
              <w:ind w:firstLine="360"/>
              <w:jc w:val="center"/>
              <w:rPr>
                <w:rFonts w:ascii="宋体" w:hAnsi="宋体"/>
                <w:sz w:val="18"/>
                <w:szCs w:val="18"/>
              </w:rPr>
            </w:pPr>
          </w:p>
        </w:tc>
        <w:tc>
          <w:tcPr>
            <w:tcW w:w="1796" w:type="dxa"/>
            <w:gridSpan w:val="2"/>
            <w:vAlign w:val="center"/>
          </w:tcPr>
          <w:p w14:paraId="594CC658">
            <w:pPr>
              <w:ind w:firstLine="360"/>
              <w:jc w:val="center"/>
              <w:rPr>
                <w:rFonts w:ascii="宋体" w:hAnsi="宋体"/>
                <w:sz w:val="18"/>
                <w:szCs w:val="18"/>
              </w:rPr>
            </w:pPr>
          </w:p>
        </w:tc>
        <w:tc>
          <w:tcPr>
            <w:tcW w:w="1689" w:type="dxa"/>
            <w:gridSpan w:val="4"/>
            <w:vAlign w:val="center"/>
          </w:tcPr>
          <w:p w14:paraId="388D4422">
            <w:pPr>
              <w:ind w:firstLine="360"/>
              <w:jc w:val="center"/>
              <w:rPr>
                <w:rFonts w:ascii="宋体" w:hAnsi="宋体"/>
                <w:sz w:val="18"/>
                <w:szCs w:val="18"/>
              </w:rPr>
            </w:pPr>
          </w:p>
        </w:tc>
        <w:tc>
          <w:tcPr>
            <w:tcW w:w="1985" w:type="dxa"/>
            <w:vAlign w:val="center"/>
          </w:tcPr>
          <w:p w14:paraId="5014A5AD">
            <w:pPr>
              <w:ind w:firstLine="360"/>
              <w:jc w:val="center"/>
              <w:rPr>
                <w:rFonts w:ascii="宋体" w:hAnsi="宋体"/>
                <w:sz w:val="18"/>
                <w:szCs w:val="18"/>
              </w:rPr>
            </w:pPr>
          </w:p>
        </w:tc>
      </w:tr>
      <w:tr w14:paraId="5FF2FD2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restart"/>
            <w:tcBorders>
              <w:right w:val="single" w:color="auto" w:sz="4" w:space="0"/>
            </w:tcBorders>
            <w:vAlign w:val="center"/>
          </w:tcPr>
          <w:p w14:paraId="76D6529D">
            <w:pPr>
              <w:jc w:val="left"/>
              <w:rPr>
                <w:rFonts w:ascii="宋体" w:hAnsi="宋体"/>
                <w:sz w:val="18"/>
                <w:szCs w:val="18"/>
              </w:rPr>
            </w:pPr>
            <w:r>
              <w:rPr>
                <w:rFonts w:hint="eastAsia" w:ascii="宋体" w:hAnsi="宋体"/>
                <w:sz w:val="18"/>
                <w:szCs w:val="18"/>
              </w:rPr>
              <w:t>2</w:t>
            </w:r>
          </w:p>
          <w:p w14:paraId="3F879595">
            <w:pPr>
              <w:jc w:val="left"/>
              <w:rPr>
                <w:rFonts w:ascii="宋体" w:hAnsi="宋体"/>
                <w:sz w:val="18"/>
                <w:szCs w:val="18"/>
              </w:rPr>
            </w:pPr>
            <w:r>
              <w:rPr>
                <w:rFonts w:hint="eastAsia" w:ascii="宋体" w:hAnsi="宋体"/>
                <w:sz w:val="18"/>
                <w:szCs w:val="18"/>
              </w:rPr>
              <w:t>总平面布局</w:t>
            </w:r>
          </w:p>
        </w:tc>
        <w:tc>
          <w:tcPr>
            <w:tcW w:w="1984" w:type="dxa"/>
            <w:gridSpan w:val="2"/>
            <w:tcBorders>
              <w:left w:val="single" w:color="auto" w:sz="4" w:space="0"/>
            </w:tcBorders>
            <w:vAlign w:val="center"/>
          </w:tcPr>
          <w:p w14:paraId="0A933621">
            <w:pPr>
              <w:jc w:val="left"/>
              <w:rPr>
                <w:rFonts w:ascii="宋体" w:hAnsi="宋体"/>
                <w:sz w:val="18"/>
                <w:szCs w:val="18"/>
              </w:rPr>
            </w:pPr>
            <w:r>
              <w:rPr>
                <w:rFonts w:hint="eastAsia" w:ascii="宋体" w:hAnsi="宋体"/>
                <w:sz w:val="18"/>
                <w:szCs w:val="18"/>
              </w:rPr>
              <w:t>1防火间距</w:t>
            </w:r>
          </w:p>
        </w:tc>
        <w:tc>
          <w:tcPr>
            <w:tcW w:w="1760" w:type="dxa"/>
            <w:gridSpan w:val="2"/>
            <w:vAlign w:val="center"/>
          </w:tcPr>
          <w:p w14:paraId="4D1A731D">
            <w:pPr>
              <w:ind w:firstLine="360"/>
              <w:jc w:val="center"/>
              <w:rPr>
                <w:rFonts w:ascii="宋体" w:hAnsi="宋体"/>
                <w:sz w:val="18"/>
                <w:szCs w:val="18"/>
              </w:rPr>
            </w:pPr>
          </w:p>
        </w:tc>
        <w:tc>
          <w:tcPr>
            <w:tcW w:w="1796" w:type="dxa"/>
            <w:gridSpan w:val="2"/>
            <w:vAlign w:val="center"/>
          </w:tcPr>
          <w:p w14:paraId="375839BD">
            <w:pPr>
              <w:ind w:firstLine="360"/>
              <w:jc w:val="center"/>
              <w:rPr>
                <w:rFonts w:ascii="宋体" w:hAnsi="宋体"/>
                <w:sz w:val="18"/>
                <w:szCs w:val="18"/>
              </w:rPr>
            </w:pPr>
          </w:p>
        </w:tc>
        <w:tc>
          <w:tcPr>
            <w:tcW w:w="1689" w:type="dxa"/>
            <w:gridSpan w:val="4"/>
            <w:vAlign w:val="center"/>
          </w:tcPr>
          <w:p w14:paraId="43518B01">
            <w:pPr>
              <w:ind w:firstLine="360"/>
              <w:jc w:val="center"/>
              <w:rPr>
                <w:rFonts w:ascii="宋体" w:hAnsi="宋体"/>
                <w:sz w:val="18"/>
                <w:szCs w:val="18"/>
              </w:rPr>
            </w:pPr>
          </w:p>
        </w:tc>
        <w:tc>
          <w:tcPr>
            <w:tcW w:w="1985" w:type="dxa"/>
            <w:vAlign w:val="center"/>
          </w:tcPr>
          <w:p w14:paraId="72205848">
            <w:pPr>
              <w:ind w:firstLine="360"/>
              <w:jc w:val="center"/>
              <w:rPr>
                <w:rFonts w:ascii="宋体" w:hAnsi="宋体"/>
                <w:sz w:val="18"/>
                <w:szCs w:val="18"/>
              </w:rPr>
            </w:pPr>
          </w:p>
        </w:tc>
      </w:tr>
      <w:tr w14:paraId="39D338F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14:paraId="74FB3519">
            <w:pPr>
              <w:jc w:val="left"/>
              <w:rPr>
                <w:rFonts w:ascii="宋体" w:hAnsi="宋体"/>
                <w:sz w:val="18"/>
                <w:szCs w:val="18"/>
              </w:rPr>
            </w:pPr>
          </w:p>
        </w:tc>
        <w:tc>
          <w:tcPr>
            <w:tcW w:w="1984" w:type="dxa"/>
            <w:gridSpan w:val="2"/>
            <w:tcBorders>
              <w:left w:val="single" w:color="auto" w:sz="4" w:space="0"/>
            </w:tcBorders>
            <w:vAlign w:val="center"/>
          </w:tcPr>
          <w:p w14:paraId="6DCA3A8B">
            <w:pPr>
              <w:jc w:val="left"/>
              <w:rPr>
                <w:rFonts w:ascii="宋体" w:hAnsi="宋体"/>
                <w:sz w:val="18"/>
                <w:szCs w:val="18"/>
              </w:rPr>
            </w:pPr>
            <w:r>
              <w:rPr>
                <w:rFonts w:hint="eastAsia" w:ascii="宋体" w:hAnsi="宋体"/>
                <w:sz w:val="18"/>
                <w:szCs w:val="18"/>
              </w:rPr>
              <w:t>2消防车道</w:t>
            </w:r>
          </w:p>
        </w:tc>
        <w:tc>
          <w:tcPr>
            <w:tcW w:w="1760" w:type="dxa"/>
            <w:gridSpan w:val="2"/>
            <w:vAlign w:val="center"/>
          </w:tcPr>
          <w:p w14:paraId="13446882">
            <w:pPr>
              <w:ind w:firstLine="360"/>
              <w:jc w:val="center"/>
              <w:rPr>
                <w:rFonts w:ascii="宋体" w:hAnsi="宋体"/>
                <w:sz w:val="18"/>
                <w:szCs w:val="18"/>
              </w:rPr>
            </w:pPr>
          </w:p>
        </w:tc>
        <w:tc>
          <w:tcPr>
            <w:tcW w:w="1796" w:type="dxa"/>
            <w:gridSpan w:val="2"/>
            <w:vAlign w:val="center"/>
          </w:tcPr>
          <w:p w14:paraId="5D68DCFD">
            <w:pPr>
              <w:ind w:firstLine="360"/>
              <w:jc w:val="center"/>
              <w:rPr>
                <w:rFonts w:ascii="宋体" w:hAnsi="宋体"/>
                <w:sz w:val="18"/>
                <w:szCs w:val="18"/>
              </w:rPr>
            </w:pPr>
          </w:p>
        </w:tc>
        <w:tc>
          <w:tcPr>
            <w:tcW w:w="1689" w:type="dxa"/>
            <w:gridSpan w:val="4"/>
            <w:vAlign w:val="center"/>
          </w:tcPr>
          <w:p w14:paraId="088390F1">
            <w:pPr>
              <w:ind w:firstLine="360"/>
              <w:jc w:val="center"/>
              <w:rPr>
                <w:rFonts w:ascii="宋体" w:hAnsi="宋体"/>
                <w:sz w:val="18"/>
                <w:szCs w:val="18"/>
              </w:rPr>
            </w:pPr>
          </w:p>
        </w:tc>
        <w:tc>
          <w:tcPr>
            <w:tcW w:w="1985" w:type="dxa"/>
            <w:vAlign w:val="center"/>
          </w:tcPr>
          <w:p w14:paraId="45755311">
            <w:pPr>
              <w:ind w:firstLine="360"/>
              <w:jc w:val="center"/>
              <w:rPr>
                <w:rFonts w:ascii="宋体" w:hAnsi="宋体"/>
                <w:sz w:val="18"/>
                <w:szCs w:val="18"/>
              </w:rPr>
            </w:pPr>
          </w:p>
        </w:tc>
      </w:tr>
      <w:tr w14:paraId="1377F73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14:paraId="36FA8CB0">
            <w:pPr>
              <w:jc w:val="left"/>
              <w:rPr>
                <w:rFonts w:ascii="宋体" w:hAnsi="宋体"/>
                <w:sz w:val="18"/>
                <w:szCs w:val="18"/>
              </w:rPr>
            </w:pPr>
          </w:p>
        </w:tc>
        <w:tc>
          <w:tcPr>
            <w:tcW w:w="1984" w:type="dxa"/>
            <w:gridSpan w:val="2"/>
            <w:tcBorders>
              <w:left w:val="single" w:color="auto" w:sz="4" w:space="0"/>
            </w:tcBorders>
            <w:vAlign w:val="center"/>
          </w:tcPr>
          <w:p w14:paraId="5EFD45A4">
            <w:pPr>
              <w:jc w:val="left"/>
              <w:rPr>
                <w:rFonts w:ascii="宋体" w:hAnsi="宋体"/>
                <w:sz w:val="18"/>
                <w:szCs w:val="18"/>
              </w:rPr>
            </w:pPr>
            <w:r>
              <w:rPr>
                <w:rFonts w:hint="eastAsia" w:ascii="宋体" w:hAnsi="宋体"/>
                <w:sz w:val="18"/>
                <w:szCs w:val="18"/>
              </w:rPr>
              <w:t>3消防扑救面和消防登高操作场地</w:t>
            </w:r>
          </w:p>
        </w:tc>
        <w:tc>
          <w:tcPr>
            <w:tcW w:w="1760" w:type="dxa"/>
            <w:gridSpan w:val="2"/>
            <w:vAlign w:val="center"/>
          </w:tcPr>
          <w:p w14:paraId="2E99A261">
            <w:pPr>
              <w:ind w:firstLine="360"/>
              <w:jc w:val="center"/>
              <w:rPr>
                <w:rFonts w:ascii="宋体" w:hAnsi="宋体"/>
                <w:sz w:val="18"/>
                <w:szCs w:val="18"/>
              </w:rPr>
            </w:pPr>
          </w:p>
        </w:tc>
        <w:tc>
          <w:tcPr>
            <w:tcW w:w="1796" w:type="dxa"/>
            <w:gridSpan w:val="2"/>
            <w:vAlign w:val="center"/>
          </w:tcPr>
          <w:p w14:paraId="1D3CD149">
            <w:pPr>
              <w:ind w:firstLine="360"/>
              <w:jc w:val="center"/>
              <w:rPr>
                <w:rFonts w:ascii="宋体" w:hAnsi="宋体"/>
                <w:sz w:val="18"/>
                <w:szCs w:val="18"/>
              </w:rPr>
            </w:pPr>
          </w:p>
        </w:tc>
        <w:tc>
          <w:tcPr>
            <w:tcW w:w="1689" w:type="dxa"/>
            <w:gridSpan w:val="4"/>
            <w:vAlign w:val="center"/>
          </w:tcPr>
          <w:p w14:paraId="64A8B0CE">
            <w:pPr>
              <w:ind w:firstLine="360"/>
              <w:jc w:val="center"/>
              <w:rPr>
                <w:rFonts w:ascii="宋体" w:hAnsi="宋体"/>
                <w:sz w:val="18"/>
                <w:szCs w:val="18"/>
              </w:rPr>
            </w:pPr>
          </w:p>
        </w:tc>
        <w:tc>
          <w:tcPr>
            <w:tcW w:w="1985" w:type="dxa"/>
            <w:vAlign w:val="center"/>
          </w:tcPr>
          <w:p w14:paraId="77BAA498">
            <w:pPr>
              <w:ind w:firstLine="360"/>
              <w:jc w:val="center"/>
              <w:rPr>
                <w:rFonts w:ascii="宋体" w:hAnsi="宋体"/>
                <w:sz w:val="18"/>
                <w:szCs w:val="18"/>
              </w:rPr>
            </w:pPr>
          </w:p>
        </w:tc>
      </w:tr>
      <w:tr w14:paraId="5060EE5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14:paraId="024A2A00">
            <w:pPr>
              <w:jc w:val="left"/>
              <w:rPr>
                <w:rFonts w:ascii="宋体" w:hAnsi="宋体"/>
                <w:sz w:val="18"/>
                <w:szCs w:val="18"/>
              </w:rPr>
            </w:pPr>
          </w:p>
        </w:tc>
        <w:tc>
          <w:tcPr>
            <w:tcW w:w="1984" w:type="dxa"/>
            <w:gridSpan w:val="2"/>
            <w:tcBorders>
              <w:left w:val="single" w:color="auto" w:sz="4" w:space="0"/>
            </w:tcBorders>
            <w:vAlign w:val="center"/>
          </w:tcPr>
          <w:p w14:paraId="7128192C">
            <w:pPr>
              <w:jc w:val="left"/>
              <w:rPr>
                <w:rFonts w:ascii="宋体" w:hAnsi="宋体"/>
                <w:sz w:val="18"/>
                <w:szCs w:val="18"/>
              </w:rPr>
            </w:pPr>
            <w:r>
              <w:rPr>
                <w:rFonts w:hint="eastAsia" w:ascii="宋体" w:hAnsi="宋体"/>
                <w:sz w:val="18"/>
                <w:szCs w:val="18"/>
              </w:rPr>
              <w:t>4停机坪</w:t>
            </w:r>
          </w:p>
        </w:tc>
        <w:tc>
          <w:tcPr>
            <w:tcW w:w="1760" w:type="dxa"/>
            <w:gridSpan w:val="2"/>
            <w:vAlign w:val="center"/>
          </w:tcPr>
          <w:p w14:paraId="704123E1">
            <w:pPr>
              <w:ind w:firstLine="360"/>
              <w:jc w:val="center"/>
              <w:rPr>
                <w:rFonts w:ascii="宋体" w:hAnsi="宋体"/>
                <w:sz w:val="18"/>
                <w:szCs w:val="18"/>
              </w:rPr>
            </w:pPr>
          </w:p>
        </w:tc>
        <w:tc>
          <w:tcPr>
            <w:tcW w:w="1796" w:type="dxa"/>
            <w:gridSpan w:val="2"/>
            <w:vAlign w:val="center"/>
          </w:tcPr>
          <w:p w14:paraId="644E107F">
            <w:pPr>
              <w:ind w:firstLine="360"/>
              <w:jc w:val="center"/>
              <w:rPr>
                <w:rFonts w:ascii="宋体" w:hAnsi="宋体"/>
                <w:sz w:val="18"/>
                <w:szCs w:val="18"/>
              </w:rPr>
            </w:pPr>
          </w:p>
        </w:tc>
        <w:tc>
          <w:tcPr>
            <w:tcW w:w="1689" w:type="dxa"/>
            <w:gridSpan w:val="4"/>
            <w:vAlign w:val="center"/>
          </w:tcPr>
          <w:p w14:paraId="3B51D4BD">
            <w:pPr>
              <w:ind w:firstLine="360"/>
              <w:jc w:val="center"/>
              <w:rPr>
                <w:rFonts w:ascii="宋体" w:hAnsi="宋体"/>
                <w:sz w:val="18"/>
                <w:szCs w:val="18"/>
              </w:rPr>
            </w:pPr>
          </w:p>
        </w:tc>
        <w:tc>
          <w:tcPr>
            <w:tcW w:w="1985" w:type="dxa"/>
            <w:vAlign w:val="center"/>
          </w:tcPr>
          <w:p w14:paraId="0F4E0E20">
            <w:pPr>
              <w:ind w:firstLine="360"/>
              <w:jc w:val="center"/>
              <w:rPr>
                <w:rFonts w:ascii="宋体" w:hAnsi="宋体"/>
                <w:sz w:val="18"/>
                <w:szCs w:val="18"/>
              </w:rPr>
            </w:pPr>
          </w:p>
        </w:tc>
      </w:tr>
      <w:tr w14:paraId="3E132B6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restart"/>
            <w:tcBorders>
              <w:right w:val="single" w:color="auto" w:sz="4" w:space="0"/>
            </w:tcBorders>
            <w:vAlign w:val="center"/>
          </w:tcPr>
          <w:p w14:paraId="4660D8C0">
            <w:pPr>
              <w:jc w:val="left"/>
              <w:rPr>
                <w:rFonts w:ascii="宋体" w:hAnsi="宋体"/>
                <w:sz w:val="18"/>
                <w:szCs w:val="18"/>
              </w:rPr>
            </w:pPr>
            <w:r>
              <w:rPr>
                <w:rFonts w:hint="eastAsia" w:ascii="宋体" w:hAnsi="宋体"/>
                <w:sz w:val="18"/>
                <w:szCs w:val="18"/>
              </w:rPr>
              <w:t>3</w:t>
            </w:r>
          </w:p>
          <w:p w14:paraId="29819A00">
            <w:pPr>
              <w:jc w:val="left"/>
              <w:rPr>
                <w:rFonts w:ascii="宋体" w:hAnsi="宋体"/>
                <w:sz w:val="18"/>
                <w:szCs w:val="18"/>
              </w:rPr>
            </w:pPr>
            <w:r>
              <w:rPr>
                <w:rFonts w:hint="eastAsia" w:ascii="宋体" w:hAnsi="宋体"/>
                <w:sz w:val="18"/>
                <w:szCs w:val="18"/>
              </w:rPr>
              <w:t>防火分隔</w:t>
            </w:r>
          </w:p>
        </w:tc>
        <w:tc>
          <w:tcPr>
            <w:tcW w:w="1984" w:type="dxa"/>
            <w:gridSpan w:val="2"/>
            <w:tcBorders>
              <w:left w:val="single" w:color="auto" w:sz="4" w:space="0"/>
            </w:tcBorders>
            <w:vAlign w:val="center"/>
          </w:tcPr>
          <w:p w14:paraId="1FB19F65">
            <w:pPr>
              <w:jc w:val="left"/>
              <w:rPr>
                <w:rFonts w:ascii="宋体" w:hAnsi="宋体"/>
                <w:sz w:val="18"/>
                <w:szCs w:val="18"/>
              </w:rPr>
            </w:pPr>
            <w:r>
              <w:rPr>
                <w:rFonts w:hint="eastAsia" w:ascii="宋体" w:hAnsi="宋体"/>
                <w:sz w:val="18"/>
                <w:szCs w:val="18"/>
              </w:rPr>
              <w:t>1防火分区面积</w:t>
            </w:r>
            <w:r>
              <w:rPr>
                <w:rFonts w:hint="eastAsia" w:ascii="宋体" w:hAnsi="宋体"/>
                <w:kern w:val="0"/>
                <w:sz w:val="18"/>
                <w:szCs w:val="18"/>
              </w:rPr>
              <w:t>（m</w:t>
            </w:r>
            <w:r>
              <w:rPr>
                <w:rFonts w:ascii="宋体" w:hAnsi="宋体"/>
                <w:kern w:val="0"/>
                <w:sz w:val="15"/>
                <w:szCs w:val="15"/>
                <w:vertAlign w:val="superscript"/>
              </w:rPr>
              <w:t>2</w:t>
            </w:r>
            <w:r>
              <w:rPr>
                <w:rFonts w:hint="eastAsia" w:ascii="宋体" w:hAnsi="宋体"/>
                <w:kern w:val="0"/>
                <w:sz w:val="18"/>
                <w:szCs w:val="18"/>
              </w:rPr>
              <w:t>）</w:t>
            </w:r>
          </w:p>
        </w:tc>
        <w:tc>
          <w:tcPr>
            <w:tcW w:w="1760" w:type="dxa"/>
            <w:gridSpan w:val="2"/>
            <w:vAlign w:val="center"/>
          </w:tcPr>
          <w:p w14:paraId="3ABC686E">
            <w:pPr>
              <w:ind w:firstLine="360"/>
              <w:jc w:val="center"/>
              <w:rPr>
                <w:rFonts w:ascii="宋体" w:hAnsi="宋体"/>
                <w:sz w:val="18"/>
                <w:szCs w:val="18"/>
              </w:rPr>
            </w:pPr>
          </w:p>
        </w:tc>
        <w:tc>
          <w:tcPr>
            <w:tcW w:w="1796" w:type="dxa"/>
            <w:gridSpan w:val="2"/>
            <w:vAlign w:val="center"/>
          </w:tcPr>
          <w:p w14:paraId="2EDB1C3E">
            <w:pPr>
              <w:ind w:firstLine="360"/>
              <w:jc w:val="center"/>
              <w:rPr>
                <w:rFonts w:ascii="宋体" w:hAnsi="宋体"/>
                <w:sz w:val="18"/>
                <w:szCs w:val="18"/>
              </w:rPr>
            </w:pPr>
          </w:p>
        </w:tc>
        <w:tc>
          <w:tcPr>
            <w:tcW w:w="1689" w:type="dxa"/>
            <w:gridSpan w:val="4"/>
            <w:vAlign w:val="center"/>
          </w:tcPr>
          <w:p w14:paraId="5053108B">
            <w:pPr>
              <w:ind w:firstLine="360"/>
              <w:jc w:val="center"/>
              <w:rPr>
                <w:rFonts w:ascii="宋体" w:hAnsi="宋体"/>
                <w:sz w:val="18"/>
                <w:szCs w:val="18"/>
              </w:rPr>
            </w:pPr>
          </w:p>
        </w:tc>
        <w:tc>
          <w:tcPr>
            <w:tcW w:w="1985" w:type="dxa"/>
            <w:vAlign w:val="center"/>
          </w:tcPr>
          <w:p w14:paraId="6B126009">
            <w:pPr>
              <w:ind w:firstLine="360"/>
              <w:jc w:val="center"/>
              <w:rPr>
                <w:rFonts w:ascii="宋体" w:hAnsi="宋体"/>
                <w:sz w:val="18"/>
                <w:szCs w:val="18"/>
              </w:rPr>
            </w:pPr>
          </w:p>
        </w:tc>
      </w:tr>
      <w:tr w14:paraId="11FE2AF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14:paraId="026461A0">
            <w:pPr>
              <w:jc w:val="left"/>
              <w:rPr>
                <w:rFonts w:ascii="宋体" w:hAnsi="宋体"/>
                <w:sz w:val="18"/>
                <w:szCs w:val="18"/>
              </w:rPr>
            </w:pPr>
          </w:p>
        </w:tc>
        <w:tc>
          <w:tcPr>
            <w:tcW w:w="1984" w:type="dxa"/>
            <w:gridSpan w:val="2"/>
            <w:tcBorders>
              <w:left w:val="single" w:color="auto" w:sz="4" w:space="0"/>
            </w:tcBorders>
            <w:vAlign w:val="center"/>
          </w:tcPr>
          <w:p w14:paraId="15272278">
            <w:pPr>
              <w:jc w:val="left"/>
              <w:rPr>
                <w:rFonts w:ascii="宋体" w:hAnsi="宋体"/>
                <w:sz w:val="18"/>
                <w:szCs w:val="18"/>
              </w:rPr>
            </w:pPr>
            <w:r>
              <w:rPr>
                <w:rFonts w:hint="eastAsia" w:ascii="宋体" w:hAnsi="宋体"/>
                <w:sz w:val="18"/>
                <w:szCs w:val="18"/>
              </w:rPr>
              <w:t>2防火隔墙的耐火极限和封堵</w:t>
            </w:r>
          </w:p>
        </w:tc>
        <w:tc>
          <w:tcPr>
            <w:tcW w:w="1760" w:type="dxa"/>
            <w:gridSpan w:val="2"/>
            <w:vAlign w:val="center"/>
          </w:tcPr>
          <w:p w14:paraId="07DFFE8C">
            <w:pPr>
              <w:ind w:firstLine="360"/>
              <w:jc w:val="center"/>
              <w:rPr>
                <w:rFonts w:ascii="宋体" w:hAnsi="宋体"/>
                <w:sz w:val="18"/>
                <w:szCs w:val="18"/>
              </w:rPr>
            </w:pPr>
          </w:p>
        </w:tc>
        <w:tc>
          <w:tcPr>
            <w:tcW w:w="1796" w:type="dxa"/>
            <w:gridSpan w:val="2"/>
            <w:vAlign w:val="center"/>
          </w:tcPr>
          <w:p w14:paraId="76ECB832">
            <w:pPr>
              <w:ind w:firstLine="360"/>
              <w:jc w:val="center"/>
              <w:rPr>
                <w:rFonts w:ascii="宋体" w:hAnsi="宋体"/>
                <w:sz w:val="18"/>
                <w:szCs w:val="18"/>
              </w:rPr>
            </w:pPr>
          </w:p>
        </w:tc>
        <w:tc>
          <w:tcPr>
            <w:tcW w:w="1689" w:type="dxa"/>
            <w:gridSpan w:val="4"/>
            <w:vAlign w:val="center"/>
          </w:tcPr>
          <w:p w14:paraId="713C4C6B">
            <w:pPr>
              <w:ind w:firstLine="360"/>
              <w:jc w:val="center"/>
              <w:rPr>
                <w:rFonts w:ascii="宋体" w:hAnsi="宋体"/>
                <w:sz w:val="18"/>
                <w:szCs w:val="18"/>
              </w:rPr>
            </w:pPr>
          </w:p>
        </w:tc>
        <w:tc>
          <w:tcPr>
            <w:tcW w:w="1985" w:type="dxa"/>
            <w:vAlign w:val="center"/>
          </w:tcPr>
          <w:p w14:paraId="7C4506DB">
            <w:pPr>
              <w:ind w:firstLine="360"/>
              <w:jc w:val="center"/>
              <w:rPr>
                <w:rFonts w:ascii="宋体" w:hAnsi="宋体"/>
                <w:sz w:val="18"/>
                <w:szCs w:val="18"/>
              </w:rPr>
            </w:pPr>
          </w:p>
        </w:tc>
      </w:tr>
      <w:tr w14:paraId="61D85F0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14:paraId="00188CFF">
            <w:pPr>
              <w:jc w:val="left"/>
              <w:rPr>
                <w:rFonts w:ascii="宋体" w:hAnsi="宋体"/>
                <w:sz w:val="18"/>
                <w:szCs w:val="18"/>
              </w:rPr>
            </w:pPr>
          </w:p>
        </w:tc>
        <w:tc>
          <w:tcPr>
            <w:tcW w:w="1984" w:type="dxa"/>
            <w:gridSpan w:val="2"/>
            <w:tcBorders>
              <w:left w:val="single" w:color="auto" w:sz="4" w:space="0"/>
            </w:tcBorders>
            <w:vAlign w:val="center"/>
          </w:tcPr>
          <w:p w14:paraId="56D0DA23">
            <w:pPr>
              <w:jc w:val="left"/>
              <w:rPr>
                <w:rFonts w:ascii="宋体" w:hAnsi="宋体"/>
                <w:sz w:val="18"/>
                <w:szCs w:val="18"/>
              </w:rPr>
            </w:pPr>
            <w:r>
              <w:rPr>
                <w:rFonts w:hint="eastAsia" w:ascii="宋体" w:hAnsi="宋体"/>
                <w:sz w:val="18"/>
                <w:szCs w:val="18"/>
              </w:rPr>
              <w:t>3防火卷帘</w:t>
            </w:r>
          </w:p>
        </w:tc>
        <w:tc>
          <w:tcPr>
            <w:tcW w:w="1760" w:type="dxa"/>
            <w:gridSpan w:val="2"/>
            <w:vAlign w:val="center"/>
          </w:tcPr>
          <w:p w14:paraId="07659E8C">
            <w:pPr>
              <w:ind w:firstLine="360"/>
              <w:jc w:val="center"/>
              <w:rPr>
                <w:rFonts w:ascii="宋体" w:hAnsi="宋体"/>
                <w:sz w:val="18"/>
                <w:szCs w:val="18"/>
              </w:rPr>
            </w:pPr>
          </w:p>
        </w:tc>
        <w:tc>
          <w:tcPr>
            <w:tcW w:w="1796" w:type="dxa"/>
            <w:gridSpan w:val="2"/>
            <w:vAlign w:val="center"/>
          </w:tcPr>
          <w:p w14:paraId="39A76C66">
            <w:pPr>
              <w:ind w:firstLine="360"/>
              <w:jc w:val="center"/>
              <w:rPr>
                <w:rFonts w:ascii="宋体" w:hAnsi="宋体"/>
                <w:sz w:val="18"/>
                <w:szCs w:val="18"/>
              </w:rPr>
            </w:pPr>
          </w:p>
        </w:tc>
        <w:tc>
          <w:tcPr>
            <w:tcW w:w="1689" w:type="dxa"/>
            <w:gridSpan w:val="4"/>
            <w:vAlign w:val="center"/>
          </w:tcPr>
          <w:p w14:paraId="2D8EACFF">
            <w:pPr>
              <w:ind w:firstLine="360"/>
              <w:jc w:val="center"/>
              <w:rPr>
                <w:rFonts w:ascii="宋体" w:hAnsi="宋体"/>
                <w:sz w:val="18"/>
                <w:szCs w:val="18"/>
              </w:rPr>
            </w:pPr>
          </w:p>
        </w:tc>
        <w:tc>
          <w:tcPr>
            <w:tcW w:w="1985" w:type="dxa"/>
            <w:vAlign w:val="center"/>
          </w:tcPr>
          <w:p w14:paraId="5E036F0B">
            <w:pPr>
              <w:ind w:firstLine="360"/>
              <w:jc w:val="center"/>
              <w:rPr>
                <w:rFonts w:ascii="宋体" w:hAnsi="宋体"/>
                <w:sz w:val="18"/>
                <w:szCs w:val="18"/>
              </w:rPr>
            </w:pPr>
          </w:p>
        </w:tc>
      </w:tr>
      <w:tr w14:paraId="7352B39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14:paraId="58963045">
            <w:pPr>
              <w:jc w:val="left"/>
              <w:rPr>
                <w:rFonts w:ascii="宋体" w:hAnsi="宋体"/>
                <w:sz w:val="18"/>
                <w:szCs w:val="18"/>
              </w:rPr>
            </w:pPr>
          </w:p>
        </w:tc>
        <w:tc>
          <w:tcPr>
            <w:tcW w:w="1984" w:type="dxa"/>
            <w:gridSpan w:val="2"/>
            <w:tcBorders>
              <w:left w:val="single" w:color="auto" w:sz="4" w:space="0"/>
            </w:tcBorders>
            <w:vAlign w:val="center"/>
          </w:tcPr>
          <w:p w14:paraId="1752C2B3">
            <w:pPr>
              <w:jc w:val="left"/>
              <w:rPr>
                <w:rFonts w:ascii="宋体" w:hAnsi="宋体"/>
                <w:sz w:val="18"/>
                <w:szCs w:val="18"/>
              </w:rPr>
            </w:pPr>
            <w:r>
              <w:rPr>
                <w:rFonts w:hint="eastAsia" w:ascii="宋体" w:hAnsi="宋体"/>
                <w:sz w:val="18"/>
                <w:szCs w:val="18"/>
              </w:rPr>
              <w:t>4防火门</w:t>
            </w:r>
          </w:p>
        </w:tc>
        <w:tc>
          <w:tcPr>
            <w:tcW w:w="1760" w:type="dxa"/>
            <w:gridSpan w:val="2"/>
            <w:vAlign w:val="center"/>
          </w:tcPr>
          <w:p w14:paraId="29E9A004">
            <w:pPr>
              <w:ind w:firstLine="360"/>
              <w:jc w:val="center"/>
              <w:rPr>
                <w:rFonts w:ascii="宋体" w:hAnsi="宋体"/>
                <w:sz w:val="18"/>
                <w:szCs w:val="18"/>
              </w:rPr>
            </w:pPr>
          </w:p>
        </w:tc>
        <w:tc>
          <w:tcPr>
            <w:tcW w:w="1796" w:type="dxa"/>
            <w:gridSpan w:val="2"/>
            <w:vAlign w:val="center"/>
          </w:tcPr>
          <w:p w14:paraId="23D23B9B">
            <w:pPr>
              <w:ind w:firstLine="360"/>
              <w:jc w:val="center"/>
              <w:rPr>
                <w:rFonts w:ascii="宋体" w:hAnsi="宋体"/>
                <w:sz w:val="18"/>
                <w:szCs w:val="18"/>
              </w:rPr>
            </w:pPr>
          </w:p>
        </w:tc>
        <w:tc>
          <w:tcPr>
            <w:tcW w:w="1689" w:type="dxa"/>
            <w:gridSpan w:val="4"/>
            <w:vAlign w:val="center"/>
          </w:tcPr>
          <w:p w14:paraId="7C093278">
            <w:pPr>
              <w:ind w:firstLine="360"/>
              <w:jc w:val="center"/>
              <w:rPr>
                <w:rFonts w:ascii="宋体" w:hAnsi="宋体"/>
                <w:sz w:val="18"/>
                <w:szCs w:val="18"/>
              </w:rPr>
            </w:pPr>
          </w:p>
        </w:tc>
        <w:tc>
          <w:tcPr>
            <w:tcW w:w="1985" w:type="dxa"/>
            <w:vAlign w:val="center"/>
          </w:tcPr>
          <w:p w14:paraId="30AFF0C2">
            <w:pPr>
              <w:ind w:firstLine="360"/>
              <w:jc w:val="center"/>
              <w:rPr>
                <w:rFonts w:ascii="宋体" w:hAnsi="宋体"/>
                <w:sz w:val="18"/>
                <w:szCs w:val="18"/>
              </w:rPr>
            </w:pPr>
          </w:p>
        </w:tc>
      </w:tr>
      <w:tr w14:paraId="4AD4644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14:paraId="1DCE6F09">
            <w:pPr>
              <w:jc w:val="left"/>
              <w:rPr>
                <w:rFonts w:ascii="宋体" w:hAnsi="宋体"/>
                <w:sz w:val="18"/>
                <w:szCs w:val="18"/>
              </w:rPr>
            </w:pPr>
          </w:p>
        </w:tc>
        <w:tc>
          <w:tcPr>
            <w:tcW w:w="1984" w:type="dxa"/>
            <w:gridSpan w:val="2"/>
            <w:tcBorders>
              <w:left w:val="single" w:color="auto" w:sz="4" w:space="0"/>
            </w:tcBorders>
            <w:vAlign w:val="center"/>
          </w:tcPr>
          <w:p w14:paraId="72F9DFE8">
            <w:pPr>
              <w:jc w:val="left"/>
              <w:rPr>
                <w:rFonts w:ascii="宋体" w:hAnsi="宋体"/>
                <w:sz w:val="18"/>
                <w:szCs w:val="18"/>
              </w:rPr>
            </w:pPr>
            <w:r>
              <w:rPr>
                <w:rFonts w:hint="eastAsia" w:ascii="宋体" w:hAnsi="宋体"/>
                <w:sz w:val="18"/>
                <w:szCs w:val="18"/>
              </w:rPr>
              <w:t>5防火窗</w:t>
            </w:r>
          </w:p>
        </w:tc>
        <w:tc>
          <w:tcPr>
            <w:tcW w:w="1760" w:type="dxa"/>
            <w:gridSpan w:val="2"/>
            <w:vAlign w:val="center"/>
          </w:tcPr>
          <w:p w14:paraId="64B33115">
            <w:pPr>
              <w:ind w:firstLine="360"/>
              <w:jc w:val="center"/>
              <w:rPr>
                <w:rFonts w:ascii="宋体" w:hAnsi="宋体"/>
                <w:sz w:val="18"/>
                <w:szCs w:val="18"/>
              </w:rPr>
            </w:pPr>
          </w:p>
        </w:tc>
        <w:tc>
          <w:tcPr>
            <w:tcW w:w="1796" w:type="dxa"/>
            <w:gridSpan w:val="2"/>
            <w:vAlign w:val="center"/>
          </w:tcPr>
          <w:p w14:paraId="53741594">
            <w:pPr>
              <w:ind w:firstLine="360"/>
              <w:jc w:val="center"/>
              <w:rPr>
                <w:rFonts w:ascii="宋体" w:hAnsi="宋体"/>
                <w:sz w:val="18"/>
                <w:szCs w:val="18"/>
              </w:rPr>
            </w:pPr>
          </w:p>
        </w:tc>
        <w:tc>
          <w:tcPr>
            <w:tcW w:w="1689" w:type="dxa"/>
            <w:gridSpan w:val="4"/>
            <w:vAlign w:val="center"/>
          </w:tcPr>
          <w:p w14:paraId="64B66DA1">
            <w:pPr>
              <w:ind w:firstLine="360"/>
              <w:jc w:val="center"/>
              <w:rPr>
                <w:rFonts w:ascii="宋体" w:hAnsi="宋体"/>
                <w:sz w:val="18"/>
                <w:szCs w:val="18"/>
              </w:rPr>
            </w:pPr>
          </w:p>
        </w:tc>
        <w:tc>
          <w:tcPr>
            <w:tcW w:w="1985" w:type="dxa"/>
            <w:vAlign w:val="center"/>
          </w:tcPr>
          <w:p w14:paraId="65107B92">
            <w:pPr>
              <w:ind w:firstLine="360"/>
              <w:jc w:val="center"/>
              <w:rPr>
                <w:rFonts w:ascii="宋体" w:hAnsi="宋体"/>
                <w:sz w:val="18"/>
                <w:szCs w:val="18"/>
              </w:rPr>
            </w:pPr>
          </w:p>
        </w:tc>
      </w:tr>
      <w:tr w14:paraId="175D1C8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14:paraId="2D4583CF">
            <w:pPr>
              <w:jc w:val="left"/>
              <w:rPr>
                <w:rFonts w:ascii="宋体" w:hAnsi="宋体"/>
                <w:sz w:val="18"/>
                <w:szCs w:val="18"/>
              </w:rPr>
            </w:pPr>
          </w:p>
        </w:tc>
        <w:tc>
          <w:tcPr>
            <w:tcW w:w="1984" w:type="dxa"/>
            <w:gridSpan w:val="2"/>
            <w:tcBorders>
              <w:left w:val="single" w:color="auto" w:sz="4" w:space="0"/>
            </w:tcBorders>
            <w:vAlign w:val="center"/>
          </w:tcPr>
          <w:p w14:paraId="0CE10A60">
            <w:pPr>
              <w:jc w:val="left"/>
              <w:rPr>
                <w:rFonts w:ascii="宋体" w:hAnsi="宋体"/>
                <w:sz w:val="18"/>
                <w:szCs w:val="18"/>
              </w:rPr>
            </w:pPr>
            <w:r>
              <w:rPr>
                <w:rFonts w:hint="eastAsia" w:ascii="宋体" w:hAnsi="宋体"/>
                <w:sz w:val="18"/>
                <w:szCs w:val="18"/>
              </w:rPr>
              <w:t>6防火玻璃隔断</w:t>
            </w:r>
          </w:p>
        </w:tc>
        <w:tc>
          <w:tcPr>
            <w:tcW w:w="1760" w:type="dxa"/>
            <w:gridSpan w:val="2"/>
            <w:vAlign w:val="center"/>
          </w:tcPr>
          <w:p w14:paraId="1A592F0F">
            <w:pPr>
              <w:ind w:firstLine="360"/>
              <w:jc w:val="center"/>
              <w:rPr>
                <w:rFonts w:ascii="宋体" w:hAnsi="宋体"/>
                <w:sz w:val="18"/>
                <w:szCs w:val="18"/>
              </w:rPr>
            </w:pPr>
          </w:p>
        </w:tc>
        <w:tc>
          <w:tcPr>
            <w:tcW w:w="1796" w:type="dxa"/>
            <w:gridSpan w:val="2"/>
            <w:vAlign w:val="center"/>
          </w:tcPr>
          <w:p w14:paraId="5A77DF24">
            <w:pPr>
              <w:ind w:firstLine="360"/>
              <w:jc w:val="center"/>
              <w:rPr>
                <w:rFonts w:ascii="宋体" w:hAnsi="宋体"/>
                <w:sz w:val="18"/>
                <w:szCs w:val="18"/>
              </w:rPr>
            </w:pPr>
          </w:p>
        </w:tc>
        <w:tc>
          <w:tcPr>
            <w:tcW w:w="1689" w:type="dxa"/>
            <w:gridSpan w:val="4"/>
            <w:vAlign w:val="center"/>
          </w:tcPr>
          <w:p w14:paraId="60972B60">
            <w:pPr>
              <w:ind w:firstLine="360"/>
              <w:jc w:val="center"/>
              <w:rPr>
                <w:rFonts w:ascii="宋体" w:hAnsi="宋体"/>
                <w:sz w:val="18"/>
                <w:szCs w:val="18"/>
              </w:rPr>
            </w:pPr>
          </w:p>
        </w:tc>
        <w:tc>
          <w:tcPr>
            <w:tcW w:w="1985" w:type="dxa"/>
            <w:vAlign w:val="center"/>
          </w:tcPr>
          <w:p w14:paraId="1578198F">
            <w:pPr>
              <w:ind w:firstLine="360"/>
              <w:jc w:val="center"/>
              <w:rPr>
                <w:rFonts w:ascii="宋体" w:hAnsi="宋体"/>
                <w:sz w:val="18"/>
                <w:szCs w:val="18"/>
              </w:rPr>
            </w:pPr>
          </w:p>
        </w:tc>
      </w:tr>
      <w:tr w14:paraId="740823A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14:paraId="2B3AB501">
            <w:pPr>
              <w:jc w:val="left"/>
              <w:rPr>
                <w:rFonts w:ascii="宋体" w:hAnsi="宋体"/>
                <w:sz w:val="18"/>
                <w:szCs w:val="18"/>
              </w:rPr>
            </w:pPr>
          </w:p>
        </w:tc>
        <w:tc>
          <w:tcPr>
            <w:tcW w:w="1984" w:type="dxa"/>
            <w:gridSpan w:val="2"/>
            <w:tcBorders>
              <w:left w:val="single" w:color="auto" w:sz="4" w:space="0"/>
            </w:tcBorders>
            <w:vAlign w:val="center"/>
          </w:tcPr>
          <w:p w14:paraId="6CC4492C">
            <w:pPr>
              <w:jc w:val="left"/>
              <w:rPr>
                <w:rFonts w:ascii="宋体" w:hAnsi="宋体"/>
                <w:sz w:val="18"/>
                <w:szCs w:val="18"/>
              </w:rPr>
            </w:pPr>
            <w:r>
              <w:rPr>
                <w:rFonts w:hint="eastAsia" w:ascii="宋体" w:hAnsi="宋体"/>
                <w:sz w:val="18"/>
                <w:szCs w:val="18"/>
              </w:rPr>
              <w:t>7防烟分区的划分、面积</w:t>
            </w:r>
            <w:r>
              <w:rPr>
                <w:rFonts w:hint="eastAsia" w:ascii="宋体" w:hAnsi="宋体"/>
                <w:kern w:val="0"/>
                <w:sz w:val="18"/>
                <w:szCs w:val="18"/>
              </w:rPr>
              <w:t>（m</w:t>
            </w:r>
            <w:r>
              <w:rPr>
                <w:rFonts w:ascii="宋体" w:hAnsi="宋体"/>
                <w:kern w:val="0"/>
                <w:sz w:val="15"/>
                <w:szCs w:val="15"/>
                <w:vertAlign w:val="superscript"/>
              </w:rPr>
              <w:t>2</w:t>
            </w:r>
            <w:r>
              <w:rPr>
                <w:rFonts w:hint="eastAsia" w:ascii="宋体" w:hAnsi="宋体"/>
                <w:kern w:val="0"/>
                <w:sz w:val="18"/>
                <w:szCs w:val="18"/>
              </w:rPr>
              <w:t>）</w:t>
            </w:r>
          </w:p>
        </w:tc>
        <w:tc>
          <w:tcPr>
            <w:tcW w:w="1760" w:type="dxa"/>
            <w:gridSpan w:val="2"/>
            <w:vAlign w:val="center"/>
          </w:tcPr>
          <w:p w14:paraId="4DB2132A">
            <w:pPr>
              <w:ind w:firstLine="360"/>
              <w:jc w:val="center"/>
              <w:rPr>
                <w:rFonts w:ascii="宋体" w:hAnsi="宋体"/>
                <w:sz w:val="18"/>
                <w:szCs w:val="18"/>
              </w:rPr>
            </w:pPr>
          </w:p>
        </w:tc>
        <w:tc>
          <w:tcPr>
            <w:tcW w:w="1796" w:type="dxa"/>
            <w:gridSpan w:val="2"/>
            <w:vAlign w:val="center"/>
          </w:tcPr>
          <w:p w14:paraId="6ACB652E">
            <w:pPr>
              <w:ind w:firstLine="360"/>
              <w:jc w:val="center"/>
              <w:rPr>
                <w:rFonts w:ascii="宋体" w:hAnsi="宋体"/>
                <w:sz w:val="18"/>
                <w:szCs w:val="18"/>
              </w:rPr>
            </w:pPr>
          </w:p>
        </w:tc>
        <w:tc>
          <w:tcPr>
            <w:tcW w:w="1689" w:type="dxa"/>
            <w:gridSpan w:val="4"/>
            <w:vAlign w:val="center"/>
          </w:tcPr>
          <w:p w14:paraId="191126A7">
            <w:pPr>
              <w:ind w:firstLine="360"/>
              <w:jc w:val="center"/>
              <w:rPr>
                <w:rFonts w:ascii="宋体" w:hAnsi="宋体"/>
                <w:sz w:val="18"/>
                <w:szCs w:val="18"/>
              </w:rPr>
            </w:pPr>
          </w:p>
        </w:tc>
        <w:tc>
          <w:tcPr>
            <w:tcW w:w="1985" w:type="dxa"/>
            <w:vAlign w:val="center"/>
          </w:tcPr>
          <w:p w14:paraId="2357B6D9">
            <w:pPr>
              <w:ind w:firstLine="360"/>
              <w:jc w:val="center"/>
              <w:rPr>
                <w:rFonts w:ascii="宋体" w:hAnsi="宋体"/>
                <w:sz w:val="18"/>
                <w:szCs w:val="18"/>
              </w:rPr>
            </w:pPr>
          </w:p>
        </w:tc>
      </w:tr>
      <w:tr w14:paraId="66D9739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14:paraId="31F3A63B">
            <w:pPr>
              <w:jc w:val="left"/>
              <w:rPr>
                <w:rFonts w:ascii="宋体" w:hAnsi="宋体"/>
                <w:sz w:val="18"/>
                <w:szCs w:val="18"/>
              </w:rPr>
            </w:pPr>
          </w:p>
        </w:tc>
        <w:tc>
          <w:tcPr>
            <w:tcW w:w="1984" w:type="dxa"/>
            <w:gridSpan w:val="2"/>
            <w:tcBorders>
              <w:left w:val="single" w:color="auto" w:sz="4" w:space="0"/>
            </w:tcBorders>
            <w:vAlign w:val="center"/>
          </w:tcPr>
          <w:p w14:paraId="7E4986EA">
            <w:pPr>
              <w:jc w:val="left"/>
              <w:rPr>
                <w:rFonts w:ascii="宋体" w:hAnsi="宋体"/>
                <w:sz w:val="18"/>
                <w:szCs w:val="18"/>
              </w:rPr>
            </w:pPr>
            <w:r>
              <w:rPr>
                <w:rFonts w:hint="eastAsia" w:ascii="宋体" w:hAnsi="宋体"/>
                <w:sz w:val="18"/>
                <w:szCs w:val="18"/>
              </w:rPr>
              <w:t>8挡烟垂壁</w:t>
            </w:r>
          </w:p>
        </w:tc>
        <w:tc>
          <w:tcPr>
            <w:tcW w:w="1760" w:type="dxa"/>
            <w:gridSpan w:val="2"/>
            <w:vAlign w:val="center"/>
          </w:tcPr>
          <w:p w14:paraId="4982B177">
            <w:pPr>
              <w:ind w:firstLine="360"/>
              <w:jc w:val="center"/>
              <w:rPr>
                <w:rFonts w:ascii="宋体" w:hAnsi="宋体"/>
                <w:sz w:val="18"/>
                <w:szCs w:val="18"/>
              </w:rPr>
            </w:pPr>
          </w:p>
        </w:tc>
        <w:tc>
          <w:tcPr>
            <w:tcW w:w="1796" w:type="dxa"/>
            <w:gridSpan w:val="2"/>
            <w:vAlign w:val="center"/>
          </w:tcPr>
          <w:p w14:paraId="7677D064">
            <w:pPr>
              <w:ind w:firstLine="360"/>
              <w:jc w:val="center"/>
              <w:rPr>
                <w:rFonts w:ascii="宋体" w:hAnsi="宋体"/>
                <w:sz w:val="18"/>
                <w:szCs w:val="18"/>
              </w:rPr>
            </w:pPr>
          </w:p>
        </w:tc>
        <w:tc>
          <w:tcPr>
            <w:tcW w:w="1689" w:type="dxa"/>
            <w:gridSpan w:val="4"/>
            <w:vAlign w:val="center"/>
          </w:tcPr>
          <w:p w14:paraId="42DB9778">
            <w:pPr>
              <w:ind w:firstLine="360"/>
              <w:jc w:val="center"/>
              <w:rPr>
                <w:rFonts w:ascii="宋体" w:hAnsi="宋体"/>
                <w:sz w:val="18"/>
                <w:szCs w:val="18"/>
              </w:rPr>
            </w:pPr>
          </w:p>
        </w:tc>
        <w:tc>
          <w:tcPr>
            <w:tcW w:w="1985" w:type="dxa"/>
            <w:vAlign w:val="center"/>
          </w:tcPr>
          <w:p w14:paraId="1BC232CA">
            <w:pPr>
              <w:ind w:firstLine="360"/>
              <w:jc w:val="center"/>
              <w:rPr>
                <w:rFonts w:ascii="宋体" w:hAnsi="宋体"/>
                <w:sz w:val="18"/>
                <w:szCs w:val="18"/>
              </w:rPr>
            </w:pPr>
          </w:p>
        </w:tc>
      </w:tr>
      <w:tr w14:paraId="51CCFB9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restart"/>
            <w:tcBorders>
              <w:right w:val="single" w:color="auto" w:sz="4" w:space="0"/>
            </w:tcBorders>
            <w:vAlign w:val="center"/>
          </w:tcPr>
          <w:p w14:paraId="6D6D0500">
            <w:pPr>
              <w:jc w:val="left"/>
              <w:rPr>
                <w:rFonts w:ascii="宋体" w:hAnsi="宋体"/>
                <w:sz w:val="18"/>
                <w:szCs w:val="18"/>
              </w:rPr>
            </w:pPr>
            <w:r>
              <w:rPr>
                <w:rFonts w:hint="eastAsia" w:ascii="宋体" w:hAnsi="宋体"/>
                <w:sz w:val="18"/>
                <w:szCs w:val="18"/>
              </w:rPr>
              <w:t>4</w:t>
            </w:r>
          </w:p>
          <w:p w14:paraId="7E853EF6">
            <w:pPr>
              <w:jc w:val="left"/>
              <w:rPr>
                <w:rFonts w:ascii="宋体" w:hAnsi="宋体"/>
                <w:sz w:val="18"/>
                <w:szCs w:val="18"/>
              </w:rPr>
            </w:pPr>
            <w:r>
              <w:rPr>
                <w:rFonts w:hint="eastAsia" w:ascii="宋体" w:hAnsi="宋体"/>
                <w:sz w:val="18"/>
                <w:szCs w:val="18"/>
              </w:rPr>
              <w:t>平面布置</w:t>
            </w:r>
          </w:p>
        </w:tc>
        <w:tc>
          <w:tcPr>
            <w:tcW w:w="1984" w:type="dxa"/>
            <w:gridSpan w:val="2"/>
            <w:tcBorders>
              <w:left w:val="single" w:color="auto" w:sz="4" w:space="0"/>
            </w:tcBorders>
            <w:vAlign w:val="center"/>
          </w:tcPr>
          <w:p w14:paraId="12C519AF">
            <w:pPr>
              <w:jc w:val="left"/>
              <w:rPr>
                <w:rFonts w:ascii="宋体" w:hAnsi="宋体"/>
                <w:sz w:val="18"/>
                <w:szCs w:val="18"/>
              </w:rPr>
            </w:pPr>
            <w:r>
              <w:rPr>
                <w:rFonts w:hint="eastAsia" w:ascii="宋体" w:hAnsi="宋体"/>
                <w:sz w:val="18"/>
                <w:szCs w:val="18"/>
              </w:rPr>
              <w:t>1老、幼、医、教、电影院、歌舞娱乐放映游艺场所</w:t>
            </w:r>
          </w:p>
        </w:tc>
        <w:tc>
          <w:tcPr>
            <w:tcW w:w="1760" w:type="dxa"/>
            <w:gridSpan w:val="2"/>
            <w:vAlign w:val="center"/>
          </w:tcPr>
          <w:p w14:paraId="7D24D58F">
            <w:pPr>
              <w:ind w:firstLine="360"/>
              <w:jc w:val="center"/>
              <w:rPr>
                <w:rFonts w:ascii="宋体" w:hAnsi="宋体"/>
                <w:sz w:val="18"/>
                <w:szCs w:val="18"/>
              </w:rPr>
            </w:pPr>
          </w:p>
        </w:tc>
        <w:tc>
          <w:tcPr>
            <w:tcW w:w="1796" w:type="dxa"/>
            <w:gridSpan w:val="2"/>
            <w:vAlign w:val="center"/>
          </w:tcPr>
          <w:p w14:paraId="66D272AC">
            <w:pPr>
              <w:ind w:firstLine="360"/>
              <w:jc w:val="center"/>
              <w:rPr>
                <w:rFonts w:ascii="宋体" w:hAnsi="宋体"/>
                <w:sz w:val="18"/>
                <w:szCs w:val="18"/>
              </w:rPr>
            </w:pPr>
          </w:p>
        </w:tc>
        <w:tc>
          <w:tcPr>
            <w:tcW w:w="1689" w:type="dxa"/>
            <w:gridSpan w:val="4"/>
            <w:vAlign w:val="center"/>
          </w:tcPr>
          <w:p w14:paraId="3318C360">
            <w:pPr>
              <w:ind w:firstLine="360"/>
              <w:jc w:val="center"/>
              <w:rPr>
                <w:rFonts w:ascii="宋体" w:hAnsi="宋体"/>
                <w:sz w:val="18"/>
                <w:szCs w:val="18"/>
              </w:rPr>
            </w:pPr>
          </w:p>
        </w:tc>
        <w:tc>
          <w:tcPr>
            <w:tcW w:w="1985" w:type="dxa"/>
            <w:vAlign w:val="center"/>
          </w:tcPr>
          <w:p w14:paraId="72048DDB">
            <w:pPr>
              <w:ind w:firstLine="360"/>
              <w:jc w:val="center"/>
              <w:rPr>
                <w:rFonts w:ascii="宋体" w:hAnsi="宋体"/>
                <w:sz w:val="18"/>
                <w:szCs w:val="18"/>
              </w:rPr>
            </w:pPr>
          </w:p>
        </w:tc>
      </w:tr>
      <w:tr w14:paraId="6DC5A87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14:paraId="5269327B">
            <w:pPr>
              <w:jc w:val="left"/>
              <w:rPr>
                <w:rFonts w:ascii="宋体" w:hAnsi="宋体"/>
                <w:sz w:val="18"/>
                <w:szCs w:val="18"/>
              </w:rPr>
            </w:pPr>
          </w:p>
        </w:tc>
        <w:tc>
          <w:tcPr>
            <w:tcW w:w="1984" w:type="dxa"/>
            <w:gridSpan w:val="2"/>
            <w:tcBorders>
              <w:left w:val="single" w:color="auto" w:sz="4" w:space="0"/>
            </w:tcBorders>
            <w:vAlign w:val="center"/>
          </w:tcPr>
          <w:p w14:paraId="5904C11E">
            <w:pPr>
              <w:jc w:val="left"/>
              <w:rPr>
                <w:rFonts w:ascii="宋体" w:hAnsi="宋体"/>
                <w:sz w:val="18"/>
                <w:szCs w:val="18"/>
              </w:rPr>
            </w:pPr>
            <w:r>
              <w:rPr>
                <w:rFonts w:hint="eastAsia" w:ascii="宋体" w:hAnsi="宋体"/>
                <w:sz w:val="18"/>
                <w:szCs w:val="18"/>
              </w:rPr>
              <w:t>2有顶棚的步行商业街、餐饮设施</w:t>
            </w:r>
          </w:p>
        </w:tc>
        <w:tc>
          <w:tcPr>
            <w:tcW w:w="1760" w:type="dxa"/>
            <w:gridSpan w:val="2"/>
            <w:vAlign w:val="center"/>
          </w:tcPr>
          <w:p w14:paraId="69CDF529">
            <w:pPr>
              <w:ind w:firstLine="360"/>
              <w:jc w:val="center"/>
              <w:rPr>
                <w:rFonts w:ascii="宋体" w:hAnsi="宋体"/>
                <w:sz w:val="18"/>
                <w:szCs w:val="18"/>
              </w:rPr>
            </w:pPr>
          </w:p>
        </w:tc>
        <w:tc>
          <w:tcPr>
            <w:tcW w:w="1796" w:type="dxa"/>
            <w:gridSpan w:val="2"/>
            <w:vAlign w:val="center"/>
          </w:tcPr>
          <w:p w14:paraId="3260E185">
            <w:pPr>
              <w:ind w:firstLine="360"/>
              <w:jc w:val="center"/>
              <w:rPr>
                <w:rFonts w:ascii="宋体" w:hAnsi="宋体"/>
                <w:sz w:val="18"/>
                <w:szCs w:val="18"/>
              </w:rPr>
            </w:pPr>
          </w:p>
        </w:tc>
        <w:tc>
          <w:tcPr>
            <w:tcW w:w="1689" w:type="dxa"/>
            <w:gridSpan w:val="4"/>
            <w:vAlign w:val="center"/>
          </w:tcPr>
          <w:p w14:paraId="151AD7BB">
            <w:pPr>
              <w:ind w:firstLine="360"/>
              <w:jc w:val="center"/>
              <w:rPr>
                <w:rFonts w:ascii="宋体" w:hAnsi="宋体"/>
                <w:sz w:val="18"/>
                <w:szCs w:val="18"/>
              </w:rPr>
            </w:pPr>
          </w:p>
        </w:tc>
        <w:tc>
          <w:tcPr>
            <w:tcW w:w="1985" w:type="dxa"/>
            <w:vAlign w:val="center"/>
          </w:tcPr>
          <w:p w14:paraId="231DBB31">
            <w:pPr>
              <w:ind w:firstLine="360"/>
              <w:jc w:val="center"/>
              <w:rPr>
                <w:rFonts w:ascii="宋体" w:hAnsi="宋体"/>
                <w:sz w:val="18"/>
                <w:szCs w:val="18"/>
              </w:rPr>
            </w:pPr>
          </w:p>
        </w:tc>
      </w:tr>
      <w:tr w14:paraId="5B45A27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14:paraId="50D67C1C">
            <w:pPr>
              <w:jc w:val="left"/>
              <w:rPr>
                <w:rFonts w:ascii="宋体" w:hAnsi="宋体"/>
                <w:sz w:val="18"/>
                <w:szCs w:val="18"/>
              </w:rPr>
            </w:pPr>
          </w:p>
        </w:tc>
        <w:tc>
          <w:tcPr>
            <w:tcW w:w="1984" w:type="dxa"/>
            <w:gridSpan w:val="2"/>
            <w:tcBorders>
              <w:left w:val="single" w:color="auto" w:sz="4" w:space="0"/>
            </w:tcBorders>
            <w:vAlign w:val="center"/>
          </w:tcPr>
          <w:p w14:paraId="4FD9BB7B">
            <w:pPr>
              <w:jc w:val="left"/>
              <w:rPr>
                <w:rFonts w:ascii="宋体" w:hAnsi="宋体"/>
                <w:sz w:val="18"/>
                <w:szCs w:val="18"/>
              </w:rPr>
            </w:pPr>
            <w:r>
              <w:rPr>
                <w:rFonts w:hint="eastAsia" w:ascii="宋体" w:hAnsi="宋体"/>
                <w:sz w:val="18"/>
                <w:szCs w:val="18"/>
              </w:rPr>
              <w:t>3消防控制室</w:t>
            </w:r>
          </w:p>
        </w:tc>
        <w:tc>
          <w:tcPr>
            <w:tcW w:w="1760" w:type="dxa"/>
            <w:gridSpan w:val="2"/>
            <w:vAlign w:val="center"/>
          </w:tcPr>
          <w:p w14:paraId="384F9174">
            <w:pPr>
              <w:ind w:firstLine="360"/>
              <w:jc w:val="center"/>
              <w:rPr>
                <w:rFonts w:ascii="宋体" w:hAnsi="宋体"/>
                <w:sz w:val="18"/>
                <w:szCs w:val="18"/>
              </w:rPr>
            </w:pPr>
          </w:p>
        </w:tc>
        <w:tc>
          <w:tcPr>
            <w:tcW w:w="1796" w:type="dxa"/>
            <w:gridSpan w:val="2"/>
            <w:vAlign w:val="center"/>
          </w:tcPr>
          <w:p w14:paraId="2715EFD8">
            <w:pPr>
              <w:ind w:firstLine="360"/>
              <w:jc w:val="center"/>
              <w:rPr>
                <w:rFonts w:ascii="宋体" w:hAnsi="宋体"/>
                <w:sz w:val="18"/>
                <w:szCs w:val="18"/>
              </w:rPr>
            </w:pPr>
          </w:p>
        </w:tc>
        <w:tc>
          <w:tcPr>
            <w:tcW w:w="1689" w:type="dxa"/>
            <w:gridSpan w:val="4"/>
            <w:vAlign w:val="center"/>
          </w:tcPr>
          <w:p w14:paraId="3161547A">
            <w:pPr>
              <w:ind w:firstLine="360"/>
              <w:jc w:val="center"/>
              <w:rPr>
                <w:rFonts w:ascii="宋体" w:hAnsi="宋体"/>
                <w:sz w:val="18"/>
                <w:szCs w:val="18"/>
              </w:rPr>
            </w:pPr>
          </w:p>
        </w:tc>
        <w:tc>
          <w:tcPr>
            <w:tcW w:w="1985" w:type="dxa"/>
            <w:vAlign w:val="center"/>
          </w:tcPr>
          <w:p w14:paraId="48327504">
            <w:pPr>
              <w:ind w:firstLine="360"/>
              <w:jc w:val="center"/>
              <w:rPr>
                <w:rFonts w:ascii="宋体" w:hAnsi="宋体"/>
                <w:sz w:val="18"/>
                <w:szCs w:val="18"/>
              </w:rPr>
            </w:pPr>
          </w:p>
        </w:tc>
      </w:tr>
      <w:tr w14:paraId="51A36D1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14:paraId="442C79C6">
            <w:pPr>
              <w:jc w:val="left"/>
              <w:rPr>
                <w:rFonts w:ascii="宋体" w:hAnsi="宋体"/>
                <w:sz w:val="18"/>
                <w:szCs w:val="18"/>
              </w:rPr>
            </w:pPr>
          </w:p>
        </w:tc>
        <w:tc>
          <w:tcPr>
            <w:tcW w:w="1984" w:type="dxa"/>
            <w:gridSpan w:val="2"/>
            <w:tcBorders>
              <w:left w:val="single" w:color="auto" w:sz="4" w:space="0"/>
            </w:tcBorders>
            <w:vAlign w:val="center"/>
          </w:tcPr>
          <w:p w14:paraId="0AE294EA">
            <w:pPr>
              <w:jc w:val="left"/>
              <w:rPr>
                <w:rFonts w:ascii="宋体" w:hAnsi="宋体"/>
                <w:sz w:val="18"/>
                <w:szCs w:val="18"/>
              </w:rPr>
            </w:pPr>
            <w:r>
              <w:rPr>
                <w:rFonts w:hint="eastAsia" w:ascii="宋体" w:hAnsi="宋体"/>
                <w:sz w:val="18"/>
                <w:szCs w:val="18"/>
              </w:rPr>
              <w:t>4消防水池及水泵房</w:t>
            </w:r>
          </w:p>
        </w:tc>
        <w:tc>
          <w:tcPr>
            <w:tcW w:w="1760" w:type="dxa"/>
            <w:gridSpan w:val="2"/>
            <w:vAlign w:val="center"/>
          </w:tcPr>
          <w:p w14:paraId="1D003A92">
            <w:pPr>
              <w:ind w:firstLine="360"/>
              <w:jc w:val="center"/>
              <w:rPr>
                <w:rFonts w:ascii="宋体" w:hAnsi="宋体"/>
                <w:sz w:val="18"/>
                <w:szCs w:val="18"/>
              </w:rPr>
            </w:pPr>
          </w:p>
        </w:tc>
        <w:tc>
          <w:tcPr>
            <w:tcW w:w="1796" w:type="dxa"/>
            <w:gridSpan w:val="2"/>
            <w:vAlign w:val="center"/>
          </w:tcPr>
          <w:p w14:paraId="572E60D4">
            <w:pPr>
              <w:ind w:firstLine="360"/>
              <w:jc w:val="center"/>
              <w:rPr>
                <w:rFonts w:ascii="宋体" w:hAnsi="宋体"/>
                <w:sz w:val="18"/>
                <w:szCs w:val="18"/>
              </w:rPr>
            </w:pPr>
          </w:p>
        </w:tc>
        <w:tc>
          <w:tcPr>
            <w:tcW w:w="1689" w:type="dxa"/>
            <w:gridSpan w:val="4"/>
            <w:vAlign w:val="center"/>
          </w:tcPr>
          <w:p w14:paraId="22B45861">
            <w:pPr>
              <w:ind w:firstLine="360"/>
              <w:jc w:val="center"/>
              <w:rPr>
                <w:rFonts w:ascii="宋体" w:hAnsi="宋体"/>
                <w:sz w:val="18"/>
                <w:szCs w:val="18"/>
              </w:rPr>
            </w:pPr>
          </w:p>
        </w:tc>
        <w:tc>
          <w:tcPr>
            <w:tcW w:w="1985" w:type="dxa"/>
            <w:vAlign w:val="center"/>
          </w:tcPr>
          <w:p w14:paraId="7CE4EF77">
            <w:pPr>
              <w:ind w:firstLine="360"/>
              <w:jc w:val="center"/>
              <w:rPr>
                <w:rFonts w:ascii="宋体" w:hAnsi="宋体"/>
                <w:sz w:val="18"/>
                <w:szCs w:val="18"/>
              </w:rPr>
            </w:pPr>
          </w:p>
        </w:tc>
      </w:tr>
      <w:tr w14:paraId="7DDCF1B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14:paraId="7BDF4B23">
            <w:pPr>
              <w:jc w:val="left"/>
              <w:rPr>
                <w:rFonts w:ascii="宋体" w:hAnsi="宋体"/>
                <w:sz w:val="18"/>
                <w:szCs w:val="18"/>
              </w:rPr>
            </w:pPr>
          </w:p>
        </w:tc>
        <w:tc>
          <w:tcPr>
            <w:tcW w:w="1984" w:type="dxa"/>
            <w:gridSpan w:val="2"/>
            <w:tcBorders>
              <w:left w:val="single" w:color="auto" w:sz="4" w:space="0"/>
            </w:tcBorders>
            <w:vAlign w:val="center"/>
          </w:tcPr>
          <w:p w14:paraId="419F532C">
            <w:pPr>
              <w:jc w:val="left"/>
              <w:rPr>
                <w:rFonts w:ascii="宋体" w:hAnsi="宋体"/>
                <w:sz w:val="18"/>
                <w:szCs w:val="18"/>
              </w:rPr>
            </w:pPr>
            <w:r>
              <w:rPr>
                <w:rFonts w:hint="eastAsia" w:ascii="宋体" w:hAnsi="宋体"/>
                <w:sz w:val="18"/>
                <w:szCs w:val="18"/>
              </w:rPr>
              <w:t>5锅炉房</w:t>
            </w:r>
          </w:p>
        </w:tc>
        <w:tc>
          <w:tcPr>
            <w:tcW w:w="1760" w:type="dxa"/>
            <w:gridSpan w:val="2"/>
            <w:vAlign w:val="center"/>
          </w:tcPr>
          <w:p w14:paraId="47FF5370">
            <w:pPr>
              <w:ind w:firstLine="360"/>
              <w:jc w:val="center"/>
              <w:rPr>
                <w:rFonts w:ascii="宋体" w:hAnsi="宋体"/>
                <w:sz w:val="18"/>
                <w:szCs w:val="18"/>
              </w:rPr>
            </w:pPr>
          </w:p>
        </w:tc>
        <w:tc>
          <w:tcPr>
            <w:tcW w:w="1796" w:type="dxa"/>
            <w:gridSpan w:val="2"/>
            <w:vAlign w:val="center"/>
          </w:tcPr>
          <w:p w14:paraId="00FC5EE7">
            <w:pPr>
              <w:ind w:firstLine="360"/>
              <w:jc w:val="center"/>
              <w:rPr>
                <w:rFonts w:ascii="宋体" w:hAnsi="宋体"/>
                <w:sz w:val="18"/>
                <w:szCs w:val="18"/>
              </w:rPr>
            </w:pPr>
          </w:p>
        </w:tc>
        <w:tc>
          <w:tcPr>
            <w:tcW w:w="1689" w:type="dxa"/>
            <w:gridSpan w:val="4"/>
            <w:vAlign w:val="center"/>
          </w:tcPr>
          <w:p w14:paraId="2B26C0DA">
            <w:pPr>
              <w:ind w:firstLine="360"/>
              <w:jc w:val="center"/>
              <w:rPr>
                <w:rFonts w:ascii="宋体" w:hAnsi="宋体"/>
                <w:sz w:val="18"/>
                <w:szCs w:val="18"/>
              </w:rPr>
            </w:pPr>
          </w:p>
        </w:tc>
        <w:tc>
          <w:tcPr>
            <w:tcW w:w="1985" w:type="dxa"/>
            <w:vAlign w:val="center"/>
          </w:tcPr>
          <w:p w14:paraId="388A3BDF">
            <w:pPr>
              <w:ind w:firstLine="360"/>
              <w:jc w:val="center"/>
              <w:rPr>
                <w:rFonts w:ascii="宋体" w:hAnsi="宋体"/>
                <w:sz w:val="18"/>
                <w:szCs w:val="18"/>
              </w:rPr>
            </w:pPr>
          </w:p>
        </w:tc>
      </w:tr>
      <w:tr w14:paraId="56DDA21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14:paraId="5AFE2C56">
            <w:pPr>
              <w:jc w:val="left"/>
              <w:rPr>
                <w:rFonts w:ascii="宋体" w:hAnsi="宋体"/>
                <w:sz w:val="18"/>
                <w:szCs w:val="18"/>
              </w:rPr>
            </w:pPr>
          </w:p>
        </w:tc>
        <w:tc>
          <w:tcPr>
            <w:tcW w:w="1984" w:type="dxa"/>
            <w:gridSpan w:val="2"/>
            <w:tcBorders>
              <w:left w:val="single" w:color="auto" w:sz="4" w:space="0"/>
            </w:tcBorders>
            <w:vAlign w:val="center"/>
          </w:tcPr>
          <w:p w14:paraId="3949CACB">
            <w:pPr>
              <w:jc w:val="left"/>
              <w:rPr>
                <w:rFonts w:ascii="宋体" w:hAnsi="宋体"/>
                <w:sz w:val="18"/>
                <w:szCs w:val="18"/>
              </w:rPr>
            </w:pPr>
            <w:r>
              <w:rPr>
                <w:rFonts w:hint="eastAsia" w:ascii="宋体" w:hAnsi="宋体"/>
                <w:sz w:val="18"/>
                <w:szCs w:val="18"/>
              </w:rPr>
              <w:t>6柴油发电机房</w:t>
            </w:r>
          </w:p>
        </w:tc>
        <w:tc>
          <w:tcPr>
            <w:tcW w:w="1760" w:type="dxa"/>
            <w:gridSpan w:val="2"/>
            <w:vAlign w:val="center"/>
          </w:tcPr>
          <w:p w14:paraId="52F7676A">
            <w:pPr>
              <w:ind w:firstLine="360"/>
              <w:jc w:val="center"/>
              <w:rPr>
                <w:rFonts w:ascii="宋体" w:hAnsi="宋体"/>
                <w:sz w:val="18"/>
                <w:szCs w:val="18"/>
              </w:rPr>
            </w:pPr>
          </w:p>
        </w:tc>
        <w:tc>
          <w:tcPr>
            <w:tcW w:w="1796" w:type="dxa"/>
            <w:gridSpan w:val="2"/>
            <w:vAlign w:val="center"/>
          </w:tcPr>
          <w:p w14:paraId="7EC912BC">
            <w:pPr>
              <w:ind w:firstLine="360"/>
              <w:jc w:val="center"/>
              <w:rPr>
                <w:rFonts w:ascii="宋体" w:hAnsi="宋体"/>
                <w:sz w:val="18"/>
                <w:szCs w:val="18"/>
              </w:rPr>
            </w:pPr>
          </w:p>
        </w:tc>
        <w:tc>
          <w:tcPr>
            <w:tcW w:w="1689" w:type="dxa"/>
            <w:gridSpan w:val="4"/>
            <w:vAlign w:val="center"/>
          </w:tcPr>
          <w:p w14:paraId="3C7CCFE3">
            <w:pPr>
              <w:ind w:firstLine="360"/>
              <w:jc w:val="center"/>
              <w:rPr>
                <w:rFonts w:ascii="宋体" w:hAnsi="宋体"/>
                <w:sz w:val="18"/>
                <w:szCs w:val="18"/>
              </w:rPr>
            </w:pPr>
          </w:p>
        </w:tc>
        <w:tc>
          <w:tcPr>
            <w:tcW w:w="1985" w:type="dxa"/>
            <w:vAlign w:val="center"/>
          </w:tcPr>
          <w:p w14:paraId="2DEA369A">
            <w:pPr>
              <w:ind w:firstLine="360"/>
              <w:jc w:val="center"/>
              <w:rPr>
                <w:rFonts w:ascii="宋体" w:hAnsi="宋体"/>
                <w:sz w:val="18"/>
                <w:szCs w:val="18"/>
              </w:rPr>
            </w:pPr>
          </w:p>
        </w:tc>
      </w:tr>
      <w:tr w14:paraId="7157A6C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14:paraId="2E419803">
            <w:pPr>
              <w:jc w:val="left"/>
              <w:rPr>
                <w:rFonts w:ascii="宋体" w:hAnsi="宋体"/>
                <w:sz w:val="18"/>
                <w:szCs w:val="18"/>
              </w:rPr>
            </w:pPr>
          </w:p>
        </w:tc>
        <w:tc>
          <w:tcPr>
            <w:tcW w:w="1984" w:type="dxa"/>
            <w:gridSpan w:val="2"/>
            <w:tcBorders>
              <w:left w:val="single" w:color="auto" w:sz="4" w:space="0"/>
            </w:tcBorders>
            <w:vAlign w:val="center"/>
          </w:tcPr>
          <w:p w14:paraId="2ED4BCA9">
            <w:pPr>
              <w:jc w:val="left"/>
              <w:rPr>
                <w:rFonts w:ascii="宋体" w:hAnsi="宋体"/>
                <w:sz w:val="18"/>
                <w:szCs w:val="18"/>
              </w:rPr>
            </w:pPr>
            <w:r>
              <w:rPr>
                <w:rFonts w:hint="eastAsia" w:ascii="宋体" w:hAnsi="宋体"/>
                <w:sz w:val="18"/>
                <w:szCs w:val="18"/>
              </w:rPr>
              <w:t>7变配电室</w:t>
            </w:r>
          </w:p>
        </w:tc>
        <w:tc>
          <w:tcPr>
            <w:tcW w:w="1760" w:type="dxa"/>
            <w:gridSpan w:val="2"/>
            <w:vAlign w:val="center"/>
          </w:tcPr>
          <w:p w14:paraId="359EB494">
            <w:pPr>
              <w:ind w:firstLine="360"/>
              <w:jc w:val="center"/>
              <w:rPr>
                <w:rFonts w:ascii="宋体" w:hAnsi="宋体"/>
                <w:sz w:val="18"/>
                <w:szCs w:val="18"/>
              </w:rPr>
            </w:pPr>
          </w:p>
        </w:tc>
        <w:tc>
          <w:tcPr>
            <w:tcW w:w="1796" w:type="dxa"/>
            <w:gridSpan w:val="2"/>
            <w:vAlign w:val="center"/>
          </w:tcPr>
          <w:p w14:paraId="51A23713">
            <w:pPr>
              <w:ind w:firstLine="360"/>
              <w:jc w:val="center"/>
              <w:rPr>
                <w:rFonts w:ascii="宋体" w:hAnsi="宋体"/>
                <w:sz w:val="18"/>
                <w:szCs w:val="18"/>
              </w:rPr>
            </w:pPr>
          </w:p>
        </w:tc>
        <w:tc>
          <w:tcPr>
            <w:tcW w:w="1689" w:type="dxa"/>
            <w:gridSpan w:val="4"/>
            <w:vAlign w:val="center"/>
          </w:tcPr>
          <w:p w14:paraId="17FCB74E">
            <w:pPr>
              <w:ind w:firstLine="360"/>
              <w:jc w:val="center"/>
              <w:rPr>
                <w:rFonts w:ascii="宋体" w:hAnsi="宋体"/>
                <w:sz w:val="18"/>
                <w:szCs w:val="18"/>
              </w:rPr>
            </w:pPr>
          </w:p>
        </w:tc>
        <w:tc>
          <w:tcPr>
            <w:tcW w:w="1985" w:type="dxa"/>
            <w:vAlign w:val="center"/>
          </w:tcPr>
          <w:p w14:paraId="23BA3F14">
            <w:pPr>
              <w:ind w:firstLine="360"/>
              <w:jc w:val="center"/>
              <w:rPr>
                <w:rFonts w:ascii="宋体" w:hAnsi="宋体"/>
                <w:sz w:val="18"/>
                <w:szCs w:val="18"/>
              </w:rPr>
            </w:pPr>
          </w:p>
        </w:tc>
      </w:tr>
      <w:tr w14:paraId="4D02AAA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14:paraId="6F7D3ACB">
            <w:pPr>
              <w:jc w:val="left"/>
              <w:rPr>
                <w:rFonts w:ascii="宋体" w:hAnsi="宋体"/>
                <w:sz w:val="18"/>
                <w:szCs w:val="18"/>
              </w:rPr>
            </w:pPr>
          </w:p>
        </w:tc>
        <w:tc>
          <w:tcPr>
            <w:tcW w:w="1984" w:type="dxa"/>
            <w:gridSpan w:val="2"/>
            <w:tcBorders>
              <w:left w:val="single" w:color="auto" w:sz="4" w:space="0"/>
            </w:tcBorders>
            <w:vAlign w:val="center"/>
          </w:tcPr>
          <w:p w14:paraId="1B6D91C1">
            <w:pPr>
              <w:jc w:val="left"/>
              <w:rPr>
                <w:rFonts w:ascii="宋体" w:hAnsi="宋体"/>
                <w:sz w:val="18"/>
                <w:szCs w:val="18"/>
              </w:rPr>
            </w:pPr>
            <w:r>
              <w:rPr>
                <w:rFonts w:hint="eastAsia" w:ascii="宋体" w:hAnsi="宋体"/>
                <w:sz w:val="18"/>
                <w:szCs w:val="18"/>
              </w:rPr>
              <w:t>8 其他特殊消防场所</w:t>
            </w:r>
          </w:p>
        </w:tc>
        <w:tc>
          <w:tcPr>
            <w:tcW w:w="1760" w:type="dxa"/>
            <w:gridSpan w:val="2"/>
            <w:vAlign w:val="center"/>
          </w:tcPr>
          <w:p w14:paraId="755840D6">
            <w:pPr>
              <w:ind w:firstLine="360"/>
              <w:jc w:val="center"/>
              <w:rPr>
                <w:rFonts w:ascii="宋体" w:hAnsi="宋体"/>
                <w:sz w:val="18"/>
                <w:szCs w:val="18"/>
              </w:rPr>
            </w:pPr>
          </w:p>
        </w:tc>
        <w:tc>
          <w:tcPr>
            <w:tcW w:w="1796" w:type="dxa"/>
            <w:gridSpan w:val="2"/>
            <w:vAlign w:val="center"/>
          </w:tcPr>
          <w:p w14:paraId="1CCB1EC6">
            <w:pPr>
              <w:ind w:firstLine="360"/>
              <w:jc w:val="center"/>
              <w:rPr>
                <w:rFonts w:ascii="宋体" w:hAnsi="宋体"/>
                <w:sz w:val="18"/>
                <w:szCs w:val="18"/>
              </w:rPr>
            </w:pPr>
          </w:p>
        </w:tc>
        <w:tc>
          <w:tcPr>
            <w:tcW w:w="1689" w:type="dxa"/>
            <w:gridSpan w:val="4"/>
            <w:vAlign w:val="center"/>
          </w:tcPr>
          <w:p w14:paraId="3F015AC2">
            <w:pPr>
              <w:ind w:firstLine="360"/>
              <w:jc w:val="center"/>
              <w:rPr>
                <w:rFonts w:ascii="宋体" w:hAnsi="宋体"/>
                <w:sz w:val="18"/>
                <w:szCs w:val="18"/>
              </w:rPr>
            </w:pPr>
          </w:p>
        </w:tc>
        <w:tc>
          <w:tcPr>
            <w:tcW w:w="1985" w:type="dxa"/>
            <w:vAlign w:val="center"/>
          </w:tcPr>
          <w:p w14:paraId="5A440BC2">
            <w:pPr>
              <w:ind w:firstLine="360"/>
              <w:jc w:val="center"/>
              <w:rPr>
                <w:rFonts w:ascii="宋体" w:hAnsi="宋体"/>
                <w:sz w:val="18"/>
                <w:szCs w:val="18"/>
              </w:rPr>
            </w:pPr>
          </w:p>
        </w:tc>
      </w:tr>
      <w:tr w14:paraId="664A764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restart"/>
            <w:tcBorders>
              <w:right w:val="single" w:color="auto" w:sz="4" w:space="0"/>
            </w:tcBorders>
            <w:vAlign w:val="center"/>
          </w:tcPr>
          <w:p w14:paraId="51A54A5B">
            <w:pPr>
              <w:jc w:val="left"/>
              <w:rPr>
                <w:rFonts w:ascii="宋体" w:hAnsi="宋体"/>
                <w:sz w:val="18"/>
                <w:szCs w:val="18"/>
              </w:rPr>
            </w:pPr>
            <w:r>
              <w:rPr>
                <w:rFonts w:hint="eastAsia" w:ascii="宋体" w:hAnsi="宋体"/>
                <w:sz w:val="18"/>
                <w:szCs w:val="18"/>
              </w:rPr>
              <w:t>5</w:t>
            </w:r>
          </w:p>
          <w:p w14:paraId="46AC3617">
            <w:pPr>
              <w:jc w:val="left"/>
              <w:rPr>
                <w:rFonts w:ascii="宋体" w:hAnsi="宋体"/>
                <w:sz w:val="18"/>
                <w:szCs w:val="18"/>
              </w:rPr>
            </w:pPr>
            <w:r>
              <w:rPr>
                <w:rFonts w:hint="eastAsia" w:ascii="宋体" w:hAnsi="宋体"/>
                <w:sz w:val="18"/>
                <w:szCs w:val="18"/>
              </w:rPr>
              <w:t>安全疏散和避难</w:t>
            </w:r>
          </w:p>
        </w:tc>
        <w:tc>
          <w:tcPr>
            <w:tcW w:w="1984" w:type="dxa"/>
            <w:gridSpan w:val="2"/>
            <w:tcBorders>
              <w:left w:val="single" w:color="auto" w:sz="4" w:space="0"/>
            </w:tcBorders>
            <w:vAlign w:val="center"/>
          </w:tcPr>
          <w:p w14:paraId="528DACB4">
            <w:pPr>
              <w:jc w:val="left"/>
              <w:rPr>
                <w:rFonts w:ascii="宋体" w:hAnsi="宋体"/>
                <w:sz w:val="18"/>
                <w:szCs w:val="18"/>
              </w:rPr>
            </w:pPr>
            <w:r>
              <w:rPr>
                <w:rFonts w:hint="eastAsia" w:ascii="宋体" w:hAnsi="宋体"/>
                <w:sz w:val="18"/>
                <w:szCs w:val="18"/>
              </w:rPr>
              <w:t>1安全出口</w:t>
            </w:r>
          </w:p>
        </w:tc>
        <w:tc>
          <w:tcPr>
            <w:tcW w:w="1760" w:type="dxa"/>
            <w:gridSpan w:val="2"/>
            <w:vAlign w:val="center"/>
          </w:tcPr>
          <w:p w14:paraId="22034793">
            <w:pPr>
              <w:ind w:firstLine="360"/>
              <w:jc w:val="center"/>
              <w:rPr>
                <w:rFonts w:ascii="宋体" w:hAnsi="宋体"/>
                <w:sz w:val="18"/>
                <w:szCs w:val="18"/>
              </w:rPr>
            </w:pPr>
          </w:p>
        </w:tc>
        <w:tc>
          <w:tcPr>
            <w:tcW w:w="1796" w:type="dxa"/>
            <w:gridSpan w:val="2"/>
            <w:vAlign w:val="center"/>
          </w:tcPr>
          <w:p w14:paraId="2F598985">
            <w:pPr>
              <w:ind w:firstLine="360"/>
              <w:jc w:val="center"/>
              <w:rPr>
                <w:rFonts w:ascii="宋体" w:hAnsi="宋体"/>
                <w:sz w:val="18"/>
                <w:szCs w:val="18"/>
              </w:rPr>
            </w:pPr>
          </w:p>
        </w:tc>
        <w:tc>
          <w:tcPr>
            <w:tcW w:w="1689" w:type="dxa"/>
            <w:gridSpan w:val="4"/>
            <w:vAlign w:val="center"/>
          </w:tcPr>
          <w:p w14:paraId="1EC96715">
            <w:pPr>
              <w:ind w:firstLine="360"/>
              <w:jc w:val="center"/>
              <w:rPr>
                <w:rFonts w:ascii="宋体" w:hAnsi="宋体"/>
                <w:sz w:val="18"/>
                <w:szCs w:val="18"/>
              </w:rPr>
            </w:pPr>
          </w:p>
        </w:tc>
        <w:tc>
          <w:tcPr>
            <w:tcW w:w="1985" w:type="dxa"/>
            <w:vAlign w:val="center"/>
          </w:tcPr>
          <w:p w14:paraId="06264314">
            <w:pPr>
              <w:ind w:firstLine="360"/>
              <w:jc w:val="center"/>
              <w:rPr>
                <w:rFonts w:ascii="宋体" w:hAnsi="宋体"/>
                <w:sz w:val="18"/>
                <w:szCs w:val="18"/>
              </w:rPr>
            </w:pPr>
          </w:p>
        </w:tc>
      </w:tr>
      <w:tr w14:paraId="1DFE122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14:paraId="71F36505">
            <w:pPr>
              <w:jc w:val="left"/>
              <w:rPr>
                <w:rFonts w:ascii="宋体" w:hAnsi="宋体"/>
                <w:sz w:val="18"/>
                <w:szCs w:val="18"/>
              </w:rPr>
            </w:pPr>
          </w:p>
        </w:tc>
        <w:tc>
          <w:tcPr>
            <w:tcW w:w="1984" w:type="dxa"/>
            <w:gridSpan w:val="2"/>
            <w:tcBorders>
              <w:left w:val="single" w:color="auto" w:sz="4" w:space="0"/>
            </w:tcBorders>
            <w:vAlign w:val="center"/>
          </w:tcPr>
          <w:p w14:paraId="478DC5C8">
            <w:pPr>
              <w:jc w:val="left"/>
              <w:rPr>
                <w:rFonts w:ascii="宋体" w:hAnsi="宋体"/>
                <w:sz w:val="18"/>
                <w:szCs w:val="18"/>
              </w:rPr>
            </w:pPr>
            <w:r>
              <w:rPr>
                <w:rFonts w:hint="eastAsia" w:ascii="宋体" w:hAnsi="宋体"/>
                <w:sz w:val="18"/>
                <w:szCs w:val="18"/>
              </w:rPr>
              <w:t>2疏散门</w:t>
            </w:r>
          </w:p>
        </w:tc>
        <w:tc>
          <w:tcPr>
            <w:tcW w:w="1760" w:type="dxa"/>
            <w:gridSpan w:val="2"/>
            <w:vAlign w:val="center"/>
          </w:tcPr>
          <w:p w14:paraId="5B59B2F2">
            <w:pPr>
              <w:ind w:firstLine="360"/>
              <w:jc w:val="center"/>
              <w:rPr>
                <w:rFonts w:ascii="宋体" w:hAnsi="宋体"/>
                <w:sz w:val="18"/>
                <w:szCs w:val="18"/>
              </w:rPr>
            </w:pPr>
          </w:p>
        </w:tc>
        <w:tc>
          <w:tcPr>
            <w:tcW w:w="1796" w:type="dxa"/>
            <w:gridSpan w:val="2"/>
            <w:vAlign w:val="center"/>
          </w:tcPr>
          <w:p w14:paraId="737A0FA9">
            <w:pPr>
              <w:ind w:firstLine="360"/>
              <w:jc w:val="center"/>
              <w:rPr>
                <w:rFonts w:ascii="宋体" w:hAnsi="宋体"/>
                <w:sz w:val="18"/>
                <w:szCs w:val="18"/>
              </w:rPr>
            </w:pPr>
          </w:p>
        </w:tc>
        <w:tc>
          <w:tcPr>
            <w:tcW w:w="1689" w:type="dxa"/>
            <w:gridSpan w:val="4"/>
            <w:vAlign w:val="center"/>
          </w:tcPr>
          <w:p w14:paraId="12B2CC4C">
            <w:pPr>
              <w:ind w:firstLine="360"/>
              <w:jc w:val="center"/>
              <w:rPr>
                <w:rFonts w:ascii="宋体" w:hAnsi="宋体"/>
                <w:sz w:val="18"/>
                <w:szCs w:val="18"/>
              </w:rPr>
            </w:pPr>
          </w:p>
        </w:tc>
        <w:tc>
          <w:tcPr>
            <w:tcW w:w="1985" w:type="dxa"/>
            <w:vAlign w:val="center"/>
          </w:tcPr>
          <w:p w14:paraId="661DC3AB">
            <w:pPr>
              <w:ind w:firstLine="360"/>
              <w:jc w:val="center"/>
              <w:rPr>
                <w:rFonts w:ascii="宋体" w:hAnsi="宋体"/>
                <w:sz w:val="18"/>
                <w:szCs w:val="18"/>
              </w:rPr>
            </w:pPr>
          </w:p>
        </w:tc>
      </w:tr>
      <w:tr w14:paraId="7B24952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14:paraId="29D9F6E6">
            <w:pPr>
              <w:jc w:val="left"/>
              <w:rPr>
                <w:rFonts w:ascii="宋体" w:hAnsi="宋体"/>
                <w:sz w:val="18"/>
                <w:szCs w:val="18"/>
              </w:rPr>
            </w:pPr>
          </w:p>
        </w:tc>
        <w:tc>
          <w:tcPr>
            <w:tcW w:w="1984" w:type="dxa"/>
            <w:gridSpan w:val="2"/>
            <w:tcBorders>
              <w:left w:val="single" w:color="auto" w:sz="4" w:space="0"/>
            </w:tcBorders>
            <w:vAlign w:val="center"/>
          </w:tcPr>
          <w:p w14:paraId="6D4B1447">
            <w:pPr>
              <w:jc w:val="left"/>
              <w:rPr>
                <w:rFonts w:ascii="宋体" w:hAnsi="宋体"/>
                <w:sz w:val="18"/>
                <w:szCs w:val="18"/>
              </w:rPr>
            </w:pPr>
            <w:r>
              <w:rPr>
                <w:rFonts w:hint="eastAsia" w:ascii="宋体" w:hAnsi="宋体"/>
                <w:sz w:val="18"/>
                <w:szCs w:val="18"/>
              </w:rPr>
              <w:t>3疏散距离</w:t>
            </w:r>
          </w:p>
        </w:tc>
        <w:tc>
          <w:tcPr>
            <w:tcW w:w="1760" w:type="dxa"/>
            <w:gridSpan w:val="2"/>
            <w:vAlign w:val="center"/>
          </w:tcPr>
          <w:p w14:paraId="038E035D">
            <w:pPr>
              <w:ind w:firstLine="360"/>
              <w:jc w:val="center"/>
              <w:rPr>
                <w:rFonts w:ascii="宋体" w:hAnsi="宋体"/>
                <w:sz w:val="18"/>
                <w:szCs w:val="18"/>
              </w:rPr>
            </w:pPr>
          </w:p>
        </w:tc>
        <w:tc>
          <w:tcPr>
            <w:tcW w:w="1796" w:type="dxa"/>
            <w:gridSpan w:val="2"/>
            <w:vAlign w:val="center"/>
          </w:tcPr>
          <w:p w14:paraId="7E4C8A9C">
            <w:pPr>
              <w:ind w:firstLine="360"/>
              <w:jc w:val="center"/>
              <w:rPr>
                <w:rFonts w:ascii="宋体" w:hAnsi="宋体"/>
                <w:sz w:val="18"/>
                <w:szCs w:val="18"/>
              </w:rPr>
            </w:pPr>
          </w:p>
        </w:tc>
        <w:tc>
          <w:tcPr>
            <w:tcW w:w="1689" w:type="dxa"/>
            <w:gridSpan w:val="4"/>
            <w:vAlign w:val="center"/>
          </w:tcPr>
          <w:p w14:paraId="3DCD045B">
            <w:pPr>
              <w:ind w:firstLine="360"/>
              <w:jc w:val="center"/>
              <w:rPr>
                <w:rFonts w:ascii="宋体" w:hAnsi="宋体"/>
                <w:sz w:val="18"/>
                <w:szCs w:val="18"/>
              </w:rPr>
            </w:pPr>
          </w:p>
        </w:tc>
        <w:tc>
          <w:tcPr>
            <w:tcW w:w="1985" w:type="dxa"/>
            <w:vAlign w:val="center"/>
          </w:tcPr>
          <w:p w14:paraId="73FE8818">
            <w:pPr>
              <w:ind w:firstLine="360"/>
              <w:jc w:val="center"/>
              <w:rPr>
                <w:rFonts w:ascii="宋体" w:hAnsi="宋体"/>
                <w:sz w:val="18"/>
                <w:szCs w:val="18"/>
              </w:rPr>
            </w:pPr>
          </w:p>
        </w:tc>
      </w:tr>
      <w:tr w14:paraId="64A57BB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14:paraId="266407DB">
            <w:pPr>
              <w:jc w:val="left"/>
              <w:rPr>
                <w:rFonts w:ascii="宋体" w:hAnsi="宋体"/>
                <w:sz w:val="18"/>
                <w:szCs w:val="18"/>
              </w:rPr>
            </w:pPr>
          </w:p>
        </w:tc>
        <w:tc>
          <w:tcPr>
            <w:tcW w:w="1984" w:type="dxa"/>
            <w:gridSpan w:val="2"/>
            <w:tcBorders>
              <w:left w:val="single" w:color="auto" w:sz="4" w:space="0"/>
            </w:tcBorders>
            <w:vAlign w:val="center"/>
          </w:tcPr>
          <w:p w14:paraId="3FB9487C">
            <w:pPr>
              <w:jc w:val="left"/>
              <w:rPr>
                <w:rFonts w:ascii="宋体" w:hAnsi="宋体"/>
                <w:sz w:val="18"/>
                <w:szCs w:val="18"/>
              </w:rPr>
            </w:pPr>
            <w:r>
              <w:rPr>
                <w:rFonts w:hint="eastAsia" w:ascii="宋体" w:hAnsi="宋体"/>
                <w:sz w:val="18"/>
                <w:szCs w:val="18"/>
              </w:rPr>
              <w:t>4疏散楼梯</w:t>
            </w:r>
          </w:p>
        </w:tc>
        <w:tc>
          <w:tcPr>
            <w:tcW w:w="1760" w:type="dxa"/>
            <w:gridSpan w:val="2"/>
            <w:vAlign w:val="center"/>
          </w:tcPr>
          <w:p w14:paraId="643FE5CE">
            <w:pPr>
              <w:ind w:firstLine="360"/>
              <w:jc w:val="center"/>
              <w:rPr>
                <w:rFonts w:ascii="宋体" w:hAnsi="宋体"/>
                <w:sz w:val="18"/>
                <w:szCs w:val="18"/>
              </w:rPr>
            </w:pPr>
          </w:p>
        </w:tc>
        <w:tc>
          <w:tcPr>
            <w:tcW w:w="1796" w:type="dxa"/>
            <w:gridSpan w:val="2"/>
            <w:vAlign w:val="center"/>
          </w:tcPr>
          <w:p w14:paraId="35236E94">
            <w:pPr>
              <w:ind w:firstLine="360"/>
              <w:jc w:val="center"/>
              <w:rPr>
                <w:rFonts w:ascii="宋体" w:hAnsi="宋体"/>
                <w:sz w:val="18"/>
                <w:szCs w:val="18"/>
              </w:rPr>
            </w:pPr>
          </w:p>
        </w:tc>
        <w:tc>
          <w:tcPr>
            <w:tcW w:w="1689" w:type="dxa"/>
            <w:gridSpan w:val="4"/>
            <w:vAlign w:val="center"/>
          </w:tcPr>
          <w:p w14:paraId="57680561">
            <w:pPr>
              <w:ind w:firstLine="360"/>
              <w:jc w:val="center"/>
              <w:rPr>
                <w:rFonts w:ascii="宋体" w:hAnsi="宋体"/>
                <w:sz w:val="18"/>
                <w:szCs w:val="18"/>
              </w:rPr>
            </w:pPr>
          </w:p>
        </w:tc>
        <w:tc>
          <w:tcPr>
            <w:tcW w:w="1985" w:type="dxa"/>
            <w:vAlign w:val="center"/>
          </w:tcPr>
          <w:p w14:paraId="1389ECA8">
            <w:pPr>
              <w:ind w:firstLine="360"/>
              <w:jc w:val="center"/>
              <w:rPr>
                <w:rFonts w:ascii="宋体" w:hAnsi="宋体"/>
                <w:sz w:val="18"/>
                <w:szCs w:val="18"/>
              </w:rPr>
            </w:pPr>
          </w:p>
        </w:tc>
      </w:tr>
      <w:tr w14:paraId="2B6DF36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14:paraId="4B445C08">
            <w:pPr>
              <w:jc w:val="left"/>
              <w:rPr>
                <w:rFonts w:ascii="宋体" w:hAnsi="宋体"/>
                <w:sz w:val="18"/>
                <w:szCs w:val="18"/>
              </w:rPr>
            </w:pPr>
          </w:p>
        </w:tc>
        <w:tc>
          <w:tcPr>
            <w:tcW w:w="1984" w:type="dxa"/>
            <w:gridSpan w:val="2"/>
            <w:tcBorders>
              <w:left w:val="single" w:color="auto" w:sz="4" w:space="0"/>
            </w:tcBorders>
            <w:vAlign w:val="center"/>
          </w:tcPr>
          <w:p w14:paraId="790F7E98">
            <w:pPr>
              <w:jc w:val="left"/>
              <w:rPr>
                <w:rFonts w:ascii="宋体" w:hAnsi="宋体"/>
                <w:sz w:val="18"/>
                <w:szCs w:val="18"/>
              </w:rPr>
            </w:pPr>
            <w:r>
              <w:rPr>
                <w:rFonts w:hint="eastAsia" w:ascii="宋体" w:hAnsi="宋体"/>
                <w:sz w:val="18"/>
                <w:szCs w:val="18"/>
              </w:rPr>
              <w:t>5疏散走道</w:t>
            </w:r>
          </w:p>
        </w:tc>
        <w:tc>
          <w:tcPr>
            <w:tcW w:w="1760" w:type="dxa"/>
            <w:gridSpan w:val="2"/>
            <w:vAlign w:val="center"/>
          </w:tcPr>
          <w:p w14:paraId="4F0F980B">
            <w:pPr>
              <w:ind w:firstLine="360"/>
              <w:jc w:val="center"/>
              <w:rPr>
                <w:rFonts w:ascii="宋体" w:hAnsi="宋体"/>
                <w:sz w:val="18"/>
                <w:szCs w:val="18"/>
              </w:rPr>
            </w:pPr>
          </w:p>
        </w:tc>
        <w:tc>
          <w:tcPr>
            <w:tcW w:w="1796" w:type="dxa"/>
            <w:gridSpan w:val="2"/>
            <w:vAlign w:val="center"/>
          </w:tcPr>
          <w:p w14:paraId="46AA7263">
            <w:pPr>
              <w:ind w:firstLine="360"/>
              <w:jc w:val="center"/>
              <w:rPr>
                <w:rFonts w:ascii="宋体" w:hAnsi="宋体"/>
                <w:sz w:val="18"/>
                <w:szCs w:val="18"/>
              </w:rPr>
            </w:pPr>
          </w:p>
        </w:tc>
        <w:tc>
          <w:tcPr>
            <w:tcW w:w="1689" w:type="dxa"/>
            <w:gridSpan w:val="4"/>
            <w:vAlign w:val="center"/>
          </w:tcPr>
          <w:p w14:paraId="67F6E6B6">
            <w:pPr>
              <w:ind w:firstLine="360"/>
              <w:jc w:val="center"/>
              <w:rPr>
                <w:rFonts w:ascii="宋体" w:hAnsi="宋体"/>
                <w:sz w:val="18"/>
                <w:szCs w:val="18"/>
              </w:rPr>
            </w:pPr>
          </w:p>
        </w:tc>
        <w:tc>
          <w:tcPr>
            <w:tcW w:w="1985" w:type="dxa"/>
            <w:vAlign w:val="center"/>
          </w:tcPr>
          <w:p w14:paraId="35AFE648">
            <w:pPr>
              <w:ind w:firstLine="360"/>
              <w:jc w:val="center"/>
              <w:rPr>
                <w:rFonts w:ascii="宋体" w:hAnsi="宋体"/>
                <w:sz w:val="18"/>
                <w:szCs w:val="18"/>
              </w:rPr>
            </w:pPr>
          </w:p>
        </w:tc>
      </w:tr>
      <w:tr w14:paraId="4BCC233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14:paraId="27AA6298">
            <w:pPr>
              <w:jc w:val="left"/>
              <w:rPr>
                <w:rFonts w:ascii="宋体" w:hAnsi="宋体"/>
                <w:sz w:val="18"/>
                <w:szCs w:val="18"/>
              </w:rPr>
            </w:pPr>
          </w:p>
        </w:tc>
        <w:tc>
          <w:tcPr>
            <w:tcW w:w="1984" w:type="dxa"/>
            <w:gridSpan w:val="2"/>
            <w:tcBorders>
              <w:left w:val="single" w:color="auto" w:sz="4" w:space="0"/>
            </w:tcBorders>
            <w:vAlign w:val="center"/>
          </w:tcPr>
          <w:p w14:paraId="578C4EA4">
            <w:pPr>
              <w:jc w:val="left"/>
              <w:rPr>
                <w:rFonts w:ascii="宋体" w:hAnsi="宋体"/>
                <w:sz w:val="18"/>
                <w:szCs w:val="18"/>
              </w:rPr>
            </w:pPr>
            <w:r>
              <w:rPr>
                <w:rFonts w:hint="eastAsia" w:ascii="宋体" w:hAnsi="宋体"/>
                <w:sz w:val="18"/>
                <w:szCs w:val="18"/>
              </w:rPr>
              <w:t>6避难层</w:t>
            </w:r>
          </w:p>
        </w:tc>
        <w:tc>
          <w:tcPr>
            <w:tcW w:w="1760" w:type="dxa"/>
            <w:gridSpan w:val="2"/>
            <w:vAlign w:val="center"/>
          </w:tcPr>
          <w:p w14:paraId="7FAD67FA">
            <w:pPr>
              <w:ind w:firstLine="360"/>
              <w:jc w:val="center"/>
              <w:rPr>
                <w:rFonts w:ascii="宋体" w:hAnsi="宋体"/>
                <w:sz w:val="18"/>
                <w:szCs w:val="18"/>
              </w:rPr>
            </w:pPr>
          </w:p>
        </w:tc>
        <w:tc>
          <w:tcPr>
            <w:tcW w:w="1796" w:type="dxa"/>
            <w:gridSpan w:val="2"/>
            <w:vAlign w:val="center"/>
          </w:tcPr>
          <w:p w14:paraId="0DEB2A5A">
            <w:pPr>
              <w:ind w:firstLine="360"/>
              <w:jc w:val="center"/>
              <w:rPr>
                <w:rFonts w:ascii="宋体" w:hAnsi="宋体"/>
                <w:sz w:val="18"/>
                <w:szCs w:val="18"/>
              </w:rPr>
            </w:pPr>
          </w:p>
        </w:tc>
        <w:tc>
          <w:tcPr>
            <w:tcW w:w="1689" w:type="dxa"/>
            <w:gridSpan w:val="4"/>
            <w:vAlign w:val="center"/>
          </w:tcPr>
          <w:p w14:paraId="59B201D6">
            <w:pPr>
              <w:ind w:firstLine="360"/>
              <w:jc w:val="center"/>
              <w:rPr>
                <w:rFonts w:ascii="宋体" w:hAnsi="宋体"/>
                <w:sz w:val="18"/>
                <w:szCs w:val="18"/>
              </w:rPr>
            </w:pPr>
          </w:p>
        </w:tc>
        <w:tc>
          <w:tcPr>
            <w:tcW w:w="1985" w:type="dxa"/>
            <w:vAlign w:val="center"/>
          </w:tcPr>
          <w:p w14:paraId="477F9477">
            <w:pPr>
              <w:ind w:firstLine="360"/>
              <w:jc w:val="center"/>
              <w:rPr>
                <w:rFonts w:ascii="宋体" w:hAnsi="宋体"/>
                <w:sz w:val="18"/>
                <w:szCs w:val="18"/>
              </w:rPr>
            </w:pPr>
          </w:p>
        </w:tc>
      </w:tr>
      <w:tr w14:paraId="1F749E5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14:paraId="409C50D4">
            <w:pPr>
              <w:jc w:val="left"/>
              <w:rPr>
                <w:rFonts w:ascii="宋体" w:hAnsi="宋体"/>
                <w:sz w:val="18"/>
                <w:szCs w:val="18"/>
              </w:rPr>
            </w:pPr>
          </w:p>
        </w:tc>
        <w:tc>
          <w:tcPr>
            <w:tcW w:w="1984" w:type="dxa"/>
            <w:gridSpan w:val="2"/>
            <w:tcBorders>
              <w:left w:val="single" w:color="auto" w:sz="4" w:space="0"/>
            </w:tcBorders>
            <w:vAlign w:val="center"/>
          </w:tcPr>
          <w:p w14:paraId="793887C5">
            <w:pPr>
              <w:jc w:val="left"/>
              <w:rPr>
                <w:rFonts w:ascii="宋体" w:hAnsi="宋体"/>
                <w:sz w:val="18"/>
                <w:szCs w:val="18"/>
              </w:rPr>
            </w:pPr>
            <w:r>
              <w:rPr>
                <w:rFonts w:hint="eastAsia" w:ascii="宋体" w:hAnsi="宋体"/>
                <w:sz w:val="18"/>
                <w:szCs w:val="18"/>
              </w:rPr>
              <w:t>7用于防火分隔的下沉庭院</w:t>
            </w:r>
          </w:p>
        </w:tc>
        <w:tc>
          <w:tcPr>
            <w:tcW w:w="1760" w:type="dxa"/>
            <w:gridSpan w:val="2"/>
            <w:vAlign w:val="center"/>
          </w:tcPr>
          <w:p w14:paraId="6D3C3AAA">
            <w:pPr>
              <w:ind w:firstLine="360"/>
              <w:jc w:val="center"/>
              <w:rPr>
                <w:rFonts w:ascii="宋体" w:hAnsi="宋体"/>
                <w:sz w:val="18"/>
                <w:szCs w:val="18"/>
              </w:rPr>
            </w:pPr>
          </w:p>
        </w:tc>
        <w:tc>
          <w:tcPr>
            <w:tcW w:w="1796" w:type="dxa"/>
            <w:gridSpan w:val="2"/>
            <w:vAlign w:val="center"/>
          </w:tcPr>
          <w:p w14:paraId="022A4F52">
            <w:pPr>
              <w:ind w:firstLine="360"/>
              <w:jc w:val="center"/>
              <w:rPr>
                <w:rFonts w:ascii="宋体" w:hAnsi="宋体"/>
                <w:sz w:val="18"/>
                <w:szCs w:val="18"/>
              </w:rPr>
            </w:pPr>
          </w:p>
        </w:tc>
        <w:tc>
          <w:tcPr>
            <w:tcW w:w="1689" w:type="dxa"/>
            <w:gridSpan w:val="4"/>
            <w:vAlign w:val="center"/>
          </w:tcPr>
          <w:p w14:paraId="5BA22557">
            <w:pPr>
              <w:ind w:firstLine="360"/>
              <w:jc w:val="center"/>
              <w:rPr>
                <w:rFonts w:ascii="宋体" w:hAnsi="宋体"/>
                <w:sz w:val="18"/>
                <w:szCs w:val="18"/>
              </w:rPr>
            </w:pPr>
          </w:p>
        </w:tc>
        <w:tc>
          <w:tcPr>
            <w:tcW w:w="1985" w:type="dxa"/>
            <w:vAlign w:val="center"/>
          </w:tcPr>
          <w:p w14:paraId="1B552CA9">
            <w:pPr>
              <w:ind w:firstLine="360"/>
              <w:jc w:val="center"/>
              <w:rPr>
                <w:rFonts w:ascii="宋体" w:hAnsi="宋体"/>
                <w:sz w:val="18"/>
                <w:szCs w:val="18"/>
              </w:rPr>
            </w:pPr>
          </w:p>
        </w:tc>
      </w:tr>
      <w:tr w14:paraId="16A8B58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14:paraId="2572EBDF">
            <w:pPr>
              <w:jc w:val="left"/>
              <w:rPr>
                <w:rFonts w:ascii="宋体" w:hAnsi="宋体"/>
                <w:sz w:val="18"/>
                <w:szCs w:val="18"/>
              </w:rPr>
            </w:pPr>
          </w:p>
        </w:tc>
        <w:tc>
          <w:tcPr>
            <w:tcW w:w="1984" w:type="dxa"/>
            <w:gridSpan w:val="2"/>
            <w:tcBorders>
              <w:left w:val="single" w:color="auto" w:sz="4" w:space="0"/>
            </w:tcBorders>
            <w:vAlign w:val="center"/>
          </w:tcPr>
          <w:p w14:paraId="24DBAFF1">
            <w:pPr>
              <w:jc w:val="left"/>
              <w:rPr>
                <w:rFonts w:ascii="宋体" w:hAnsi="宋体"/>
                <w:sz w:val="18"/>
                <w:szCs w:val="18"/>
              </w:rPr>
            </w:pPr>
            <w:r>
              <w:rPr>
                <w:rFonts w:hint="eastAsia" w:ascii="宋体" w:hAnsi="宋体"/>
                <w:sz w:val="18"/>
                <w:szCs w:val="18"/>
              </w:rPr>
              <w:t>8消防电梯</w:t>
            </w:r>
          </w:p>
        </w:tc>
        <w:tc>
          <w:tcPr>
            <w:tcW w:w="1760" w:type="dxa"/>
            <w:gridSpan w:val="2"/>
            <w:vAlign w:val="center"/>
          </w:tcPr>
          <w:p w14:paraId="7A19371B">
            <w:pPr>
              <w:ind w:firstLine="360"/>
              <w:jc w:val="center"/>
              <w:rPr>
                <w:rFonts w:ascii="宋体" w:hAnsi="宋体"/>
                <w:sz w:val="18"/>
                <w:szCs w:val="18"/>
              </w:rPr>
            </w:pPr>
          </w:p>
        </w:tc>
        <w:tc>
          <w:tcPr>
            <w:tcW w:w="1796" w:type="dxa"/>
            <w:gridSpan w:val="2"/>
            <w:vAlign w:val="center"/>
          </w:tcPr>
          <w:p w14:paraId="77386E8A">
            <w:pPr>
              <w:ind w:firstLine="360"/>
              <w:jc w:val="center"/>
              <w:rPr>
                <w:rFonts w:ascii="宋体" w:hAnsi="宋体"/>
                <w:sz w:val="18"/>
                <w:szCs w:val="18"/>
              </w:rPr>
            </w:pPr>
          </w:p>
        </w:tc>
        <w:tc>
          <w:tcPr>
            <w:tcW w:w="1689" w:type="dxa"/>
            <w:gridSpan w:val="4"/>
            <w:vAlign w:val="center"/>
          </w:tcPr>
          <w:p w14:paraId="413248C0">
            <w:pPr>
              <w:ind w:firstLine="360"/>
              <w:jc w:val="center"/>
              <w:rPr>
                <w:rFonts w:ascii="宋体" w:hAnsi="宋体"/>
                <w:sz w:val="18"/>
                <w:szCs w:val="18"/>
              </w:rPr>
            </w:pPr>
          </w:p>
        </w:tc>
        <w:tc>
          <w:tcPr>
            <w:tcW w:w="1985" w:type="dxa"/>
            <w:vAlign w:val="center"/>
          </w:tcPr>
          <w:p w14:paraId="67EB0A74">
            <w:pPr>
              <w:ind w:firstLine="360"/>
              <w:jc w:val="center"/>
              <w:rPr>
                <w:rFonts w:ascii="宋体" w:hAnsi="宋体"/>
                <w:sz w:val="18"/>
                <w:szCs w:val="18"/>
              </w:rPr>
            </w:pPr>
          </w:p>
        </w:tc>
      </w:tr>
      <w:tr w14:paraId="1E3593C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14:paraId="351405F9">
            <w:pPr>
              <w:jc w:val="left"/>
              <w:rPr>
                <w:rFonts w:ascii="宋体" w:hAnsi="宋体"/>
                <w:sz w:val="18"/>
                <w:szCs w:val="18"/>
              </w:rPr>
            </w:pPr>
          </w:p>
        </w:tc>
        <w:tc>
          <w:tcPr>
            <w:tcW w:w="1984" w:type="dxa"/>
            <w:gridSpan w:val="2"/>
            <w:tcBorders>
              <w:left w:val="single" w:color="auto" w:sz="4" w:space="0"/>
            </w:tcBorders>
            <w:vAlign w:val="center"/>
          </w:tcPr>
          <w:p w14:paraId="74992FDD">
            <w:pPr>
              <w:jc w:val="left"/>
              <w:rPr>
                <w:rFonts w:ascii="宋体" w:hAnsi="宋体"/>
                <w:sz w:val="18"/>
                <w:szCs w:val="18"/>
              </w:rPr>
            </w:pPr>
            <w:r>
              <w:rPr>
                <w:rFonts w:hint="eastAsia" w:ascii="宋体" w:hAnsi="宋体"/>
                <w:sz w:val="18"/>
                <w:szCs w:val="18"/>
              </w:rPr>
              <w:t>9消防救援窗</w:t>
            </w:r>
          </w:p>
        </w:tc>
        <w:tc>
          <w:tcPr>
            <w:tcW w:w="1760" w:type="dxa"/>
            <w:gridSpan w:val="2"/>
            <w:vAlign w:val="center"/>
          </w:tcPr>
          <w:p w14:paraId="364C5D87">
            <w:pPr>
              <w:ind w:firstLine="360"/>
              <w:jc w:val="center"/>
              <w:rPr>
                <w:rFonts w:ascii="宋体" w:hAnsi="宋体"/>
                <w:sz w:val="18"/>
                <w:szCs w:val="18"/>
              </w:rPr>
            </w:pPr>
          </w:p>
        </w:tc>
        <w:tc>
          <w:tcPr>
            <w:tcW w:w="1796" w:type="dxa"/>
            <w:gridSpan w:val="2"/>
            <w:vAlign w:val="center"/>
          </w:tcPr>
          <w:p w14:paraId="0A172AF5">
            <w:pPr>
              <w:ind w:firstLine="360"/>
              <w:jc w:val="center"/>
              <w:rPr>
                <w:rFonts w:ascii="宋体" w:hAnsi="宋体"/>
                <w:sz w:val="18"/>
                <w:szCs w:val="18"/>
              </w:rPr>
            </w:pPr>
          </w:p>
        </w:tc>
        <w:tc>
          <w:tcPr>
            <w:tcW w:w="1689" w:type="dxa"/>
            <w:gridSpan w:val="4"/>
            <w:vAlign w:val="center"/>
          </w:tcPr>
          <w:p w14:paraId="3C6A94A1">
            <w:pPr>
              <w:ind w:firstLine="360"/>
              <w:jc w:val="center"/>
              <w:rPr>
                <w:rFonts w:ascii="宋体" w:hAnsi="宋体"/>
                <w:sz w:val="18"/>
                <w:szCs w:val="18"/>
              </w:rPr>
            </w:pPr>
          </w:p>
        </w:tc>
        <w:tc>
          <w:tcPr>
            <w:tcW w:w="1985" w:type="dxa"/>
            <w:vAlign w:val="center"/>
          </w:tcPr>
          <w:p w14:paraId="2DEBE1A1">
            <w:pPr>
              <w:ind w:firstLine="360"/>
              <w:jc w:val="center"/>
              <w:rPr>
                <w:rFonts w:ascii="宋体" w:hAnsi="宋体"/>
                <w:sz w:val="18"/>
                <w:szCs w:val="18"/>
              </w:rPr>
            </w:pPr>
          </w:p>
        </w:tc>
      </w:tr>
      <w:tr w14:paraId="471FE23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14:paraId="5B469505">
            <w:pPr>
              <w:jc w:val="left"/>
              <w:rPr>
                <w:rFonts w:ascii="宋体" w:hAnsi="宋体"/>
                <w:sz w:val="18"/>
                <w:szCs w:val="18"/>
              </w:rPr>
            </w:pPr>
          </w:p>
        </w:tc>
        <w:tc>
          <w:tcPr>
            <w:tcW w:w="1984" w:type="dxa"/>
            <w:gridSpan w:val="2"/>
            <w:tcBorders>
              <w:left w:val="single" w:color="auto" w:sz="4" w:space="0"/>
            </w:tcBorders>
            <w:vAlign w:val="center"/>
          </w:tcPr>
          <w:p w14:paraId="6A46E9CB">
            <w:pPr>
              <w:jc w:val="left"/>
              <w:rPr>
                <w:rFonts w:ascii="宋体" w:hAnsi="宋体"/>
                <w:sz w:val="18"/>
                <w:szCs w:val="18"/>
              </w:rPr>
            </w:pPr>
            <w:r>
              <w:rPr>
                <w:rFonts w:hint="eastAsia" w:ascii="宋体" w:hAnsi="宋体"/>
                <w:sz w:val="18"/>
                <w:szCs w:val="18"/>
              </w:rPr>
              <w:t>10防烟楼梯间顶部应急排烟窗</w:t>
            </w:r>
          </w:p>
        </w:tc>
        <w:tc>
          <w:tcPr>
            <w:tcW w:w="1760" w:type="dxa"/>
            <w:gridSpan w:val="2"/>
            <w:vAlign w:val="center"/>
          </w:tcPr>
          <w:p w14:paraId="0F840239">
            <w:pPr>
              <w:ind w:firstLine="360"/>
              <w:jc w:val="center"/>
              <w:rPr>
                <w:rFonts w:ascii="宋体" w:hAnsi="宋体"/>
                <w:sz w:val="18"/>
                <w:szCs w:val="18"/>
              </w:rPr>
            </w:pPr>
          </w:p>
        </w:tc>
        <w:tc>
          <w:tcPr>
            <w:tcW w:w="1796" w:type="dxa"/>
            <w:gridSpan w:val="2"/>
            <w:vAlign w:val="center"/>
          </w:tcPr>
          <w:p w14:paraId="5D3F9960">
            <w:pPr>
              <w:ind w:firstLine="360"/>
              <w:jc w:val="center"/>
              <w:rPr>
                <w:rFonts w:ascii="宋体" w:hAnsi="宋体"/>
                <w:sz w:val="18"/>
                <w:szCs w:val="18"/>
              </w:rPr>
            </w:pPr>
          </w:p>
        </w:tc>
        <w:tc>
          <w:tcPr>
            <w:tcW w:w="1689" w:type="dxa"/>
            <w:gridSpan w:val="4"/>
            <w:vAlign w:val="center"/>
          </w:tcPr>
          <w:p w14:paraId="58BE147C">
            <w:pPr>
              <w:ind w:firstLine="360"/>
              <w:jc w:val="center"/>
              <w:rPr>
                <w:rFonts w:ascii="宋体" w:hAnsi="宋体"/>
                <w:sz w:val="18"/>
                <w:szCs w:val="18"/>
              </w:rPr>
            </w:pPr>
          </w:p>
        </w:tc>
        <w:tc>
          <w:tcPr>
            <w:tcW w:w="1985" w:type="dxa"/>
            <w:vAlign w:val="center"/>
          </w:tcPr>
          <w:p w14:paraId="1F23D200">
            <w:pPr>
              <w:ind w:firstLine="360"/>
              <w:jc w:val="center"/>
              <w:rPr>
                <w:rFonts w:ascii="宋体" w:hAnsi="宋体"/>
                <w:sz w:val="18"/>
                <w:szCs w:val="18"/>
              </w:rPr>
            </w:pPr>
          </w:p>
        </w:tc>
      </w:tr>
      <w:tr w14:paraId="3EDC954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restart"/>
            <w:tcBorders>
              <w:right w:val="single" w:color="auto" w:sz="4" w:space="0"/>
            </w:tcBorders>
            <w:vAlign w:val="center"/>
          </w:tcPr>
          <w:p w14:paraId="21704D92">
            <w:pPr>
              <w:rPr>
                <w:rFonts w:ascii="宋体" w:hAnsi="宋体"/>
                <w:sz w:val="18"/>
                <w:szCs w:val="18"/>
              </w:rPr>
            </w:pPr>
            <w:r>
              <w:rPr>
                <w:rFonts w:hint="eastAsia" w:ascii="宋体" w:hAnsi="宋体"/>
                <w:sz w:val="18"/>
                <w:szCs w:val="18"/>
              </w:rPr>
              <w:t>6</w:t>
            </w:r>
          </w:p>
          <w:p w14:paraId="3790F890">
            <w:pPr>
              <w:rPr>
                <w:rFonts w:ascii="宋体" w:hAnsi="宋体"/>
                <w:sz w:val="18"/>
                <w:szCs w:val="18"/>
              </w:rPr>
            </w:pPr>
            <w:r>
              <w:rPr>
                <w:rFonts w:hint="eastAsia" w:ascii="宋体" w:hAnsi="宋体"/>
                <w:sz w:val="18"/>
                <w:szCs w:val="18"/>
              </w:rPr>
              <w:t>内部装修</w:t>
            </w:r>
          </w:p>
        </w:tc>
        <w:tc>
          <w:tcPr>
            <w:tcW w:w="1984" w:type="dxa"/>
            <w:gridSpan w:val="2"/>
            <w:tcBorders>
              <w:left w:val="single" w:color="auto" w:sz="4" w:space="0"/>
            </w:tcBorders>
            <w:vAlign w:val="center"/>
          </w:tcPr>
          <w:p w14:paraId="2BE6FE1D">
            <w:pPr>
              <w:rPr>
                <w:rFonts w:ascii="宋体" w:hAnsi="宋体"/>
                <w:sz w:val="18"/>
                <w:szCs w:val="18"/>
              </w:rPr>
            </w:pPr>
            <w:r>
              <w:rPr>
                <w:rFonts w:hint="eastAsia" w:ascii="宋体" w:hAnsi="宋体"/>
                <w:sz w:val="18"/>
                <w:szCs w:val="18"/>
              </w:rPr>
              <w:t>1装修材料（顶棚、墙面、地面等）</w:t>
            </w:r>
          </w:p>
        </w:tc>
        <w:tc>
          <w:tcPr>
            <w:tcW w:w="1760" w:type="dxa"/>
            <w:gridSpan w:val="2"/>
            <w:vAlign w:val="center"/>
          </w:tcPr>
          <w:p w14:paraId="082B3130">
            <w:pPr>
              <w:ind w:firstLine="360"/>
              <w:jc w:val="center"/>
              <w:rPr>
                <w:rFonts w:ascii="宋体" w:hAnsi="宋体"/>
                <w:sz w:val="18"/>
                <w:szCs w:val="18"/>
              </w:rPr>
            </w:pPr>
          </w:p>
        </w:tc>
        <w:tc>
          <w:tcPr>
            <w:tcW w:w="1796" w:type="dxa"/>
            <w:gridSpan w:val="2"/>
            <w:vAlign w:val="center"/>
          </w:tcPr>
          <w:p w14:paraId="6027FC9D">
            <w:pPr>
              <w:ind w:firstLine="360"/>
              <w:jc w:val="center"/>
              <w:rPr>
                <w:rFonts w:ascii="宋体" w:hAnsi="宋体"/>
                <w:sz w:val="18"/>
                <w:szCs w:val="18"/>
              </w:rPr>
            </w:pPr>
          </w:p>
        </w:tc>
        <w:tc>
          <w:tcPr>
            <w:tcW w:w="1689" w:type="dxa"/>
            <w:gridSpan w:val="4"/>
            <w:vAlign w:val="center"/>
          </w:tcPr>
          <w:p w14:paraId="4F4245DE">
            <w:pPr>
              <w:ind w:firstLine="360"/>
              <w:jc w:val="center"/>
              <w:rPr>
                <w:rFonts w:ascii="宋体" w:hAnsi="宋体"/>
                <w:sz w:val="18"/>
                <w:szCs w:val="18"/>
              </w:rPr>
            </w:pPr>
          </w:p>
        </w:tc>
        <w:tc>
          <w:tcPr>
            <w:tcW w:w="1985" w:type="dxa"/>
            <w:vAlign w:val="center"/>
          </w:tcPr>
          <w:p w14:paraId="394ED282">
            <w:pPr>
              <w:ind w:firstLine="360"/>
              <w:jc w:val="center"/>
              <w:rPr>
                <w:rFonts w:ascii="宋体" w:hAnsi="宋体"/>
                <w:sz w:val="18"/>
                <w:szCs w:val="18"/>
              </w:rPr>
            </w:pPr>
          </w:p>
        </w:tc>
      </w:tr>
      <w:tr w14:paraId="59BD48F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14:paraId="1FE77D6B">
            <w:pPr>
              <w:rPr>
                <w:rFonts w:ascii="宋体" w:hAnsi="宋体"/>
                <w:sz w:val="18"/>
                <w:szCs w:val="18"/>
              </w:rPr>
            </w:pPr>
          </w:p>
        </w:tc>
        <w:tc>
          <w:tcPr>
            <w:tcW w:w="1984" w:type="dxa"/>
            <w:gridSpan w:val="2"/>
            <w:tcBorders>
              <w:left w:val="single" w:color="auto" w:sz="4" w:space="0"/>
            </w:tcBorders>
            <w:vAlign w:val="center"/>
          </w:tcPr>
          <w:p w14:paraId="38EE1AB1">
            <w:pPr>
              <w:rPr>
                <w:rFonts w:ascii="宋体" w:hAnsi="宋体"/>
                <w:sz w:val="18"/>
                <w:szCs w:val="18"/>
              </w:rPr>
            </w:pPr>
            <w:r>
              <w:rPr>
                <w:rFonts w:hint="eastAsia" w:ascii="宋体" w:hAnsi="宋体"/>
                <w:sz w:val="18"/>
                <w:szCs w:val="18"/>
              </w:rPr>
              <w:t>2装修对消火栓、自动喷水灭火系统等消防设施的影响</w:t>
            </w:r>
          </w:p>
        </w:tc>
        <w:tc>
          <w:tcPr>
            <w:tcW w:w="1760" w:type="dxa"/>
            <w:gridSpan w:val="2"/>
            <w:vAlign w:val="center"/>
          </w:tcPr>
          <w:p w14:paraId="0B77277A">
            <w:pPr>
              <w:ind w:firstLine="360"/>
              <w:jc w:val="center"/>
              <w:rPr>
                <w:rFonts w:ascii="宋体" w:hAnsi="宋体"/>
                <w:sz w:val="18"/>
                <w:szCs w:val="18"/>
              </w:rPr>
            </w:pPr>
          </w:p>
        </w:tc>
        <w:tc>
          <w:tcPr>
            <w:tcW w:w="1796" w:type="dxa"/>
            <w:gridSpan w:val="2"/>
            <w:vAlign w:val="center"/>
          </w:tcPr>
          <w:p w14:paraId="32A57342">
            <w:pPr>
              <w:ind w:firstLine="360"/>
              <w:jc w:val="center"/>
              <w:rPr>
                <w:rFonts w:ascii="宋体" w:hAnsi="宋体"/>
                <w:sz w:val="18"/>
                <w:szCs w:val="18"/>
              </w:rPr>
            </w:pPr>
          </w:p>
        </w:tc>
        <w:tc>
          <w:tcPr>
            <w:tcW w:w="1689" w:type="dxa"/>
            <w:gridSpan w:val="4"/>
            <w:vAlign w:val="center"/>
          </w:tcPr>
          <w:p w14:paraId="618B7B02">
            <w:pPr>
              <w:ind w:firstLine="360"/>
              <w:jc w:val="center"/>
              <w:rPr>
                <w:rFonts w:ascii="宋体" w:hAnsi="宋体"/>
                <w:sz w:val="18"/>
                <w:szCs w:val="18"/>
              </w:rPr>
            </w:pPr>
          </w:p>
        </w:tc>
        <w:tc>
          <w:tcPr>
            <w:tcW w:w="1985" w:type="dxa"/>
            <w:vAlign w:val="center"/>
          </w:tcPr>
          <w:p w14:paraId="75B0FD98">
            <w:pPr>
              <w:ind w:firstLine="360"/>
              <w:jc w:val="center"/>
              <w:rPr>
                <w:rFonts w:ascii="宋体" w:hAnsi="宋体"/>
                <w:sz w:val="18"/>
                <w:szCs w:val="18"/>
              </w:rPr>
            </w:pPr>
          </w:p>
        </w:tc>
      </w:tr>
      <w:tr w14:paraId="2E96A27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restart"/>
            <w:tcBorders>
              <w:right w:val="single" w:color="auto" w:sz="4" w:space="0"/>
            </w:tcBorders>
            <w:vAlign w:val="center"/>
          </w:tcPr>
          <w:p w14:paraId="68D82266">
            <w:pPr>
              <w:rPr>
                <w:rFonts w:ascii="宋体" w:hAnsi="宋体"/>
                <w:sz w:val="18"/>
                <w:szCs w:val="18"/>
              </w:rPr>
            </w:pPr>
            <w:r>
              <w:rPr>
                <w:rFonts w:hint="eastAsia" w:ascii="宋体" w:hAnsi="宋体"/>
                <w:sz w:val="18"/>
                <w:szCs w:val="18"/>
              </w:rPr>
              <w:t>7</w:t>
            </w:r>
          </w:p>
          <w:p w14:paraId="698505E9">
            <w:pPr>
              <w:rPr>
                <w:rFonts w:ascii="宋体" w:hAnsi="宋体"/>
                <w:sz w:val="18"/>
                <w:szCs w:val="18"/>
              </w:rPr>
            </w:pPr>
            <w:r>
              <w:rPr>
                <w:rFonts w:hint="eastAsia" w:ascii="宋体" w:hAnsi="宋体"/>
                <w:sz w:val="18"/>
                <w:szCs w:val="18"/>
              </w:rPr>
              <w:t>防火构造</w:t>
            </w:r>
          </w:p>
        </w:tc>
        <w:tc>
          <w:tcPr>
            <w:tcW w:w="1984" w:type="dxa"/>
            <w:gridSpan w:val="2"/>
            <w:tcBorders>
              <w:left w:val="single" w:color="auto" w:sz="4" w:space="0"/>
            </w:tcBorders>
            <w:vAlign w:val="center"/>
          </w:tcPr>
          <w:p w14:paraId="2A1ABEE4">
            <w:pPr>
              <w:rPr>
                <w:rFonts w:ascii="宋体" w:hAnsi="宋体"/>
                <w:sz w:val="18"/>
                <w:szCs w:val="18"/>
              </w:rPr>
            </w:pPr>
            <w:r>
              <w:rPr>
                <w:rFonts w:hint="eastAsia" w:ascii="宋体" w:hAnsi="宋体"/>
                <w:sz w:val="18"/>
                <w:szCs w:val="18"/>
              </w:rPr>
              <w:t>1防火墙、房间隔墙、疏散走道隔墙</w:t>
            </w:r>
          </w:p>
        </w:tc>
        <w:tc>
          <w:tcPr>
            <w:tcW w:w="1760" w:type="dxa"/>
            <w:gridSpan w:val="2"/>
            <w:vAlign w:val="center"/>
          </w:tcPr>
          <w:p w14:paraId="4F7FCCD6">
            <w:pPr>
              <w:ind w:firstLine="360"/>
              <w:jc w:val="center"/>
              <w:rPr>
                <w:rFonts w:ascii="宋体" w:hAnsi="宋体"/>
                <w:sz w:val="18"/>
                <w:szCs w:val="18"/>
              </w:rPr>
            </w:pPr>
          </w:p>
        </w:tc>
        <w:tc>
          <w:tcPr>
            <w:tcW w:w="1796" w:type="dxa"/>
            <w:gridSpan w:val="2"/>
            <w:vAlign w:val="center"/>
          </w:tcPr>
          <w:p w14:paraId="4647D424">
            <w:pPr>
              <w:ind w:firstLine="360"/>
              <w:jc w:val="center"/>
              <w:rPr>
                <w:rFonts w:ascii="宋体" w:hAnsi="宋体"/>
                <w:sz w:val="18"/>
                <w:szCs w:val="18"/>
              </w:rPr>
            </w:pPr>
          </w:p>
        </w:tc>
        <w:tc>
          <w:tcPr>
            <w:tcW w:w="1689" w:type="dxa"/>
            <w:gridSpan w:val="4"/>
            <w:vAlign w:val="center"/>
          </w:tcPr>
          <w:p w14:paraId="21A660E1">
            <w:pPr>
              <w:ind w:firstLine="360"/>
              <w:jc w:val="center"/>
              <w:rPr>
                <w:rFonts w:ascii="宋体" w:hAnsi="宋体"/>
                <w:sz w:val="18"/>
                <w:szCs w:val="18"/>
              </w:rPr>
            </w:pPr>
          </w:p>
        </w:tc>
        <w:tc>
          <w:tcPr>
            <w:tcW w:w="1985" w:type="dxa"/>
            <w:vAlign w:val="center"/>
          </w:tcPr>
          <w:p w14:paraId="154335B7">
            <w:pPr>
              <w:ind w:firstLine="360"/>
              <w:jc w:val="center"/>
              <w:rPr>
                <w:rFonts w:ascii="宋体" w:hAnsi="宋体"/>
                <w:sz w:val="18"/>
                <w:szCs w:val="18"/>
              </w:rPr>
            </w:pPr>
          </w:p>
        </w:tc>
      </w:tr>
      <w:tr w14:paraId="3AA1E47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14:paraId="4C20D012">
            <w:pPr>
              <w:rPr>
                <w:rFonts w:ascii="宋体" w:hAnsi="宋体"/>
                <w:sz w:val="18"/>
                <w:szCs w:val="18"/>
              </w:rPr>
            </w:pPr>
          </w:p>
        </w:tc>
        <w:tc>
          <w:tcPr>
            <w:tcW w:w="1984" w:type="dxa"/>
            <w:gridSpan w:val="2"/>
            <w:tcBorders>
              <w:left w:val="single" w:color="auto" w:sz="4" w:space="0"/>
            </w:tcBorders>
            <w:vAlign w:val="center"/>
          </w:tcPr>
          <w:p w14:paraId="7673E3E6">
            <w:pPr>
              <w:rPr>
                <w:rFonts w:ascii="宋体" w:hAnsi="宋体"/>
                <w:sz w:val="18"/>
                <w:szCs w:val="18"/>
              </w:rPr>
            </w:pPr>
            <w:r>
              <w:rPr>
                <w:rFonts w:hint="eastAsia" w:ascii="宋体" w:hAnsi="宋体"/>
                <w:sz w:val="18"/>
                <w:szCs w:val="18"/>
              </w:rPr>
              <w:t>2管道穿防火墙</w:t>
            </w:r>
          </w:p>
        </w:tc>
        <w:tc>
          <w:tcPr>
            <w:tcW w:w="1760" w:type="dxa"/>
            <w:gridSpan w:val="2"/>
            <w:vAlign w:val="center"/>
          </w:tcPr>
          <w:p w14:paraId="5FC6CF9F">
            <w:pPr>
              <w:ind w:firstLine="360"/>
              <w:jc w:val="center"/>
              <w:rPr>
                <w:rFonts w:ascii="宋体" w:hAnsi="宋体"/>
                <w:sz w:val="18"/>
                <w:szCs w:val="18"/>
              </w:rPr>
            </w:pPr>
          </w:p>
        </w:tc>
        <w:tc>
          <w:tcPr>
            <w:tcW w:w="1796" w:type="dxa"/>
            <w:gridSpan w:val="2"/>
            <w:vAlign w:val="center"/>
          </w:tcPr>
          <w:p w14:paraId="490CEF42">
            <w:pPr>
              <w:ind w:firstLine="360"/>
              <w:jc w:val="center"/>
              <w:rPr>
                <w:rFonts w:ascii="宋体" w:hAnsi="宋体"/>
                <w:sz w:val="18"/>
                <w:szCs w:val="18"/>
              </w:rPr>
            </w:pPr>
          </w:p>
        </w:tc>
        <w:tc>
          <w:tcPr>
            <w:tcW w:w="1689" w:type="dxa"/>
            <w:gridSpan w:val="4"/>
            <w:vAlign w:val="center"/>
          </w:tcPr>
          <w:p w14:paraId="3BEAD234">
            <w:pPr>
              <w:ind w:firstLine="360"/>
              <w:jc w:val="center"/>
              <w:rPr>
                <w:rFonts w:ascii="宋体" w:hAnsi="宋体"/>
                <w:sz w:val="18"/>
                <w:szCs w:val="18"/>
              </w:rPr>
            </w:pPr>
          </w:p>
        </w:tc>
        <w:tc>
          <w:tcPr>
            <w:tcW w:w="1985" w:type="dxa"/>
            <w:vAlign w:val="center"/>
          </w:tcPr>
          <w:p w14:paraId="6B8ED8A5">
            <w:pPr>
              <w:ind w:firstLine="360"/>
              <w:jc w:val="center"/>
              <w:rPr>
                <w:rFonts w:ascii="宋体" w:hAnsi="宋体"/>
                <w:sz w:val="18"/>
                <w:szCs w:val="18"/>
              </w:rPr>
            </w:pPr>
          </w:p>
        </w:tc>
      </w:tr>
      <w:tr w14:paraId="25404AD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14:paraId="61802C60">
            <w:pPr>
              <w:rPr>
                <w:rFonts w:ascii="宋体" w:hAnsi="宋体"/>
                <w:sz w:val="18"/>
                <w:szCs w:val="18"/>
              </w:rPr>
            </w:pPr>
          </w:p>
        </w:tc>
        <w:tc>
          <w:tcPr>
            <w:tcW w:w="1984" w:type="dxa"/>
            <w:gridSpan w:val="2"/>
            <w:tcBorders>
              <w:left w:val="single" w:color="auto" w:sz="4" w:space="0"/>
            </w:tcBorders>
            <w:vAlign w:val="center"/>
          </w:tcPr>
          <w:p w14:paraId="3ACC4FFE">
            <w:pPr>
              <w:rPr>
                <w:rFonts w:ascii="宋体" w:hAnsi="宋体"/>
                <w:sz w:val="18"/>
                <w:szCs w:val="18"/>
              </w:rPr>
            </w:pPr>
            <w:r>
              <w:rPr>
                <w:rFonts w:hint="eastAsia" w:ascii="宋体" w:hAnsi="宋体"/>
                <w:sz w:val="18"/>
                <w:szCs w:val="18"/>
              </w:rPr>
              <w:t>3竖向管道井</w:t>
            </w:r>
          </w:p>
        </w:tc>
        <w:tc>
          <w:tcPr>
            <w:tcW w:w="1760" w:type="dxa"/>
            <w:gridSpan w:val="2"/>
            <w:vAlign w:val="center"/>
          </w:tcPr>
          <w:p w14:paraId="054CB4C5">
            <w:pPr>
              <w:ind w:firstLine="360"/>
              <w:jc w:val="center"/>
              <w:rPr>
                <w:rFonts w:ascii="宋体" w:hAnsi="宋体"/>
                <w:sz w:val="18"/>
                <w:szCs w:val="18"/>
              </w:rPr>
            </w:pPr>
          </w:p>
        </w:tc>
        <w:tc>
          <w:tcPr>
            <w:tcW w:w="1796" w:type="dxa"/>
            <w:gridSpan w:val="2"/>
            <w:vAlign w:val="center"/>
          </w:tcPr>
          <w:p w14:paraId="49BC0105">
            <w:pPr>
              <w:ind w:firstLine="360"/>
              <w:jc w:val="center"/>
              <w:rPr>
                <w:rFonts w:ascii="宋体" w:hAnsi="宋体"/>
                <w:sz w:val="18"/>
                <w:szCs w:val="18"/>
              </w:rPr>
            </w:pPr>
          </w:p>
        </w:tc>
        <w:tc>
          <w:tcPr>
            <w:tcW w:w="1689" w:type="dxa"/>
            <w:gridSpan w:val="4"/>
            <w:vAlign w:val="center"/>
          </w:tcPr>
          <w:p w14:paraId="2E4CA90E">
            <w:pPr>
              <w:ind w:firstLine="360"/>
              <w:jc w:val="center"/>
              <w:rPr>
                <w:rFonts w:ascii="宋体" w:hAnsi="宋体"/>
                <w:sz w:val="18"/>
                <w:szCs w:val="18"/>
              </w:rPr>
            </w:pPr>
          </w:p>
        </w:tc>
        <w:tc>
          <w:tcPr>
            <w:tcW w:w="1985" w:type="dxa"/>
            <w:vAlign w:val="center"/>
          </w:tcPr>
          <w:p w14:paraId="05B97ED1">
            <w:pPr>
              <w:ind w:firstLine="360"/>
              <w:jc w:val="center"/>
              <w:rPr>
                <w:rFonts w:ascii="宋体" w:hAnsi="宋体"/>
                <w:sz w:val="18"/>
                <w:szCs w:val="18"/>
              </w:rPr>
            </w:pPr>
          </w:p>
        </w:tc>
      </w:tr>
      <w:tr w14:paraId="6596A8F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14:paraId="6ADE8A43">
            <w:pPr>
              <w:rPr>
                <w:rFonts w:ascii="宋体" w:hAnsi="宋体"/>
                <w:sz w:val="18"/>
                <w:szCs w:val="18"/>
              </w:rPr>
            </w:pPr>
          </w:p>
        </w:tc>
        <w:tc>
          <w:tcPr>
            <w:tcW w:w="1984" w:type="dxa"/>
            <w:gridSpan w:val="2"/>
            <w:tcBorders>
              <w:left w:val="single" w:color="auto" w:sz="4" w:space="0"/>
            </w:tcBorders>
            <w:vAlign w:val="center"/>
          </w:tcPr>
          <w:p w14:paraId="662DE673">
            <w:pPr>
              <w:rPr>
                <w:rFonts w:ascii="宋体" w:hAnsi="宋体"/>
                <w:sz w:val="18"/>
                <w:szCs w:val="18"/>
              </w:rPr>
            </w:pPr>
            <w:r>
              <w:rPr>
                <w:rFonts w:hint="eastAsia" w:ascii="宋体" w:hAnsi="宋体"/>
                <w:sz w:val="18"/>
                <w:szCs w:val="18"/>
              </w:rPr>
              <w:t>4防火门窗、防火卷帘</w:t>
            </w:r>
          </w:p>
        </w:tc>
        <w:tc>
          <w:tcPr>
            <w:tcW w:w="1760" w:type="dxa"/>
            <w:gridSpan w:val="2"/>
            <w:vAlign w:val="center"/>
          </w:tcPr>
          <w:p w14:paraId="3BFE7ED7">
            <w:pPr>
              <w:ind w:firstLine="360"/>
              <w:jc w:val="center"/>
              <w:rPr>
                <w:rFonts w:ascii="宋体" w:hAnsi="宋体"/>
                <w:sz w:val="18"/>
                <w:szCs w:val="18"/>
              </w:rPr>
            </w:pPr>
          </w:p>
        </w:tc>
        <w:tc>
          <w:tcPr>
            <w:tcW w:w="1796" w:type="dxa"/>
            <w:gridSpan w:val="2"/>
            <w:vAlign w:val="center"/>
          </w:tcPr>
          <w:p w14:paraId="0A199905">
            <w:pPr>
              <w:ind w:firstLine="360"/>
              <w:jc w:val="center"/>
              <w:rPr>
                <w:rFonts w:ascii="宋体" w:hAnsi="宋体"/>
                <w:sz w:val="18"/>
                <w:szCs w:val="18"/>
              </w:rPr>
            </w:pPr>
          </w:p>
        </w:tc>
        <w:tc>
          <w:tcPr>
            <w:tcW w:w="1689" w:type="dxa"/>
            <w:gridSpan w:val="4"/>
            <w:vAlign w:val="center"/>
          </w:tcPr>
          <w:p w14:paraId="1590B620">
            <w:pPr>
              <w:ind w:firstLine="360"/>
              <w:jc w:val="center"/>
              <w:rPr>
                <w:rFonts w:ascii="宋体" w:hAnsi="宋体"/>
                <w:sz w:val="18"/>
                <w:szCs w:val="18"/>
              </w:rPr>
            </w:pPr>
          </w:p>
        </w:tc>
        <w:tc>
          <w:tcPr>
            <w:tcW w:w="1985" w:type="dxa"/>
            <w:vAlign w:val="center"/>
          </w:tcPr>
          <w:p w14:paraId="5D273CB8">
            <w:pPr>
              <w:ind w:firstLine="360"/>
              <w:jc w:val="center"/>
              <w:rPr>
                <w:rFonts w:ascii="宋体" w:hAnsi="宋体"/>
                <w:sz w:val="18"/>
                <w:szCs w:val="18"/>
              </w:rPr>
            </w:pPr>
          </w:p>
        </w:tc>
      </w:tr>
      <w:tr w14:paraId="545F926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14:paraId="0D74E626">
            <w:pPr>
              <w:rPr>
                <w:rFonts w:ascii="宋体" w:hAnsi="宋体"/>
                <w:sz w:val="18"/>
                <w:szCs w:val="18"/>
              </w:rPr>
            </w:pPr>
          </w:p>
        </w:tc>
        <w:tc>
          <w:tcPr>
            <w:tcW w:w="1984" w:type="dxa"/>
            <w:gridSpan w:val="2"/>
            <w:tcBorders>
              <w:left w:val="single" w:color="auto" w:sz="4" w:space="0"/>
            </w:tcBorders>
            <w:vAlign w:val="center"/>
          </w:tcPr>
          <w:p w14:paraId="78ED60DA">
            <w:pPr>
              <w:rPr>
                <w:rFonts w:ascii="宋体" w:hAnsi="宋体"/>
                <w:sz w:val="18"/>
                <w:szCs w:val="18"/>
              </w:rPr>
            </w:pPr>
            <w:r>
              <w:rPr>
                <w:rFonts w:hint="eastAsia" w:ascii="宋体" w:hAnsi="宋体"/>
                <w:sz w:val="18"/>
                <w:szCs w:val="18"/>
              </w:rPr>
              <w:t>5外墙外保温材料</w:t>
            </w:r>
          </w:p>
        </w:tc>
        <w:tc>
          <w:tcPr>
            <w:tcW w:w="1760" w:type="dxa"/>
            <w:gridSpan w:val="2"/>
            <w:vAlign w:val="center"/>
          </w:tcPr>
          <w:p w14:paraId="78243EAA">
            <w:pPr>
              <w:ind w:firstLine="360"/>
              <w:jc w:val="center"/>
              <w:rPr>
                <w:rFonts w:ascii="宋体" w:hAnsi="宋体"/>
                <w:sz w:val="18"/>
                <w:szCs w:val="18"/>
              </w:rPr>
            </w:pPr>
          </w:p>
        </w:tc>
        <w:tc>
          <w:tcPr>
            <w:tcW w:w="1796" w:type="dxa"/>
            <w:gridSpan w:val="2"/>
            <w:vAlign w:val="center"/>
          </w:tcPr>
          <w:p w14:paraId="3DBA66BD">
            <w:pPr>
              <w:ind w:firstLine="360"/>
              <w:jc w:val="center"/>
              <w:rPr>
                <w:rFonts w:ascii="宋体" w:hAnsi="宋体"/>
                <w:sz w:val="18"/>
                <w:szCs w:val="18"/>
              </w:rPr>
            </w:pPr>
          </w:p>
        </w:tc>
        <w:tc>
          <w:tcPr>
            <w:tcW w:w="1689" w:type="dxa"/>
            <w:gridSpan w:val="4"/>
            <w:vAlign w:val="center"/>
          </w:tcPr>
          <w:p w14:paraId="3DAB745B">
            <w:pPr>
              <w:ind w:firstLine="360"/>
              <w:jc w:val="center"/>
              <w:rPr>
                <w:rFonts w:ascii="宋体" w:hAnsi="宋体"/>
                <w:sz w:val="18"/>
                <w:szCs w:val="18"/>
              </w:rPr>
            </w:pPr>
          </w:p>
        </w:tc>
        <w:tc>
          <w:tcPr>
            <w:tcW w:w="1985" w:type="dxa"/>
            <w:vAlign w:val="center"/>
          </w:tcPr>
          <w:p w14:paraId="0A193B6A">
            <w:pPr>
              <w:ind w:firstLine="360"/>
              <w:jc w:val="center"/>
              <w:rPr>
                <w:rFonts w:ascii="宋体" w:hAnsi="宋体"/>
                <w:sz w:val="18"/>
                <w:szCs w:val="18"/>
              </w:rPr>
            </w:pPr>
          </w:p>
        </w:tc>
      </w:tr>
      <w:tr w14:paraId="4952589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14:paraId="4953A453">
            <w:pPr>
              <w:rPr>
                <w:rFonts w:ascii="宋体" w:hAnsi="宋体"/>
                <w:sz w:val="18"/>
                <w:szCs w:val="18"/>
              </w:rPr>
            </w:pPr>
          </w:p>
        </w:tc>
        <w:tc>
          <w:tcPr>
            <w:tcW w:w="1984" w:type="dxa"/>
            <w:gridSpan w:val="2"/>
            <w:tcBorders>
              <w:left w:val="single" w:color="auto" w:sz="4" w:space="0"/>
            </w:tcBorders>
            <w:vAlign w:val="center"/>
          </w:tcPr>
          <w:p w14:paraId="59D4327E">
            <w:pPr>
              <w:rPr>
                <w:rFonts w:ascii="宋体" w:hAnsi="宋体"/>
                <w:sz w:val="18"/>
                <w:szCs w:val="18"/>
              </w:rPr>
            </w:pPr>
            <w:r>
              <w:rPr>
                <w:rFonts w:hint="eastAsia" w:ascii="宋体" w:hAnsi="宋体"/>
                <w:sz w:val="18"/>
                <w:szCs w:val="18"/>
              </w:rPr>
              <w:t>6建筑幕墙防火分隔</w:t>
            </w:r>
          </w:p>
        </w:tc>
        <w:tc>
          <w:tcPr>
            <w:tcW w:w="1760" w:type="dxa"/>
            <w:gridSpan w:val="2"/>
            <w:vAlign w:val="center"/>
          </w:tcPr>
          <w:p w14:paraId="1E600E43">
            <w:pPr>
              <w:ind w:firstLine="360"/>
              <w:jc w:val="center"/>
              <w:rPr>
                <w:rFonts w:ascii="宋体" w:hAnsi="宋体"/>
                <w:sz w:val="18"/>
                <w:szCs w:val="18"/>
              </w:rPr>
            </w:pPr>
          </w:p>
        </w:tc>
        <w:tc>
          <w:tcPr>
            <w:tcW w:w="1796" w:type="dxa"/>
            <w:gridSpan w:val="2"/>
            <w:vAlign w:val="center"/>
          </w:tcPr>
          <w:p w14:paraId="3AAE3CC3">
            <w:pPr>
              <w:ind w:firstLine="360"/>
              <w:jc w:val="center"/>
              <w:rPr>
                <w:rFonts w:ascii="宋体" w:hAnsi="宋体"/>
                <w:sz w:val="18"/>
                <w:szCs w:val="18"/>
              </w:rPr>
            </w:pPr>
          </w:p>
        </w:tc>
        <w:tc>
          <w:tcPr>
            <w:tcW w:w="1689" w:type="dxa"/>
            <w:gridSpan w:val="4"/>
            <w:vAlign w:val="center"/>
          </w:tcPr>
          <w:p w14:paraId="5FCFB0B2">
            <w:pPr>
              <w:ind w:firstLine="360"/>
              <w:jc w:val="center"/>
              <w:rPr>
                <w:rFonts w:ascii="宋体" w:hAnsi="宋体"/>
                <w:sz w:val="18"/>
                <w:szCs w:val="18"/>
              </w:rPr>
            </w:pPr>
          </w:p>
        </w:tc>
        <w:tc>
          <w:tcPr>
            <w:tcW w:w="1985" w:type="dxa"/>
            <w:vAlign w:val="center"/>
          </w:tcPr>
          <w:p w14:paraId="7B93E130">
            <w:pPr>
              <w:ind w:firstLine="360"/>
              <w:jc w:val="center"/>
              <w:rPr>
                <w:rFonts w:ascii="宋体" w:hAnsi="宋体"/>
                <w:sz w:val="18"/>
                <w:szCs w:val="18"/>
              </w:rPr>
            </w:pPr>
          </w:p>
        </w:tc>
      </w:tr>
      <w:tr w14:paraId="215F812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14:paraId="79CB22B1">
            <w:pPr>
              <w:rPr>
                <w:rFonts w:ascii="宋体" w:hAnsi="宋体"/>
                <w:sz w:val="18"/>
                <w:szCs w:val="18"/>
              </w:rPr>
            </w:pPr>
          </w:p>
        </w:tc>
        <w:tc>
          <w:tcPr>
            <w:tcW w:w="1984" w:type="dxa"/>
            <w:gridSpan w:val="2"/>
            <w:tcBorders>
              <w:left w:val="single" w:color="auto" w:sz="4" w:space="0"/>
            </w:tcBorders>
            <w:vAlign w:val="center"/>
          </w:tcPr>
          <w:p w14:paraId="6054D70A">
            <w:pPr>
              <w:rPr>
                <w:rFonts w:ascii="宋体" w:hAnsi="宋体"/>
                <w:sz w:val="18"/>
                <w:szCs w:val="18"/>
              </w:rPr>
            </w:pPr>
            <w:r>
              <w:rPr>
                <w:rFonts w:hint="eastAsia" w:ascii="宋体" w:hAnsi="宋体"/>
                <w:sz w:val="18"/>
                <w:szCs w:val="18"/>
              </w:rPr>
              <w:t>7窗槛墙、窗间墙</w:t>
            </w:r>
          </w:p>
        </w:tc>
        <w:tc>
          <w:tcPr>
            <w:tcW w:w="1760" w:type="dxa"/>
            <w:gridSpan w:val="2"/>
            <w:vAlign w:val="center"/>
          </w:tcPr>
          <w:p w14:paraId="786062EC">
            <w:pPr>
              <w:ind w:firstLine="360"/>
              <w:jc w:val="center"/>
              <w:rPr>
                <w:rFonts w:ascii="宋体" w:hAnsi="宋体"/>
                <w:sz w:val="18"/>
                <w:szCs w:val="18"/>
              </w:rPr>
            </w:pPr>
          </w:p>
        </w:tc>
        <w:tc>
          <w:tcPr>
            <w:tcW w:w="1796" w:type="dxa"/>
            <w:gridSpan w:val="2"/>
            <w:vAlign w:val="center"/>
          </w:tcPr>
          <w:p w14:paraId="3C5573C8">
            <w:pPr>
              <w:ind w:firstLine="360"/>
              <w:jc w:val="center"/>
              <w:rPr>
                <w:rFonts w:ascii="宋体" w:hAnsi="宋体"/>
                <w:sz w:val="18"/>
                <w:szCs w:val="18"/>
              </w:rPr>
            </w:pPr>
          </w:p>
        </w:tc>
        <w:tc>
          <w:tcPr>
            <w:tcW w:w="1689" w:type="dxa"/>
            <w:gridSpan w:val="4"/>
            <w:vAlign w:val="center"/>
          </w:tcPr>
          <w:p w14:paraId="67C9230F">
            <w:pPr>
              <w:ind w:firstLine="360"/>
              <w:jc w:val="center"/>
              <w:rPr>
                <w:rFonts w:ascii="宋体" w:hAnsi="宋体"/>
                <w:sz w:val="18"/>
                <w:szCs w:val="18"/>
              </w:rPr>
            </w:pPr>
          </w:p>
        </w:tc>
        <w:tc>
          <w:tcPr>
            <w:tcW w:w="1985" w:type="dxa"/>
            <w:vAlign w:val="center"/>
          </w:tcPr>
          <w:p w14:paraId="71CE14F8">
            <w:pPr>
              <w:ind w:firstLine="360"/>
              <w:jc w:val="center"/>
              <w:rPr>
                <w:rFonts w:ascii="宋体" w:hAnsi="宋体"/>
                <w:sz w:val="18"/>
                <w:szCs w:val="18"/>
              </w:rPr>
            </w:pPr>
          </w:p>
        </w:tc>
      </w:tr>
      <w:tr w14:paraId="4F8EFAC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14:paraId="44644403">
            <w:pPr>
              <w:rPr>
                <w:rFonts w:ascii="宋体" w:hAnsi="宋体"/>
                <w:sz w:val="18"/>
                <w:szCs w:val="18"/>
              </w:rPr>
            </w:pPr>
          </w:p>
        </w:tc>
        <w:tc>
          <w:tcPr>
            <w:tcW w:w="1984" w:type="dxa"/>
            <w:gridSpan w:val="2"/>
            <w:tcBorders>
              <w:left w:val="single" w:color="auto" w:sz="4" w:space="0"/>
            </w:tcBorders>
            <w:vAlign w:val="center"/>
          </w:tcPr>
          <w:p w14:paraId="54503329">
            <w:pPr>
              <w:rPr>
                <w:rFonts w:ascii="宋体" w:hAnsi="宋体"/>
                <w:sz w:val="18"/>
                <w:szCs w:val="18"/>
              </w:rPr>
            </w:pPr>
            <w:r>
              <w:rPr>
                <w:rFonts w:hint="eastAsia" w:ascii="宋体" w:hAnsi="宋体"/>
                <w:sz w:val="18"/>
                <w:szCs w:val="18"/>
              </w:rPr>
              <w:t>8爆炸危险场所及泄压设施</w:t>
            </w:r>
          </w:p>
        </w:tc>
        <w:tc>
          <w:tcPr>
            <w:tcW w:w="1760" w:type="dxa"/>
            <w:gridSpan w:val="2"/>
            <w:vAlign w:val="center"/>
          </w:tcPr>
          <w:p w14:paraId="679139D1">
            <w:pPr>
              <w:ind w:firstLine="360"/>
              <w:jc w:val="center"/>
              <w:rPr>
                <w:rFonts w:ascii="宋体" w:hAnsi="宋体"/>
                <w:sz w:val="18"/>
                <w:szCs w:val="18"/>
              </w:rPr>
            </w:pPr>
          </w:p>
        </w:tc>
        <w:tc>
          <w:tcPr>
            <w:tcW w:w="1796" w:type="dxa"/>
            <w:gridSpan w:val="2"/>
            <w:vAlign w:val="center"/>
          </w:tcPr>
          <w:p w14:paraId="0DE9E1AC">
            <w:pPr>
              <w:ind w:firstLine="360"/>
              <w:jc w:val="center"/>
              <w:rPr>
                <w:rFonts w:ascii="宋体" w:hAnsi="宋体"/>
                <w:sz w:val="18"/>
                <w:szCs w:val="18"/>
              </w:rPr>
            </w:pPr>
          </w:p>
        </w:tc>
        <w:tc>
          <w:tcPr>
            <w:tcW w:w="1689" w:type="dxa"/>
            <w:gridSpan w:val="4"/>
            <w:vAlign w:val="center"/>
          </w:tcPr>
          <w:p w14:paraId="25826D4D">
            <w:pPr>
              <w:ind w:firstLine="360"/>
              <w:jc w:val="center"/>
              <w:rPr>
                <w:rFonts w:ascii="宋体" w:hAnsi="宋体"/>
                <w:sz w:val="18"/>
                <w:szCs w:val="18"/>
              </w:rPr>
            </w:pPr>
          </w:p>
        </w:tc>
        <w:tc>
          <w:tcPr>
            <w:tcW w:w="1985" w:type="dxa"/>
            <w:vAlign w:val="center"/>
          </w:tcPr>
          <w:p w14:paraId="44B479F8">
            <w:pPr>
              <w:ind w:firstLine="360"/>
              <w:jc w:val="center"/>
              <w:rPr>
                <w:rFonts w:ascii="宋体" w:hAnsi="宋体"/>
                <w:sz w:val="18"/>
                <w:szCs w:val="18"/>
              </w:rPr>
            </w:pPr>
          </w:p>
        </w:tc>
      </w:tr>
      <w:tr w14:paraId="3CF3C97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14:paraId="0FB02912">
            <w:pPr>
              <w:rPr>
                <w:rFonts w:ascii="宋体" w:hAnsi="宋体"/>
                <w:sz w:val="18"/>
                <w:szCs w:val="18"/>
              </w:rPr>
            </w:pPr>
          </w:p>
        </w:tc>
        <w:tc>
          <w:tcPr>
            <w:tcW w:w="1984" w:type="dxa"/>
            <w:gridSpan w:val="2"/>
            <w:tcBorders>
              <w:left w:val="single" w:color="auto" w:sz="4" w:space="0"/>
            </w:tcBorders>
            <w:vAlign w:val="center"/>
          </w:tcPr>
          <w:p w14:paraId="0B04028C">
            <w:pPr>
              <w:rPr>
                <w:rFonts w:ascii="宋体" w:hAnsi="宋体"/>
                <w:sz w:val="18"/>
                <w:szCs w:val="18"/>
              </w:rPr>
            </w:pPr>
            <w:r>
              <w:rPr>
                <w:rFonts w:hint="eastAsia" w:ascii="宋体" w:hAnsi="宋体"/>
                <w:sz w:val="18"/>
                <w:szCs w:val="18"/>
              </w:rPr>
              <w:t>9防静电、防积聚、防流散措施</w:t>
            </w:r>
          </w:p>
        </w:tc>
        <w:tc>
          <w:tcPr>
            <w:tcW w:w="1760" w:type="dxa"/>
            <w:gridSpan w:val="2"/>
            <w:vAlign w:val="center"/>
          </w:tcPr>
          <w:p w14:paraId="09BFF1DC">
            <w:pPr>
              <w:ind w:firstLine="360"/>
              <w:jc w:val="center"/>
              <w:rPr>
                <w:rFonts w:ascii="宋体" w:hAnsi="宋体"/>
                <w:sz w:val="18"/>
                <w:szCs w:val="18"/>
              </w:rPr>
            </w:pPr>
          </w:p>
        </w:tc>
        <w:tc>
          <w:tcPr>
            <w:tcW w:w="1796" w:type="dxa"/>
            <w:gridSpan w:val="2"/>
            <w:vAlign w:val="center"/>
          </w:tcPr>
          <w:p w14:paraId="7DA7FE34">
            <w:pPr>
              <w:ind w:firstLine="360"/>
              <w:jc w:val="center"/>
              <w:rPr>
                <w:rFonts w:ascii="宋体" w:hAnsi="宋体"/>
                <w:sz w:val="18"/>
                <w:szCs w:val="18"/>
              </w:rPr>
            </w:pPr>
          </w:p>
        </w:tc>
        <w:tc>
          <w:tcPr>
            <w:tcW w:w="1689" w:type="dxa"/>
            <w:gridSpan w:val="4"/>
            <w:vAlign w:val="center"/>
          </w:tcPr>
          <w:p w14:paraId="18754136">
            <w:pPr>
              <w:ind w:firstLine="360"/>
              <w:jc w:val="center"/>
              <w:rPr>
                <w:rFonts w:ascii="宋体" w:hAnsi="宋体"/>
                <w:sz w:val="18"/>
                <w:szCs w:val="18"/>
              </w:rPr>
            </w:pPr>
          </w:p>
        </w:tc>
        <w:tc>
          <w:tcPr>
            <w:tcW w:w="1985" w:type="dxa"/>
            <w:vAlign w:val="center"/>
          </w:tcPr>
          <w:p w14:paraId="4A8488D7">
            <w:pPr>
              <w:ind w:firstLine="360"/>
              <w:jc w:val="center"/>
              <w:rPr>
                <w:rFonts w:ascii="宋体" w:hAnsi="宋体"/>
                <w:sz w:val="18"/>
                <w:szCs w:val="18"/>
              </w:rPr>
            </w:pPr>
          </w:p>
        </w:tc>
      </w:tr>
      <w:tr w14:paraId="2CDACA0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restart"/>
            <w:tcBorders>
              <w:right w:val="single" w:color="auto" w:sz="4" w:space="0"/>
            </w:tcBorders>
            <w:vAlign w:val="center"/>
          </w:tcPr>
          <w:p w14:paraId="179C940C">
            <w:pPr>
              <w:rPr>
                <w:rFonts w:ascii="宋体" w:hAnsi="宋体"/>
                <w:sz w:val="18"/>
                <w:szCs w:val="18"/>
              </w:rPr>
            </w:pPr>
            <w:r>
              <w:rPr>
                <w:rFonts w:hint="eastAsia" w:ascii="宋体" w:hAnsi="宋体"/>
                <w:sz w:val="18"/>
                <w:szCs w:val="18"/>
              </w:rPr>
              <w:t>8</w:t>
            </w:r>
          </w:p>
          <w:p w14:paraId="0EB92E66">
            <w:pPr>
              <w:rPr>
                <w:rFonts w:ascii="宋体" w:hAnsi="宋体"/>
                <w:sz w:val="18"/>
                <w:szCs w:val="18"/>
              </w:rPr>
            </w:pPr>
            <w:r>
              <w:rPr>
                <w:rFonts w:hint="eastAsia" w:ascii="宋体" w:hAnsi="宋体"/>
                <w:sz w:val="18"/>
                <w:szCs w:val="18"/>
              </w:rPr>
              <w:t>消防给水设施</w:t>
            </w:r>
          </w:p>
        </w:tc>
        <w:tc>
          <w:tcPr>
            <w:tcW w:w="1984" w:type="dxa"/>
            <w:gridSpan w:val="2"/>
            <w:tcBorders>
              <w:left w:val="single" w:color="auto" w:sz="4" w:space="0"/>
            </w:tcBorders>
            <w:vAlign w:val="center"/>
          </w:tcPr>
          <w:p w14:paraId="4B1ED3CE">
            <w:pPr>
              <w:rPr>
                <w:rFonts w:ascii="宋体" w:hAnsi="宋体"/>
                <w:sz w:val="18"/>
                <w:szCs w:val="18"/>
              </w:rPr>
            </w:pPr>
            <w:r>
              <w:rPr>
                <w:rFonts w:hint="eastAsia" w:ascii="宋体" w:hAnsi="宋体"/>
                <w:sz w:val="18"/>
                <w:szCs w:val="18"/>
              </w:rPr>
              <w:t>1消防水源及消防用水量</w:t>
            </w:r>
          </w:p>
        </w:tc>
        <w:tc>
          <w:tcPr>
            <w:tcW w:w="1760" w:type="dxa"/>
            <w:gridSpan w:val="2"/>
            <w:vAlign w:val="center"/>
          </w:tcPr>
          <w:p w14:paraId="76B1E1ED">
            <w:pPr>
              <w:ind w:firstLine="360"/>
              <w:jc w:val="center"/>
              <w:rPr>
                <w:rFonts w:ascii="宋体" w:hAnsi="宋体"/>
                <w:sz w:val="18"/>
                <w:szCs w:val="18"/>
              </w:rPr>
            </w:pPr>
          </w:p>
        </w:tc>
        <w:tc>
          <w:tcPr>
            <w:tcW w:w="1796" w:type="dxa"/>
            <w:gridSpan w:val="2"/>
            <w:vAlign w:val="center"/>
          </w:tcPr>
          <w:p w14:paraId="648CB652">
            <w:pPr>
              <w:ind w:firstLine="360"/>
              <w:jc w:val="center"/>
              <w:rPr>
                <w:rFonts w:ascii="宋体" w:hAnsi="宋体"/>
                <w:sz w:val="18"/>
                <w:szCs w:val="18"/>
              </w:rPr>
            </w:pPr>
          </w:p>
        </w:tc>
        <w:tc>
          <w:tcPr>
            <w:tcW w:w="1689" w:type="dxa"/>
            <w:gridSpan w:val="4"/>
            <w:vAlign w:val="center"/>
          </w:tcPr>
          <w:p w14:paraId="0315CA80">
            <w:pPr>
              <w:ind w:firstLine="360"/>
              <w:jc w:val="center"/>
              <w:rPr>
                <w:rFonts w:ascii="宋体" w:hAnsi="宋体"/>
                <w:sz w:val="18"/>
                <w:szCs w:val="18"/>
              </w:rPr>
            </w:pPr>
          </w:p>
        </w:tc>
        <w:tc>
          <w:tcPr>
            <w:tcW w:w="1985" w:type="dxa"/>
            <w:vAlign w:val="center"/>
          </w:tcPr>
          <w:p w14:paraId="03BB0037">
            <w:pPr>
              <w:ind w:firstLine="360"/>
              <w:jc w:val="center"/>
              <w:rPr>
                <w:rFonts w:ascii="宋体" w:hAnsi="宋体"/>
                <w:sz w:val="18"/>
                <w:szCs w:val="18"/>
              </w:rPr>
            </w:pPr>
          </w:p>
        </w:tc>
      </w:tr>
      <w:tr w14:paraId="57E0383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14:paraId="5F39F7BB">
            <w:pPr>
              <w:rPr>
                <w:rFonts w:ascii="宋体" w:hAnsi="宋体"/>
                <w:sz w:val="18"/>
                <w:szCs w:val="18"/>
              </w:rPr>
            </w:pPr>
          </w:p>
        </w:tc>
        <w:tc>
          <w:tcPr>
            <w:tcW w:w="1984" w:type="dxa"/>
            <w:gridSpan w:val="2"/>
            <w:tcBorders>
              <w:left w:val="single" w:color="auto" w:sz="4" w:space="0"/>
            </w:tcBorders>
            <w:vAlign w:val="center"/>
          </w:tcPr>
          <w:p w14:paraId="3B7A3949">
            <w:pPr>
              <w:rPr>
                <w:rFonts w:ascii="宋体" w:hAnsi="宋体"/>
                <w:sz w:val="18"/>
                <w:szCs w:val="18"/>
              </w:rPr>
            </w:pPr>
            <w:r>
              <w:rPr>
                <w:rFonts w:hint="eastAsia" w:ascii="宋体" w:hAnsi="宋体"/>
                <w:sz w:val="18"/>
                <w:szCs w:val="18"/>
              </w:rPr>
              <w:t>2消防水池</w:t>
            </w:r>
          </w:p>
        </w:tc>
        <w:tc>
          <w:tcPr>
            <w:tcW w:w="1760" w:type="dxa"/>
            <w:gridSpan w:val="2"/>
            <w:vAlign w:val="center"/>
          </w:tcPr>
          <w:p w14:paraId="23A64D35">
            <w:pPr>
              <w:ind w:firstLine="360"/>
              <w:jc w:val="center"/>
              <w:rPr>
                <w:rFonts w:ascii="宋体" w:hAnsi="宋体"/>
                <w:sz w:val="18"/>
                <w:szCs w:val="18"/>
              </w:rPr>
            </w:pPr>
          </w:p>
        </w:tc>
        <w:tc>
          <w:tcPr>
            <w:tcW w:w="1796" w:type="dxa"/>
            <w:gridSpan w:val="2"/>
            <w:vAlign w:val="center"/>
          </w:tcPr>
          <w:p w14:paraId="3155EF4B">
            <w:pPr>
              <w:ind w:firstLine="360"/>
              <w:jc w:val="center"/>
              <w:rPr>
                <w:rFonts w:ascii="宋体" w:hAnsi="宋体"/>
                <w:sz w:val="18"/>
                <w:szCs w:val="18"/>
              </w:rPr>
            </w:pPr>
          </w:p>
        </w:tc>
        <w:tc>
          <w:tcPr>
            <w:tcW w:w="1689" w:type="dxa"/>
            <w:gridSpan w:val="4"/>
            <w:vAlign w:val="center"/>
          </w:tcPr>
          <w:p w14:paraId="038262A4">
            <w:pPr>
              <w:ind w:firstLine="360"/>
              <w:jc w:val="center"/>
              <w:rPr>
                <w:rFonts w:ascii="宋体" w:hAnsi="宋体"/>
                <w:sz w:val="18"/>
                <w:szCs w:val="18"/>
              </w:rPr>
            </w:pPr>
          </w:p>
        </w:tc>
        <w:tc>
          <w:tcPr>
            <w:tcW w:w="1985" w:type="dxa"/>
            <w:vAlign w:val="center"/>
          </w:tcPr>
          <w:p w14:paraId="27A5AB48">
            <w:pPr>
              <w:ind w:firstLine="360"/>
              <w:jc w:val="center"/>
              <w:rPr>
                <w:rFonts w:ascii="宋体" w:hAnsi="宋体"/>
                <w:sz w:val="18"/>
                <w:szCs w:val="18"/>
              </w:rPr>
            </w:pPr>
          </w:p>
        </w:tc>
      </w:tr>
      <w:tr w14:paraId="2CF26F0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14:paraId="4EF04C60">
            <w:pPr>
              <w:rPr>
                <w:rFonts w:ascii="宋体" w:hAnsi="宋体"/>
                <w:sz w:val="18"/>
                <w:szCs w:val="18"/>
              </w:rPr>
            </w:pPr>
          </w:p>
        </w:tc>
        <w:tc>
          <w:tcPr>
            <w:tcW w:w="1984" w:type="dxa"/>
            <w:gridSpan w:val="2"/>
            <w:tcBorders>
              <w:left w:val="single" w:color="auto" w:sz="4" w:space="0"/>
            </w:tcBorders>
            <w:vAlign w:val="center"/>
          </w:tcPr>
          <w:p w14:paraId="08F75634">
            <w:pPr>
              <w:rPr>
                <w:rFonts w:ascii="宋体" w:hAnsi="宋体"/>
                <w:sz w:val="18"/>
                <w:szCs w:val="18"/>
              </w:rPr>
            </w:pPr>
            <w:r>
              <w:rPr>
                <w:rFonts w:hint="eastAsia" w:ascii="宋体" w:hAnsi="宋体"/>
                <w:sz w:val="18"/>
                <w:szCs w:val="18"/>
              </w:rPr>
              <w:t>3消防水泵</w:t>
            </w:r>
          </w:p>
        </w:tc>
        <w:tc>
          <w:tcPr>
            <w:tcW w:w="1760" w:type="dxa"/>
            <w:gridSpan w:val="2"/>
            <w:vAlign w:val="center"/>
          </w:tcPr>
          <w:p w14:paraId="31A656C9">
            <w:pPr>
              <w:ind w:firstLine="360"/>
              <w:jc w:val="center"/>
              <w:rPr>
                <w:rFonts w:ascii="宋体" w:hAnsi="宋体"/>
                <w:sz w:val="18"/>
                <w:szCs w:val="18"/>
              </w:rPr>
            </w:pPr>
          </w:p>
        </w:tc>
        <w:tc>
          <w:tcPr>
            <w:tcW w:w="1796" w:type="dxa"/>
            <w:gridSpan w:val="2"/>
            <w:vAlign w:val="center"/>
          </w:tcPr>
          <w:p w14:paraId="6B16FABA">
            <w:pPr>
              <w:ind w:firstLine="360"/>
              <w:jc w:val="center"/>
              <w:rPr>
                <w:rFonts w:ascii="宋体" w:hAnsi="宋体"/>
                <w:sz w:val="18"/>
                <w:szCs w:val="18"/>
              </w:rPr>
            </w:pPr>
          </w:p>
        </w:tc>
        <w:tc>
          <w:tcPr>
            <w:tcW w:w="1689" w:type="dxa"/>
            <w:gridSpan w:val="4"/>
            <w:vAlign w:val="center"/>
          </w:tcPr>
          <w:p w14:paraId="10BA6E96">
            <w:pPr>
              <w:ind w:firstLine="360"/>
              <w:jc w:val="center"/>
              <w:rPr>
                <w:rFonts w:ascii="宋体" w:hAnsi="宋体"/>
                <w:sz w:val="18"/>
                <w:szCs w:val="18"/>
              </w:rPr>
            </w:pPr>
          </w:p>
        </w:tc>
        <w:tc>
          <w:tcPr>
            <w:tcW w:w="1985" w:type="dxa"/>
            <w:vAlign w:val="center"/>
          </w:tcPr>
          <w:p w14:paraId="79CC19F7">
            <w:pPr>
              <w:ind w:firstLine="360"/>
              <w:jc w:val="center"/>
              <w:rPr>
                <w:rFonts w:ascii="宋体" w:hAnsi="宋体"/>
                <w:sz w:val="18"/>
                <w:szCs w:val="18"/>
              </w:rPr>
            </w:pPr>
          </w:p>
        </w:tc>
      </w:tr>
      <w:tr w14:paraId="57C5D7D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14:paraId="688F252B">
            <w:pPr>
              <w:rPr>
                <w:rFonts w:ascii="宋体" w:hAnsi="宋体"/>
                <w:sz w:val="18"/>
                <w:szCs w:val="18"/>
              </w:rPr>
            </w:pPr>
          </w:p>
        </w:tc>
        <w:tc>
          <w:tcPr>
            <w:tcW w:w="1984" w:type="dxa"/>
            <w:gridSpan w:val="2"/>
            <w:tcBorders>
              <w:left w:val="single" w:color="auto" w:sz="4" w:space="0"/>
            </w:tcBorders>
            <w:vAlign w:val="center"/>
          </w:tcPr>
          <w:p w14:paraId="4FD582CD">
            <w:pPr>
              <w:rPr>
                <w:rFonts w:ascii="宋体" w:hAnsi="宋体"/>
                <w:sz w:val="18"/>
                <w:szCs w:val="18"/>
              </w:rPr>
            </w:pPr>
            <w:r>
              <w:rPr>
                <w:rFonts w:hint="eastAsia" w:ascii="宋体" w:hAnsi="宋体"/>
                <w:sz w:val="18"/>
                <w:szCs w:val="18"/>
              </w:rPr>
              <w:t>4高位消防水箱</w:t>
            </w:r>
          </w:p>
        </w:tc>
        <w:tc>
          <w:tcPr>
            <w:tcW w:w="1760" w:type="dxa"/>
            <w:gridSpan w:val="2"/>
            <w:vAlign w:val="center"/>
          </w:tcPr>
          <w:p w14:paraId="578AF1FE">
            <w:pPr>
              <w:ind w:firstLine="360"/>
              <w:jc w:val="center"/>
              <w:rPr>
                <w:rFonts w:ascii="宋体" w:hAnsi="宋体"/>
                <w:sz w:val="18"/>
                <w:szCs w:val="18"/>
              </w:rPr>
            </w:pPr>
          </w:p>
        </w:tc>
        <w:tc>
          <w:tcPr>
            <w:tcW w:w="1796" w:type="dxa"/>
            <w:gridSpan w:val="2"/>
            <w:vAlign w:val="center"/>
          </w:tcPr>
          <w:p w14:paraId="5C45CC32">
            <w:pPr>
              <w:ind w:firstLine="360"/>
              <w:jc w:val="center"/>
              <w:rPr>
                <w:rFonts w:ascii="宋体" w:hAnsi="宋体"/>
                <w:sz w:val="18"/>
                <w:szCs w:val="18"/>
              </w:rPr>
            </w:pPr>
          </w:p>
        </w:tc>
        <w:tc>
          <w:tcPr>
            <w:tcW w:w="1689" w:type="dxa"/>
            <w:gridSpan w:val="4"/>
            <w:vAlign w:val="center"/>
          </w:tcPr>
          <w:p w14:paraId="5B13A14E">
            <w:pPr>
              <w:ind w:firstLine="360"/>
              <w:jc w:val="center"/>
              <w:rPr>
                <w:rFonts w:ascii="宋体" w:hAnsi="宋体"/>
                <w:sz w:val="18"/>
                <w:szCs w:val="18"/>
              </w:rPr>
            </w:pPr>
          </w:p>
        </w:tc>
        <w:tc>
          <w:tcPr>
            <w:tcW w:w="1985" w:type="dxa"/>
            <w:vAlign w:val="center"/>
          </w:tcPr>
          <w:p w14:paraId="649E39CE">
            <w:pPr>
              <w:ind w:firstLine="360"/>
              <w:jc w:val="center"/>
              <w:rPr>
                <w:rFonts w:ascii="宋体" w:hAnsi="宋体"/>
                <w:sz w:val="18"/>
                <w:szCs w:val="18"/>
              </w:rPr>
            </w:pPr>
          </w:p>
        </w:tc>
      </w:tr>
      <w:tr w14:paraId="2ACCE94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5" w:hRule="atLeast"/>
          <w:jc w:val="center"/>
        </w:trPr>
        <w:tc>
          <w:tcPr>
            <w:tcW w:w="841" w:type="dxa"/>
            <w:vMerge w:val="continue"/>
            <w:tcBorders>
              <w:right w:val="single" w:color="auto" w:sz="4" w:space="0"/>
            </w:tcBorders>
            <w:vAlign w:val="center"/>
          </w:tcPr>
          <w:p w14:paraId="7A7659D8">
            <w:pPr>
              <w:rPr>
                <w:rFonts w:ascii="宋体" w:hAnsi="宋体"/>
                <w:sz w:val="18"/>
                <w:szCs w:val="18"/>
              </w:rPr>
            </w:pPr>
          </w:p>
        </w:tc>
        <w:tc>
          <w:tcPr>
            <w:tcW w:w="1984" w:type="dxa"/>
            <w:gridSpan w:val="2"/>
            <w:tcBorders>
              <w:left w:val="single" w:color="auto" w:sz="4" w:space="0"/>
            </w:tcBorders>
            <w:vAlign w:val="center"/>
          </w:tcPr>
          <w:p w14:paraId="2B370FCD">
            <w:pPr>
              <w:rPr>
                <w:rFonts w:ascii="宋体" w:hAnsi="宋体"/>
                <w:sz w:val="18"/>
                <w:szCs w:val="18"/>
              </w:rPr>
            </w:pPr>
            <w:r>
              <w:rPr>
                <w:rFonts w:hint="eastAsia" w:ascii="宋体" w:hAnsi="宋体"/>
                <w:sz w:val="18"/>
                <w:szCs w:val="18"/>
              </w:rPr>
              <w:t>5稳压设施</w:t>
            </w:r>
          </w:p>
        </w:tc>
        <w:tc>
          <w:tcPr>
            <w:tcW w:w="1760" w:type="dxa"/>
            <w:gridSpan w:val="2"/>
            <w:vAlign w:val="center"/>
          </w:tcPr>
          <w:p w14:paraId="488D5D38">
            <w:pPr>
              <w:ind w:firstLine="360"/>
              <w:jc w:val="center"/>
              <w:rPr>
                <w:rFonts w:ascii="宋体" w:hAnsi="宋体"/>
                <w:sz w:val="18"/>
                <w:szCs w:val="18"/>
              </w:rPr>
            </w:pPr>
          </w:p>
        </w:tc>
        <w:tc>
          <w:tcPr>
            <w:tcW w:w="1796" w:type="dxa"/>
            <w:gridSpan w:val="2"/>
            <w:vAlign w:val="center"/>
          </w:tcPr>
          <w:p w14:paraId="35A94B1B">
            <w:pPr>
              <w:ind w:firstLine="360"/>
              <w:jc w:val="center"/>
              <w:rPr>
                <w:rFonts w:ascii="宋体" w:hAnsi="宋体"/>
                <w:sz w:val="18"/>
                <w:szCs w:val="18"/>
              </w:rPr>
            </w:pPr>
          </w:p>
        </w:tc>
        <w:tc>
          <w:tcPr>
            <w:tcW w:w="1689" w:type="dxa"/>
            <w:gridSpan w:val="4"/>
            <w:vAlign w:val="center"/>
          </w:tcPr>
          <w:p w14:paraId="6358DF28">
            <w:pPr>
              <w:ind w:firstLine="360"/>
              <w:jc w:val="center"/>
              <w:rPr>
                <w:rFonts w:ascii="宋体" w:hAnsi="宋体"/>
                <w:sz w:val="18"/>
                <w:szCs w:val="18"/>
              </w:rPr>
            </w:pPr>
          </w:p>
        </w:tc>
        <w:tc>
          <w:tcPr>
            <w:tcW w:w="1985" w:type="dxa"/>
            <w:vAlign w:val="center"/>
          </w:tcPr>
          <w:p w14:paraId="0DD49BC7">
            <w:pPr>
              <w:ind w:firstLine="360"/>
              <w:jc w:val="center"/>
              <w:rPr>
                <w:rFonts w:ascii="宋体" w:hAnsi="宋体"/>
                <w:sz w:val="18"/>
                <w:szCs w:val="18"/>
              </w:rPr>
            </w:pPr>
          </w:p>
        </w:tc>
      </w:tr>
      <w:tr w14:paraId="50A7705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14:paraId="2F590A24">
            <w:pPr>
              <w:rPr>
                <w:rFonts w:ascii="宋体" w:hAnsi="宋体"/>
                <w:sz w:val="18"/>
                <w:szCs w:val="18"/>
              </w:rPr>
            </w:pPr>
          </w:p>
        </w:tc>
        <w:tc>
          <w:tcPr>
            <w:tcW w:w="1984" w:type="dxa"/>
            <w:gridSpan w:val="2"/>
            <w:tcBorders>
              <w:left w:val="single" w:color="auto" w:sz="4" w:space="0"/>
            </w:tcBorders>
            <w:vAlign w:val="center"/>
          </w:tcPr>
          <w:p w14:paraId="2D6E800C">
            <w:pPr>
              <w:rPr>
                <w:rFonts w:ascii="宋体" w:hAnsi="宋体"/>
                <w:sz w:val="18"/>
                <w:szCs w:val="18"/>
              </w:rPr>
            </w:pPr>
            <w:r>
              <w:rPr>
                <w:rFonts w:hint="eastAsia" w:ascii="宋体" w:hAnsi="宋体"/>
                <w:sz w:val="18"/>
                <w:szCs w:val="18"/>
              </w:rPr>
              <w:t>6水泵接合器</w:t>
            </w:r>
          </w:p>
        </w:tc>
        <w:tc>
          <w:tcPr>
            <w:tcW w:w="1760" w:type="dxa"/>
            <w:gridSpan w:val="2"/>
            <w:vAlign w:val="center"/>
          </w:tcPr>
          <w:p w14:paraId="677A3473">
            <w:pPr>
              <w:ind w:firstLine="360"/>
              <w:jc w:val="center"/>
              <w:rPr>
                <w:rFonts w:ascii="宋体" w:hAnsi="宋体"/>
                <w:sz w:val="18"/>
                <w:szCs w:val="18"/>
              </w:rPr>
            </w:pPr>
          </w:p>
        </w:tc>
        <w:tc>
          <w:tcPr>
            <w:tcW w:w="1796" w:type="dxa"/>
            <w:gridSpan w:val="2"/>
            <w:vAlign w:val="center"/>
          </w:tcPr>
          <w:p w14:paraId="31912765">
            <w:pPr>
              <w:ind w:firstLine="360"/>
              <w:jc w:val="center"/>
              <w:rPr>
                <w:rFonts w:ascii="宋体" w:hAnsi="宋体"/>
                <w:sz w:val="18"/>
                <w:szCs w:val="18"/>
              </w:rPr>
            </w:pPr>
          </w:p>
        </w:tc>
        <w:tc>
          <w:tcPr>
            <w:tcW w:w="1689" w:type="dxa"/>
            <w:gridSpan w:val="4"/>
            <w:vAlign w:val="center"/>
          </w:tcPr>
          <w:p w14:paraId="0142D587">
            <w:pPr>
              <w:ind w:firstLine="360"/>
              <w:jc w:val="center"/>
              <w:rPr>
                <w:rFonts w:ascii="宋体" w:hAnsi="宋体"/>
                <w:sz w:val="18"/>
                <w:szCs w:val="18"/>
              </w:rPr>
            </w:pPr>
          </w:p>
        </w:tc>
        <w:tc>
          <w:tcPr>
            <w:tcW w:w="1985" w:type="dxa"/>
            <w:vAlign w:val="center"/>
          </w:tcPr>
          <w:p w14:paraId="46B520D3">
            <w:pPr>
              <w:ind w:firstLine="360"/>
              <w:jc w:val="center"/>
              <w:rPr>
                <w:rFonts w:ascii="宋体" w:hAnsi="宋体"/>
                <w:sz w:val="18"/>
                <w:szCs w:val="18"/>
              </w:rPr>
            </w:pPr>
          </w:p>
        </w:tc>
      </w:tr>
      <w:tr w14:paraId="4E68DAB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restart"/>
            <w:tcBorders>
              <w:right w:val="single" w:color="auto" w:sz="4" w:space="0"/>
            </w:tcBorders>
            <w:vAlign w:val="center"/>
          </w:tcPr>
          <w:p w14:paraId="0D086A8D">
            <w:pPr>
              <w:rPr>
                <w:rFonts w:ascii="宋体" w:hAnsi="宋体"/>
                <w:sz w:val="18"/>
                <w:szCs w:val="18"/>
              </w:rPr>
            </w:pPr>
            <w:r>
              <w:rPr>
                <w:rFonts w:hint="eastAsia" w:ascii="宋体" w:hAnsi="宋体"/>
                <w:sz w:val="18"/>
                <w:szCs w:val="18"/>
              </w:rPr>
              <w:t>9</w:t>
            </w:r>
          </w:p>
          <w:p w14:paraId="75AAE8B4">
            <w:pPr>
              <w:rPr>
                <w:rFonts w:ascii="宋体" w:hAnsi="宋体"/>
                <w:sz w:val="18"/>
                <w:szCs w:val="18"/>
              </w:rPr>
            </w:pPr>
            <w:r>
              <w:rPr>
                <w:rFonts w:hint="eastAsia" w:ascii="宋体" w:hAnsi="宋体"/>
                <w:sz w:val="18"/>
                <w:szCs w:val="18"/>
              </w:rPr>
              <w:t>消火栓系统</w:t>
            </w:r>
            <w:r>
              <w:rPr>
                <w:rFonts w:ascii="宋体" w:hAnsi="宋体"/>
                <w:sz w:val="18"/>
                <w:szCs w:val="18"/>
              </w:rPr>
              <w:t xml:space="preserve"> </w:t>
            </w:r>
          </w:p>
        </w:tc>
        <w:tc>
          <w:tcPr>
            <w:tcW w:w="1984" w:type="dxa"/>
            <w:gridSpan w:val="2"/>
            <w:tcBorders>
              <w:left w:val="single" w:color="auto" w:sz="4" w:space="0"/>
            </w:tcBorders>
            <w:vAlign w:val="center"/>
          </w:tcPr>
          <w:p w14:paraId="528CE0DB">
            <w:pPr>
              <w:rPr>
                <w:rFonts w:ascii="宋体" w:hAnsi="宋体"/>
                <w:strike/>
                <w:sz w:val="18"/>
                <w:szCs w:val="18"/>
              </w:rPr>
            </w:pPr>
            <w:r>
              <w:rPr>
                <w:rFonts w:hint="eastAsia" w:ascii="宋体" w:hAnsi="宋体"/>
                <w:sz w:val="18"/>
                <w:szCs w:val="18"/>
              </w:rPr>
              <w:t>1消防管网及系统流量</w:t>
            </w:r>
          </w:p>
        </w:tc>
        <w:tc>
          <w:tcPr>
            <w:tcW w:w="1760" w:type="dxa"/>
            <w:gridSpan w:val="2"/>
            <w:vAlign w:val="center"/>
          </w:tcPr>
          <w:p w14:paraId="75F41132">
            <w:pPr>
              <w:ind w:firstLine="360"/>
              <w:jc w:val="center"/>
              <w:rPr>
                <w:rFonts w:ascii="宋体" w:hAnsi="宋体"/>
                <w:sz w:val="18"/>
                <w:szCs w:val="18"/>
              </w:rPr>
            </w:pPr>
          </w:p>
        </w:tc>
        <w:tc>
          <w:tcPr>
            <w:tcW w:w="1796" w:type="dxa"/>
            <w:gridSpan w:val="2"/>
            <w:vAlign w:val="center"/>
          </w:tcPr>
          <w:p w14:paraId="5B842BF2">
            <w:pPr>
              <w:ind w:firstLine="360"/>
              <w:jc w:val="center"/>
              <w:rPr>
                <w:rFonts w:ascii="宋体" w:hAnsi="宋体"/>
                <w:sz w:val="18"/>
                <w:szCs w:val="18"/>
              </w:rPr>
            </w:pPr>
          </w:p>
        </w:tc>
        <w:tc>
          <w:tcPr>
            <w:tcW w:w="1689" w:type="dxa"/>
            <w:gridSpan w:val="4"/>
            <w:vAlign w:val="center"/>
          </w:tcPr>
          <w:p w14:paraId="2634953F">
            <w:pPr>
              <w:ind w:firstLine="360"/>
              <w:jc w:val="center"/>
              <w:rPr>
                <w:rFonts w:ascii="宋体" w:hAnsi="宋体"/>
                <w:sz w:val="18"/>
                <w:szCs w:val="18"/>
              </w:rPr>
            </w:pPr>
          </w:p>
        </w:tc>
        <w:tc>
          <w:tcPr>
            <w:tcW w:w="1985" w:type="dxa"/>
            <w:vAlign w:val="center"/>
          </w:tcPr>
          <w:p w14:paraId="4D8A2EF0">
            <w:pPr>
              <w:ind w:firstLine="360"/>
              <w:jc w:val="center"/>
              <w:rPr>
                <w:rFonts w:ascii="宋体" w:hAnsi="宋体"/>
                <w:sz w:val="18"/>
                <w:szCs w:val="18"/>
              </w:rPr>
            </w:pPr>
          </w:p>
        </w:tc>
      </w:tr>
      <w:tr w14:paraId="474346E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14:paraId="46037D56">
            <w:pPr>
              <w:rPr>
                <w:rFonts w:ascii="宋体" w:hAnsi="宋体"/>
                <w:sz w:val="18"/>
                <w:szCs w:val="18"/>
              </w:rPr>
            </w:pPr>
          </w:p>
        </w:tc>
        <w:tc>
          <w:tcPr>
            <w:tcW w:w="1984" w:type="dxa"/>
            <w:gridSpan w:val="2"/>
            <w:tcBorders>
              <w:left w:val="single" w:color="auto" w:sz="4" w:space="0"/>
            </w:tcBorders>
            <w:vAlign w:val="center"/>
          </w:tcPr>
          <w:p w14:paraId="2FAE3E21">
            <w:pPr>
              <w:rPr>
                <w:rFonts w:ascii="宋体" w:hAnsi="宋体"/>
                <w:sz w:val="18"/>
                <w:szCs w:val="18"/>
              </w:rPr>
            </w:pPr>
            <w:r>
              <w:rPr>
                <w:rFonts w:hint="eastAsia" w:ascii="宋体" w:hAnsi="宋体"/>
                <w:sz w:val="18"/>
                <w:szCs w:val="18"/>
              </w:rPr>
              <w:t>2市政消火栓</w:t>
            </w:r>
          </w:p>
        </w:tc>
        <w:tc>
          <w:tcPr>
            <w:tcW w:w="1760" w:type="dxa"/>
            <w:gridSpan w:val="2"/>
            <w:vAlign w:val="center"/>
          </w:tcPr>
          <w:p w14:paraId="1F28FAB0">
            <w:pPr>
              <w:ind w:firstLine="360"/>
              <w:jc w:val="center"/>
              <w:rPr>
                <w:rFonts w:ascii="宋体" w:hAnsi="宋体"/>
                <w:sz w:val="18"/>
                <w:szCs w:val="18"/>
              </w:rPr>
            </w:pPr>
          </w:p>
        </w:tc>
        <w:tc>
          <w:tcPr>
            <w:tcW w:w="1796" w:type="dxa"/>
            <w:gridSpan w:val="2"/>
            <w:vAlign w:val="center"/>
          </w:tcPr>
          <w:p w14:paraId="74521CD0">
            <w:pPr>
              <w:ind w:firstLine="360"/>
              <w:jc w:val="center"/>
              <w:rPr>
                <w:rFonts w:ascii="宋体" w:hAnsi="宋体"/>
                <w:sz w:val="18"/>
                <w:szCs w:val="18"/>
              </w:rPr>
            </w:pPr>
          </w:p>
        </w:tc>
        <w:tc>
          <w:tcPr>
            <w:tcW w:w="1689" w:type="dxa"/>
            <w:gridSpan w:val="4"/>
            <w:vAlign w:val="center"/>
          </w:tcPr>
          <w:p w14:paraId="75EB882A">
            <w:pPr>
              <w:ind w:firstLine="360"/>
              <w:jc w:val="center"/>
              <w:rPr>
                <w:rFonts w:ascii="宋体" w:hAnsi="宋体"/>
                <w:sz w:val="18"/>
                <w:szCs w:val="18"/>
              </w:rPr>
            </w:pPr>
          </w:p>
        </w:tc>
        <w:tc>
          <w:tcPr>
            <w:tcW w:w="1985" w:type="dxa"/>
            <w:vAlign w:val="center"/>
          </w:tcPr>
          <w:p w14:paraId="5673EA25">
            <w:pPr>
              <w:ind w:firstLine="360"/>
              <w:jc w:val="center"/>
              <w:rPr>
                <w:rFonts w:ascii="宋体" w:hAnsi="宋体"/>
                <w:sz w:val="18"/>
                <w:szCs w:val="18"/>
              </w:rPr>
            </w:pPr>
          </w:p>
        </w:tc>
      </w:tr>
      <w:tr w14:paraId="3DA350A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14:paraId="11E0DC41">
            <w:pPr>
              <w:rPr>
                <w:rFonts w:ascii="宋体" w:hAnsi="宋体"/>
                <w:sz w:val="18"/>
                <w:szCs w:val="18"/>
              </w:rPr>
            </w:pPr>
          </w:p>
        </w:tc>
        <w:tc>
          <w:tcPr>
            <w:tcW w:w="1984" w:type="dxa"/>
            <w:gridSpan w:val="2"/>
            <w:tcBorders>
              <w:left w:val="single" w:color="auto" w:sz="4" w:space="0"/>
            </w:tcBorders>
            <w:vAlign w:val="center"/>
          </w:tcPr>
          <w:p w14:paraId="10EE8BC0">
            <w:pPr>
              <w:rPr>
                <w:rFonts w:ascii="宋体" w:hAnsi="宋体"/>
                <w:sz w:val="18"/>
                <w:szCs w:val="18"/>
              </w:rPr>
            </w:pPr>
            <w:r>
              <w:rPr>
                <w:rFonts w:hint="eastAsia" w:ascii="宋体" w:hAnsi="宋体"/>
                <w:sz w:val="18"/>
                <w:szCs w:val="18"/>
              </w:rPr>
              <w:t>3室外消火栓</w:t>
            </w:r>
          </w:p>
        </w:tc>
        <w:tc>
          <w:tcPr>
            <w:tcW w:w="1760" w:type="dxa"/>
            <w:gridSpan w:val="2"/>
            <w:vAlign w:val="center"/>
          </w:tcPr>
          <w:p w14:paraId="3CAA015F">
            <w:pPr>
              <w:ind w:firstLine="360"/>
              <w:jc w:val="center"/>
              <w:rPr>
                <w:rFonts w:ascii="宋体" w:hAnsi="宋体"/>
                <w:sz w:val="18"/>
                <w:szCs w:val="18"/>
              </w:rPr>
            </w:pPr>
          </w:p>
        </w:tc>
        <w:tc>
          <w:tcPr>
            <w:tcW w:w="1796" w:type="dxa"/>
            <w:gridSpan w:val="2"/>
            <w:vAlign w:val="center"/>
          </w:tcPr>
          <w:p w14:paraId="25F7C4BB">
            <w:pPr>
              <w:ind w:firstLine="360"/>
              <w:jc w:val="center"/>
              <w:rPr>
                <w:rFonts w:ascii="宋体" w:hAnsi="宋体"/>
                <w:sz w:val="18"/>
                <w:szCs w:val="18"/>
              </w:rPr>
            </w:pPr>
          </w:p>
        </w:tc>
        <w:tc>
          <w:tcPr>
            <w:tcW w:w="1689" w:type="dxa"/>
            <w:gridSpan w:val="4"/>
            <w:vAlign w:val="center"/>
          </w:tcPr>
          <w:p w14:paraId="5B419E2E">
            <w:pPr>
              <w:ind w:firstLine="360"/>
              <w:jc w:val="center"/>
              <w:rPr>
                <w:rFonts w:ascii="宋体" w:hAnsi="宋体"/>
                <w:sz w:val="18"/>
                <w:szCs w:val="18"/>
              </w:rPr>
            </w:pPr>
          </w:p>
        </w:tc>
        <w:tc>
          <w:tcPr>
            <w:tcW w:w="1985" w:type="dxa"/>
            <w:vAlign w:val="center"/>
          </w:tcPr>
          <w:p w14:paraId="49DF0C72">
            <w:pPr>
              <w:ind w:firstLine="360"/>
              <w:jc w:val="center"/>
              <w:rPr>
                <w:rFonts w:ascii="宋体" w:hAnsi="宋体"/>
                <w:sz w:val="18"/>
                <w:szCs w:val="18"/>
              </w:rPr>
            </w:pPr>
          </w:p>
        </w:tc>
      </w:tr>
      <w:tr w14:paraId="7627BBA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14:paraId="51C0793D">
            <w:pPr>
              <w:rPr>
                <w:rFonts w:ascii="宋体" w:hAnsi="宋体"/>
                <w:sz w:val="18"/>
                <w:szCs w:val="18"/>
              </w:rPr>
            </w:pPr>
          </w:p>
        </w:tc>
        <w:tc>
          <w:tcPr>
            <w:tcW w:w="1984" w:type="dxa"/>
            <w:gridSpan w:val="2"/>
            <w:tcBorders>
              <w:left w:val="single" w:color="auto" w:sz="4" w:space="0"/>
              <w:right w:val="single" w:color="auto" w:sz="4" w:space="0"/>
            </w:tcBorders>
            <w:vAlign w:val="center"/>
          </w:tcPr>
          <w:p w14:paraId="4E2146AC">
            <w:pPr>
              <w:rPr>
                <w:rFonts w:ascii="宋体" w:hAnsi="宋体"/>
                <w:sz w:val="18"/>
                <w:szCs w:val="18"/>
              </w:rPr>
            </w:pPr>
            <w:r>
              <w:rPr>
                <w:rFonts w:hint="eastAsia" w:ascii="宋体" w:hAnsi="宋体"/>
                <w:sz w:val="18"/>
                <w:szCs w:val="18"/>
              </w:rPr>
              <w:t>4室内消火栓</w:t>
            </w:r>
          </w:p>
        </w:tc>
        <w:tc>
          <w:tcPr>
            <w:tcW w:w="1760" w:type="dxa"/>
            <w:gridSpan w:val="2"/>
            <w:tcBorders>
              <w:left w:val="single" w:color="auto" w:sz="4" w:space="0"/>
            </w:tcBorders>
            <w:vAlign w:val="center"/>
          </w:tcPr>
          <w:p w14:paraId="2363DAD0">
            <w:pPr>
              <w:ind w:firstLine="360"/>
              <w:jc w:val="center"/>
              <w:rPr>
                <w:rFonts w:ascii="宋体" w:hAnsi="宋体"/>
                <w:sz w:val="18"/>
                <w:szCs w:val="18"/>
              </w:rPr>
            </w:pPr>
          </w:p>
        </w:tc>
        <w:tc>
          <w:tcPr>
            <w:tcW w:w="1796" w:type="dxa"/>
            <w:gridSpan w:val="2"/>
            <w:vAlign w:val="center"/>
          </w:tcPr>
          <w:p w14:paraId="7CBC891D">
            <w:pPr>
              <w:ind w:firstLine="360"/>
              <w:jc w:val="center"/>
              <w:rPr>
                <w:rFonts w:ascii="宋体" w:hAnsi="宋体"/>
                <w:sz w:val="18"/>
                <w:szCs w:val="18"/>
              </w:rPr>
            </w:pPr>
          </w:p>
        </w:tc>
        <w:tc>
          <w:tcPr>
            <w:tcW w:w="1689" w:type="dxa"/>
            <w:gridSpan w:val="4"/>
            <w:vAlign w:val="center"/>
          </w:tcPr>
          <w:p w14:paraId="7BB601E6">
            <w:pPr>
              <w:ind w:firstLine="360"/>
              <w:jc w:val="center"/>
              <w:rPr>
                <w:rFonts w:ascii="宋体" w:hAnsi="宋体"/>
                <w:sz w:val="18"/>
                <w:szCs w:val="18"/>
              </w:rPr>
            </w:pPr>
          </w:p>
        </w:tc>
        <w:tc>
          <w:tcPr>
            <w:tcW w:w="1985" w:type="dxa"/>
            <w:vAlign w:val="center"/>
          </w:tcPr>
          <w:p w14:paraId="2108E811">
            <w:pPr>
              <w:ind w:firstLine="360"/>
              <w:jc w:val="center"/>
              <w:rPr>
                <w:rFonts w:ascii="宋体" w:hAnsi="宋体"/>
                <w:sz w:val="18"/>
                <w:szCs w:val="18"/>
              </w:rPr>
            </w:pPr>
          </w:p>
        </w:tc>
      </w:tr>
      <w:tr w14:paraId="4CAD883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14:paraId="2EE52D8B">
            <w:pPr>
              <w:rPr>
                <w:rFonts w:ascii="宋体" w:hAnsi="宋体"/>
                <w:sz w:val="18"/>
                <w:szCs w:val="18"/>
              </w:rPr>
            </w:pPr>
          </w:p>
        </w:tc>
        <w:tc>
          <w:tcPr>
            <w:tcW w:w="1984" w:type="dxa"/>
            <w:gridSpan w:val="2"/>
            <w:tcBorders>
              <w:left w:val="single" w:color="auto" w:sz="4" w:space="0"/>
              <w:right w:val="single" w:color="auto" w:sz="4" w:space="0"/>
            </w:tcBorders>
            <w:vAlign w:val="center"/>
          </w:tcPr>
          <w:p w14:paraId="6798BB44">
            <w:pPr>
              <w:rPr>
                <w:rFonts w:ascii="宋体" w:hAnsi="宋体"/>
                <w:sz w:val="18"/>
                <w:szCs w:val="18"/>
              </w:rPr>
            </w:pPr>
            <w:r>
              <w:rPr>
                <w:rFonts w:hint="eastAsia" w:ascii="宋体" w:hAnsi="宋体"/>
                <w:sz w:val="18"/>
                <w:szCs w:val="18"/>
              </w:rPr>
              <w:t>5系统控制</w:t>
            </w:r>
          </w:p>
        </w:tc>
        <w:tc>
          <w:tcPr>
            <w:tcW w:w="1760" w:type="dxa"/>
            <w:gridSpan w:val="2"/>
            <w:tcBorders>
              <w:left w:val="single" w:color="auto" w:sz="4" w:space="0"/>
            </w:tcBorders>
            <w:vAlign w:val="center"/>
          </w:tcPr>
          <w:p w14:paraId="566F5BB5">
            <w:pPr>
              <w:ind w:firstLine="360"/>
              <w:jc w:val="center"/>
              <w:rPr>
                <w:rFonts w:ascii="宋体" w:hAnsi="宋体"/>
                <w:sz w:val="18"/>
                <w:szCs w:val="18"/>
              </w:rPr>
            </w:pPr>
          </w:p>
        </w:tc>
        <w:tc>
          <w:tcPr>
            <w:tcW w:w="1796" w:type="dxa"/>
            <w:gridSpan w:val="2"/>
            <w:vAlign w:val="center"/>
          </w:tcPr>
          <w:p w14:paraId="1E3F48CE">
            <w:pPr>
              <w:ind w:firstLine="360"/>
              <w:jc w:val="center"/>
              <w:rPr>
                <w:rFonts w:ascii="宋体" w:hAnsi="宋体"/>
                <w:sz w:val="18"/>
                <w:szCs w:val="18"/>
              </w:rPr>
            </w:pPr>
          </w:p>
        </w:tc>
        <w:tc>
          <w:tcPr>
            <w:tcW w:w="1689" w:type="dxa"/>
            <w:gridSpan w:val="4"/>
            <w:vAlign w:val="center"/>
          </w:tcPr>
          <w:p w14:paraId="2FB6E6C2">
            <w:pPr>
              <w:ind w:firstLine="360"/>
              <w:jc w:val="center"/>
              <w:rPr>
                <w:rFonts w:ascii="宋体" w:hAnsi="宋体"/>
                <w:sz w:val="18"/>
                <w:szCs w:val="18"/>
              </w:rPr>
            </w:pPr>
          </w:p>
        </w:tc>
        <w:tc>
          <w:tcPr>
            <w:tcW w:w="1985" w:type="dxa"/>
            <w:vAlign w:val="center"/>
          </w:tcPr>
          <w:p w14:paraId="39671FB1">
            <w:pPr>
              <w:ind w:firstLine="360"/>
              <w:jc w:val="center"/>
              <w:rPr>
                <w:rFonts w:ascii="宋体" w:hAnsi="宋体"/>
                <w:sz w:val="18"/>
                <w:szCs w:val="18"/>
              </w:rPr>
            </w:pPr>
          </w:p>
        </w:tc>
      </w:tr>
      <w:tr w14:paraId="71D8FDF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restart"/>
            <w:tcBorders>
              <w:right w:val="single" w:color="auto" w:sz="4" w:space="0"/>
            </w:tcBorders>
            <w:vAlign w:val="center"/>
          </w:tcPr>
          <w:p w14:paraId="1B22FC1E">
            <w:pPr>
              <w:rPr>
                <w:rFonts w:ascii="宋体" w:hAnsi="宋体"/>
                <w:sz w:val="18"/>
                <w:szCs w:val="18"/>
              </w:rPr>
            </w:pPr>
            <w:r>
              <w:rPr>
                <w:rFonts w:hint="eastAsia" w:ascii="宋体" w:hAnsi="宋体"/>
                <w:sz w:val="18"/>
                <w:szCs w:val="18"/>
              </w:rPr>
              <w:t>10</w:t>
            </w:r>
          </w:p>
          <w:p w14:paraId="3DDF945F">
            <w:pPr>
              <w:rPr>
                <w:rFonts w:ascii="宋体" w:hAnsi="宋体"/>
                <w:sz w:val="18"/>
                <w:szCs w:val="18"/>
              </w:rPr>
            </w:pPr>
            <w:r>
              <w:rPr>
                <w:rFonts w:hint="eastAsia" w:ascii="宋体" w:hAnsi="宋体"/>
                <w:sz w:val="18"/>
                <w:szCs w:val="18"/>
              </w:rPr>
              <w:t>自动喷水灭火系统</w:t>
            </w:r>
          </w:p>
        </w:tc>
        <w:tc>
          <w:tcPr>
            <w:tcW w:w="1984" w:type="dxa"/>
            <w:gridSpan w:val="2"/>
            <w:tcBorders>
              <w:left w:val="single" w:color="auto" w:sz="4" w:space="0"/>
              <w:right w:val="single" w:color="auto" w:sz="4" w:space="0"/>
            </w:tcBorders>
            <w:vAlign w:val="center"/>
          </w:tcPr>
          <w:p w14:paraId="204FDDD7">
            <w:pPr>
              <w:rPr>
                <w:rFonts w:ascii="宋体" w:hAnsi="宋体"/>
                <w:sz w:val="18"/>
                <w:szCs w:val="18"/>
              </w:rPr>
            </w:pPr>
            <w:r>
              <w:rPr>
                <w:rFonts w:hint="eastAsia" w:ascii="宋体" w:hAnsi="宋体"/>
                <w:sz w:val="18"/>
                <w:szCs w:val="18"/>
              </w:rPr>
              <w:t>1消防管网及系统流量</w:t>
            </w:r>
          </w:p>
        </w:tc>
        <w:tc>
          <w:tcPr>
            <w:tcW w:w="1760" w:type="dxa"/>
            <w:gridSpan w:val="2"/>
            <w:tcBorders>
              <w:left w:val="single" w:color="auto" w:sz="4" w:space="0"/>
            </w:tcBorders>
            <w:vAlign w:val="center"/>
          </w:tcPr>
          <w:p w14:paraId="7DA4C0E9">
            <w:pPr>
              <w:ind w:firstLine="360"/>
              <w:jc w:val="center"/>
              <w:rPr>
                <w:rFonts w:ascii="宋体" w:hAnsi="宋体"/>
                <w:sz w:val="18"/>
                <w:szCs w:val="18"/>
              </w:rPr>
            </w:pPr>
          </w:p>
        </w:tc>
        <w:tc>
          <w:tcPr>
            <w:tcW w:w="1796" w:type="dxa"/>
            <w:gridSpan w:val="2"/>
            <w:vAlign w:val="center"/>
          </w:tcPr>
          <w:p w14:paraId="365E75D3">
            <w:pPr>
              <w:ind w:firstLine="360"/>
              <w:jc w:val="center"/>
              <w:rPr>
                <w:rFonts w:ascii="宋体" w:hAnsi="宋体"/>
                <w:sz w:val="18"/>
                <w:szCs w:val="18"/>
              </w:rPr>
            </w:pPr>
          </w:p>
        </w:tc>
        <w:tc>
          <w:tcPr>
            <w:tcW w:w="1689" w:type="dxa"/>
            <w:gridSpan w:val="4"/>
            <w:vAlign w:val="center"/>
          </w:tcPr>
          <w:p w14:paraId="4B314EB6">
            <w:pPr>
              <w:ind w:firstLine="360"/>
              <w:jc w:val="center"/>
              <w:rPr>
                <w:rFonts w:ascii="宋体" w:hAnsi="宋体"/>
                <w:sz w:val="18"/>
                <w:szCs w:val="18"/>
              </w:rPr>
            </w:pPr>
          </w:p>
        </w:tc>
        <w:tc>
          <w:tcPr>
            <w:tcW w:w="1985" w:type="dxa"/>
            <w:vAlign w:val="center"/>
          </w:tcPr>
          <w:p w14:paraId="4266BCBE">
            <w:pPr>
              <w:ind w:firstLine="360"/>
              <w:jc w:val="center"/>
              <w:rPr>
                <w:rFonts w:ascii="宋体" w:hAnsi="宋体"/>
                <w:sz w:val="18"/>
                <w:szCs w:val="18"/>
              </w:rPr>
            </w:pPr>
          </w:p>
        </w:tc>
      </w:tr>
      <w:tr w14:paraId="211DB5B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14:paraId="03B68C64">
            <w:pPr>
              <w:rPr>
                <w:rFonts w:ascii="宋体" w:hAnsi="宋体"/>
                <w:sz w:val="18"/>
                <w:szCs w:val="18"/>
              </w:rPr>
            </w:pPr>
          </w:p>
        </w:tc>
        <w:tc>
          <w:tcPr>
            <w:tcW w:w="1984" w:type="dxa"/>
            <w:gridSpan w:val="2"/>
            <w:tcBorders>
              <w:left w:val="single" w:color="auto" w:sz="4" w:space="0"/>
              <w:right w:val="single" w:color="auto" w:sz="4" w:space="0"/>
            </w:tcBorders>
            <w:vAlign w:val="center"/>
          </w:tcPr>
          <w:p w14:paraId="783D645F">
            <w:pPr>
              <w:rPr>
                <w:rFonts w:ascii="宋体" w:hAnsi="宋体"/>
                <w:sz w:val="18"/>
                <w:szCs w:val="18"/>
              </w:rPr>
            </w:pPr>
            <w:r>
              <w:rPr>
                <w:rFonts w:hint="eastAsia" w:ascii="宋体" w:hAnsi="宋体"/>
                <w:sz w:val="18"/>
                <w:szCs w:val="18"/>
              </w:rPr>
              <w:t>2报警阀组</w:t>
            </w:r>
          </w:p>
        </w:tc>
        <w:tc>
          <w:tcPr>
            <w:tcW w:w="1760" w:type="dxa"/>
            <w:gridSpan w:val="2"/>
            <w:tcBorders>
              <w:left w:val="single" w:color="auto" w:sz="4" w:space="0"/>
            </w:tcBorders>
            <w:vAlign w:val="center"/>
          </w:tcPr>
          <w:p w14:paraId="18C9C50A">
            <w:pPr>
              <w:ind w:firstLine="360"/>
              <w:jc w:val="center"/>
              <w:rPr>
                <w:rFonts w:ascii="宋体" w:hAnsi="宋体"/>
                <w:sz w:val="18"/>
                <w:szCs w:val="18"/>
              </w:rPr>
            </w:pPr>
          </w:p>
        </w:tc>
        <w:tc>
          <w:tcPr>
            <w:tcW w:w="1796" w:type="dxa"/>
            <w:gridSpan w:val="2"/>
            <w:vAlign w:val="center"/>
          </w:tcPr>
          <w:p w14:paraId="62E8872A">
            <w:pPr>
              <w:ind w:firstLine="360"/>
              <w:jc w:val="center"/>
              <w:rPr>
                <w:rFonts w:ascii="宋体" w:hAnsi="宋体"/>
                <w:sz w:val="18"/>
                <w:szCs w:val="18"/>
              </w:rPr>
            </w:pPr>
          </w:p>
        </w:tc>
        <w:tc>
          <w:tcPr>
            <w:tcW w:w="1689" w:type="dxa"/>
            <w:gridSpan w:val="4"/>
            <w:vAlign w:val="center"/>
          </w:tcPr>
          <w:p w14:paraId="0D3665B7">
            <w:pPr>
              <w:ind w:firstLine="360"/>
              <w:jc w:val="center"/>
              <w:rPr>
                <w:rFonts w:ascii="宋体" w:hAnsi="宋体"/>
                <w:sz w:val="18"/>
                <w:szCs w:val="18"/>
              </w:rPr>
            </w:pPr>
          </w:p>
        </w:tc>
        <w:tc>
          <w:tcPr>
            <w:tcW w:w="1985" w:type="dxa"/>
            <w:vAlign w:val="center"/>
          </w:tcPr>
          <w:p w14:paraId="2B30FF3C">
            <w:pPr>
              <w:ind w:firstLine="360"/>
              <w:jc w:val="center"/>
              <w:rPr>
                <w:rFonts w:ascii="宋体" w:hAnsi="宋体"/>
                <w:sz w:val="18"/>
                <w:szCs w:val="18"/>
              </w:rPr>
            </w:pPr>
          </w:p>
        </w:tc>
      </w:tr>
      <w:tr w14:paraId="38AA700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14:paraId="3C5502C1">
            <w:pPr>
              <w:rPr>
                <w:rFonts w:ascii="宋体" w:hAnsi="宋体"/>
                <w:sz w:val="18"/>
                <w:szCs w:val="18"/>
              </w:rPr>
            </w:pPr>
          </w:p>
        </w:tc>
        <w:tc>
          <w:tcPr>
            <w:tcW w:w="1984" w:type="dxa"/>
            <w:gridSpan w:val="2"/>
            <w:tcBorders>
              <w:left w:val="single" w:color="auto" w:sz="4" w:space="0"/>
              <w:right w:val="single" w:color="auto" w:sz="4" w:space="0"/>
            </w:tcBorders>
            <w:vAlign w:val="center"/>
          </w:tcPr>
          <w:p w14:paraId="7DABA418">
            <w:pPr>
              <w:rPr>
                <w:rFonts w:ascii="宋体" w:hAnsi="宋体"/>
                <w:sz w:val="18"/>
                <w:szCs w:val="18"/>
              </w:rPr>
            </w:pPr>
            <w:r>
              <w:rPr>
                <w:rFonts w:hint="eastAsia" w:ascii="宋体" w:hAnsi="宋体"/>
                <w:sz w:val="18"/>
                <w:szCs w:val="18"/>
              </w:rPr>
              <w:t>3喷头</w:t>
            </w:r>
          </w:p>
        </w:tc>
        <w:tc>
          <w:tcPr>
            <w:tcW w:w="1760" w:type="dxa"/>
            <w:gridSpan w:val="2"/>
            <w:tcBorders>
              <w:left w:val="single" w:color="auto" w:sz="4" w:space="0"/>
            </w:tcBorders>
            <w:vAlign w:val="center"/>
          </w:tcPr>
          <w:p w14:paraId="6C4FE228">
            <w:pPr>
              <w:ind w:firstLine="360"/>
              <w:jc w:val="center"/>
              <w:rPr>
                <w:rFonts w:ascii="宋体" w:hAnsi="宋体"/>
                <w:sz w:val="18"/>
                <w:szCs w:val="18"/>
              </w:rPr>
            </w:pPr>
          </w:p>
        </w:tc>
        <w:tc>
          <w:tcPr>
            <w:tcW w:w="1796" w:type="dxa"/>
            <w:gridSpan w:val="2"/>
            <w:vAlign w:val="center"/>
          </w:tcPr>
          <w:p w14:paraId="44E3781D">
            <w:pPr>
              <w:ind w:firstLine="360"/>
              <w:jc w:val="center"/>
              <w:rPr>
                <w:rFonts w:ascii="宋体" w:hAnsi="宋体"/>
                <w:sz w:val="18"/>
                <w:szCs w:val="18"/>
              </w:rPr>
            </w:pPr>
          </w:p>
        </w:tc>
        <w:tc>
          <w:tcPr>
            <w:tcW w:w="1689" w:type="dxa"/>
            <w:gridSpan w:val="4"/>
            <w:vAlign w:val="center"/>
          </w:tcPr>
          <w:p w14:paraId="730835EF">
            <w:pPr>
              <w:ind w:firstLine="360"/>
              <w:jc w:val="center"/>
              <w:rPr>
                <w:rFonts w:ascii="宋体" w:hAnsi="宋体"/>
                <w:sz w:val="18"/>
                <w:szCs w:val="18"/>
              </w:rPr>
            </w:pPr>
          </w:p>
        </w:tc>
        <w:tc>
          <w:tcPr>
            <w:tcW w:w="1985" w:type="dxa"/>
            <w:vAlign w:val="center"/>
          </w:tcPr>
          <w:p w14:paraId="7E52B451">
            <w:pPr>
              <w:ind w:firstLine="360"/>
              <w:jc w:val="center"/>
              <w:rPr>
                <w:rFonts w:ascii="宋体" w:hAnsi="宋体"/>
                <w:sz w:val="18"/>
                <w:szCs w:val="18"/>
              </w:rPr>
            </w:pPr>
          </w:p>
        </w:tc>
      </w:tr>
      <w:tr w14:paraId="5E3C12F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14:paraId="463C15E6">
            <w:pPr>
              <w:rPr>
                <w:rFonts w:ascii="宋体" w:hAnsi="宋体"/>
                <w:sz w:val="18"/>
                <w:szCs w:val="18"/>
              </w:rPr>
            </w:pPr>
          </w:p>
        </w:tc>
        <w:tc>
          <w:tcPr>
            <w:tcW w:w="1984" w:type="dxa"/>
            <w:gridSpan w:val="2"/>
            <w:tcBorders>
              <w:left w:val="single" w:color="auto" w:sz="4" w:space="0"/>
              <w:right w:val="single" w:color="auto" w:sz="4" w:space="0"/>
            </w:tcBorders>
            <w:vAlign w:val="center"/>
          </w:tcPr>
          <w:p w14:paraId="726A6626">
            <w:pPr>
              <w:rPr>
                <w:rFonts w:ascii="宋体" w:hAnsi="宋体"/>
                <w:sz w:val="18"/>
                <w:szCs w:val="18"/>
              </w:rPr>
            </w:pPr>
            <w:r>
              <w:rPr>
                <w:rFonts w:hint="eastAsia" w:ascii="宋体" w:hAnsi="宋体"/>
                <w:sz w:val="18"/>
                <w:szCs w:val="18"/>
              </w:rPr>
              <w:t>4系统控制</w:t>
            </w:r>
          </w:p>
        </w:tc>
        <w:tc>
          <w:tcPr>
            <w:tcW w:w="1760" w:type="dxa"/>
            <w:gridSpan w:val="2"/>
            <w:tcBorders>
              <w:left w:val="single" w:color="auto" w:sz="4" w:space="0"/>
            </w:tcBorders>
            <w:vAlign w:val="center"/>
          </w:tcPr>
          <w:p w14:paraId="614D2271">
            <w:pPr>
              <w:ind w:firstLine="360"/>
              <w:jc w:val="center"/>
              <w:rPr>
                <w:rFonts w:ascii="宋体" w:hAnsi="宋体"/>
                <w:sz w:val="18"/>
                <w:szCs w:val="18"/>
              </w:rPr>
            </w:pPr>
          </w:p>
        </w:tc>
        <w:tc>
          <w:tcPr>
            <w:tcW w:w="1796" w:type="dxa"/>
            <w:gridSpan w:val="2"/>
            <w:vAlign w:val="center"/>
          </w:tcPr>
          <w:p w14:paraId="1448179F">
            <w:pPr>
              <w:ind w:firstLine="360"/>
              <w:jc w:val="center"/>
              <w:rPr>
                <w:rFonts w:ascii="宋体" w:hAnsi="宋体"/>
                <w:sz w:val="18"/>
                <w:szCs w:val="18"/>
              </w:rPr>
            </w:pPr>
          </w:p>
        </w:tc>
        <w:tc>
          <w:tcPr>
            <w:tcW w:w="1689" w:type="dxa"/>
            <w:gridSpan w:val="4"/>
            <w:vAlign w:val="center"/>
          </w:tcPr>
          <w:p w14:paraId="40543BA0">
            <w:pPr>
              <w:ind w:firstLine="360"/>
              <w:jc w:val="center"/>
              <w:rPr>
                <w:rFonts w:ascii="宋体" w:hAnsi="宋体"/>
                <w:sz w:val="18"/>
                <w:szCs w:val="18"/>
              </w:rPr>
            </w:pPr>
          </w:p>
        </w:tc>
        <w:tc>
          <w:tcPr>
            <w:tcW w:w="1985" w:type="dxa"/>
            <w:vAlign w:val="center"/>
          </w:tcPr>
          <w:p w14:paraId="6C79C40E">
            <w:pPr>
              <w:ind w:firstLine="360"/>
              <w:jc w:val="center"/>
              <w:rPr>
                <w:rFonts w:ascii="宋体" w:hAnsi="宋体"/>
                <w:sz w:val="18"/>
                <w:szCs w:val="18"/>
              </w:rPr>
            </w:pPr>
          </w:p>
        </w:tc>
      </w:tr>
      <w:tr w14:paraId="73E4430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restart"/>
            <w:tcBorders>
              <w:right w:val="single" w:color="auto" w:sz="4" w:space="0"/>
            </w:tcBorders>
            <w:vAlign w:val="center"/>
          </w:tcPr>
          <w:p w14:paraId="259748AE">
            <w:pPr>
              <w:rPr>
                <w:rFonts w:ascii="宋体" w:hAnsi="宋体"/>
                <w:sz w:val="18"/>
                <w:szCs w:val="18"/>
              </w:rPr>
            </w:pPr>
            <w:r>
              <w:rPr>
                <w:rFonts w:hint="eastAsia" w:ascii="宋体" w:hAnsi="宋体"/>
                <w:sz w:val="18"/>
                <w:szCs w:val="18"/>
              </w:rPr>
              <w:t>11其他自动灭火系统</w:t>
            </w:r>
          </w:p>
        </w:tc>
        <w:tc>
          <w:tcPr>
            <w:tcW w:w="1984" w:type="dxa"/>
            <w:gridSpan w:val="2"/>
            <w:tcBorders>
              <w:left w:val="single" w:color="auto" w:sz="4" w:space="0"/>
              <w:right w:val="single" w:color="auto" w:sz="4" w:space="0"/>
            </w:tcBorders>
            <w:vAlign w:val="center"/>
          </w:tcPr>
          <w:p w14:paraId="73DCE569">
            <w:pPr>
              <w:rPr>
                <w:rFonts w:ascii="宋体" w:hAnsi="宋体"/>
                <w:sz w:val="18"/>
                <w:szCs w:val="18"/>
              </w:rPr>
            </w:pPr>
            <w:r>
              <w:rPr>
                <w:rFonts w:hint="eastAsia" w:ascii="宋体" w:hAnsi="宋体"/>
                <w:sz w:val="18"/>
                <w:szCs w:val="18"/>
              </w:rPr>
              <w:t>1</w:t>
            </w:r>
            <w:r>
              <w:rPr>
                <w:rFonts w:ascii="宋体" w:hAnsi="宋体"/>
                <w:sz w:val="18"/>
                <w:szCs w:val="18"/>
              </w:rPr>
              <w:t xml:space="preserve"> </w:t>
            </w:r>
            <w:r>
              <w:rPr>
                <w:rFonts w:hint="eastAsia" w:ascii="宋体" w:hAnsi="宋体"/>
                <w:sz w:val="18"/>
                <w:szCs w:val="18"/>
              </w:rPr>
              <w:t>系统类型</w:t>
            </w:r>
          </w:p>
        </w:tc>
        <w:tc>
          <w:tcPr>
            <w:tcW w:w="1760" w:type="dxa"/>
            <w:gridSpan w:val="2"/>
            <w:tcBorders>
              <w:left w:val="single" w:color="auto" w:sz="4" w:space="0"/>
            </w:tcBorders>
            <w:vAlign w:val="center"/>
          </w:tcPr>
          <w:p w14:paraId="621D0428">
            <w:pPr>
              <w:ind w:firstLine="360"/>
              <w:jc w:val="center"/>
              <w:rPr>
                <w:rFonts w:ascii="宋体" w:hAnsi="宋体"/>
                <w:sz w:val="18"/>
                <w:szCs w:val="18"/>
              </w:rPr>
            </w:pPr>
          </w:p>
        </w:tc>
        <w:tc>
          <w:tcPr>
            <w:tcW w:w="1796" w:type="dxa"/>
            <w:gridSpan w:val="2"/>
            <w:vAlign w:val="center"/>
          </w:tcPr>
          <w:p w14:paraId="6445D1DE">
            <w:pPr>
              <w:ind w:firstLine="360"/>
              <w:jc w:val="center"/>
              <w:rPr>
                <w:rFonts w:ascii="宋体" w:hAnsi="宋体"/>
                <w:sz w:val="18"/>
                <w:szCs w:val="18"/>
              </w:rPr>
            </w:pPr>
          </w:p>
        </w:tc>
        <w:tc>
          <w:tcPr>
            <w:tcW w:w="1689" w:type="dxa"/>
            <w:gridSpan w:val="4"/>
            <w:vAlign w:val="center"/>
          </w:tcPr>
          <w:p w14:paraId="64377C2A">
            <w:pPr>
              <w:ind w:firstLine="360"/>
              <w:jc w:val="center"/>
              <w:rPr>
                <w:rFonts w:ascii="宋体" w:hAnsi="宋体"/>
                <w:sz w:val="18"/>
                <w:szCs w:val="18"/>
              </w:rPr>
            </w:pPr>
          </w:p>
        </w:tc>
        <w:tc>
          <w:tcPr>
            <w:tcW w:w="1985" w:type="dxa"/>
            <w:vAlign w:val="center"/>
          </w:tcPr>
          <w:p w14:paraId="3F3EFD9D">
            <w:pPr>
              <w:ind w:firstLine="360"/>
              <w:jc w:val="center"/>
              <w:rPr>
                <w:rFonts w:ascii="宋体" w:hAnsi="宋体"/>
                <w:sz w:val="18"/>
                <w:szCs w:val="18"/>
              </w:rPr>
            </w:pPr>
          </w:p>
        </w:tc>
      </w:tr>
      <w:tr w14:paraId="1BBCFCB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14:paraId="7776764E">
            <w:pPr>
              <w:rPr>
                <w:rFonts w:ascii="宋体" w:hAnsi="宋体"/>
                <w:sz w:val="18"/>
                <w:szCs w:val="18"/>
              </w:rPr>
            </w:pPr>
          </w:p>
        </w:tc>
        <w:tc>
          <w:tcPr>
            <w:tcW w:w="1984" w:type="dxa"/>
            <w:gridSpan w:val="2"/>
            <w:tcBorders>
              <w:left w:val="single" w:color="auto" w:sz="4" w:space="0"/>
              <w:right w:val="single" w:color="auto" w:sz="4" w:space="0"/>
            </w:tcBorders>
            <w:vAlign w:val="center"/>
          </w:tcPr>
          <w:p w14:paraId="08995C84">
            <w:pPr>
              <w:rPr>
                <w:rFonts w:ascii="宋体" w:hAnsi="宋体"/>
                <w:sz w:val="18"/>
                <w:szCs w:val="18"/>
              </w:rPr>
            </w:pPr>
            <w:r>
              <w:rPr>
                <w:rFonts w:hint="eastAsia" w:ascii="宋体" w:hAnsi="宋体"/>
                <w:sz w:val="18"/>
                <w:szCs w:val="18"/>
              </w:rPr>
              <w:t>2消防管网及系统流量</w:t>
            </w:r>
          </w:p>
        </w:tc>
        <w:tc>
          <w:tcPr>
            <w:tcW w:w="1760" w:type="dxa"/>
            <w:gridSpan w:val="2"/>
            <w:tcBorders>
              <w:left w:val="single" w:color="auto" w:sz="4" w:space="0"/>
            </w:tcBorders>
            <w:vAlign w:val="center"/>
          </w:tcPr>
          <w:p w14:paraId="7ED3D3A0">
            <w:pPr>
              <w:ind w:firstLine="360"/>
              <w:jc w:val="center"/>
              <w:rPr>
                <w:rFonts w:ascii="宋体" w:hAnsi="宋体"/>
                <w:sz w:val="18"/>
                <w:szCs w:val="18"/>
              </w:rPr>
            </w:pPr>
          </w:p>
        </w:tc>
        <w:tc>
          <w:tcPr>
            <w:tcW w:w="1796" w:type="dxa"/>
            <w:gridSpan w:val="2"/>
            <w:vAlign w:val="center"/>
          </w:tcPr>
          <w:p w14:paraId="06CC7EDB">
            <w:pPr>
              <w:ind w:firstLine="360"/>
              <w:jc w:val="center"/>
              <w:rPr>
                <w:rFonts w:ascii="宋体" w:hAnsi="宋体"/>
                <w:sz w:val="18"/>
                <w:szCs w:val="18"/>
              </w:rPr>
            </w:pPr>
          </w:p>
        </w:tc>
        <w:tc>
          <w:tcPr>
            <w:tcW w:w="1689" w:type="dxa"/>
            <w:gridSpan w:val="4"/>
            <w:vAlign w:val="center"/>
          </w:tcPr>
          <w:p w14:paraId="3957D948">
            <w:pPr>
              <w:ind w:firstLine="360"/>
              <w:jc w:val="center"/>
              <w:rPr>
                <w:rFonts w:ascii="宋体" w:hAnsi="宋体"/>
                <w:sz w:val="18"/>
                <w:szCs w:val="18"/>
              </w:rPr>
            </w:pPr>
          </w:p>
        </w:tc>
        <w:tc>
          <w:tcPr>
            <w:tcW w:w="1985" w:type="dxa"/>
            <w:vAlign w:val="center"/>
          </w:tcPr>
          <w:p w14:paraId="381719DF">
            <w:pPr>
              <w:ind w:firstLine="360"/>
              <w:jc w:val="center"/>
              <w:rPr>
                <w:rFonts w:ascii="宋体" w:hAnsi="宋体"/>
                <w:sz w:val="18"/>
                <w:szCs w:val="18"/>
              </w:rPr>
            </w:pPr>
          </w:p>
        </w:tc>
      </w:tr>
      <w:tr w14:paraId="3C5CA7A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14:paraId="1BC67D4D">
            <w:pPr>
              <w:rPr>
                <w:rFonts w:ascii="宋体" w:hAnsi="宋体"/>
                <w:sz w:val="18"/>
                <w:szCs w:val="18"/>
              </w:rPr>
            </w:pPr>
          </w:p>
        </w:tc>
        <w:tc>
          <w:tcPr>
            <w:tcW w:w="1984" w:type="dxa"/>
            <w:gridSpan w:val="2"/>
            <w:tcBorders>
              <w:left w:val="single" w:color="auto" w:sz="4" w:space="0"/>
              <w:right w:val="single" w:color="auto" w:sz="4" w:space="0"/>
            </w:tcBorders>
            <w:vAlign w:val="center"/>
          </w:tcPr>
          <w:p w14:paraId="5512D83E">
            <w:pPr>
              <w:rPr>
                <w:rFonts w:ascii="宋体" w:hAnsi="宋体"/>
                <w:sz w:val="18"/>
                <w:szCs w:val="18"/>
              </w:rPr>
            </w:pPr>
            <w:r>
              <w:rPr>
                <w:rFonts w:hint="eastAsia" w:ascii="宋体" w:hAnsi="宋体"/>
                <w:sz w:val="18"/>
                <w:szCs w:val="18"/>
              </w:rPr>
              <w:t>3</w:t>
            </w:r>
            <w:r>
              <w:rPr>
                <w:rFonts w:ascii="宋体" w:hAnsi="宋体"/>
                <w:sz w:val="18"/>
                <w:szCs w:val="18"/>
              </w:rPr>
              <w:t xml:space="preserve"> </w:t>
            </w:r>
            <w:r>
              <w:rPr>
                <w:rFonts w:hint="eastAsia" w:ascii="宋体" w:hAnsi="宋体"/>
                <w:sz w:val="18"/>
                <w:szCs w:val="18"/>
              </w:rPr>
              <w:t>灭火装置</w:t>
            </w:r>
          </w:p>
        </w:tc>
        <w:tc>
          <w:tcPr>
            <w:tcW w:w="1760" w:type="dxa"/>
            <w:gridSpan w:val="2"/>
            <w:tcBorders>
              <w:left w:val="single" w:color="auto" w:sz="4" w:space="0"/>
            </w:tcBorders>
            <w:vAlign w:val="center"/>
          </w:tcPr>
          <w:p w14:paraId="4BAEF43D">
            <w:pPr>
              <w:ind w:firstLine="360"/>
              <w:jc w:val="center"/>
              <w:rPr>
                <w:rFonts w:ascii="宋体" w:hAnsi="宋体"/>
                <w:sz w:val="18"/>
                <w:szCs w:val="18"/>
              </w:rPr>
            </w:pPr>
          </w:p>
        </w:tc>
        <w:tc>
          <w:tcPr>
            <w:tcW w:w="1796" w:type="dxa"/>
            <w:gridSpan w:val="2"/>
            <w:vAlign w:val="center"/>
          </w:tcPr>
          <w:p w14:paraId="1194C0D0">
            <w:pPr>
              <w:ind w:firstLine="360"/>
              <w:jc w:val="center"/>
              <w:rPr>
                <w:rFonts w:ascii="宋体" w:hAnsi="宋体"/>
                <w:sz w:val="18"/>
                <w:szCs w:val="18"/>
              </w:rPr>
            </w:pPr>
          </w:p>
        </w:tc>
        <w:tc>
          <w:tcPr>
            <w:tcW w:w="1689" w:type="dxa"/>
            <w:gridSpan w:val="4"/>
            <w:vAlign w:val="center"/>
          </w:tcPr>
          <w:p w14:paraId="5178BA64">
            <w:pPr>
              <w:ind w:firstLine="360"/>
              <w:jc w:val="center"/>
              <w:rPr>
                <w:rFonts w:ascii="宋体" w:hAnsi="宋体"/>
                <w:sz w:val="18"/>
                <w:szCs w:val="18"/>
              </w:rPr>
            </w:pPr>
          </w:p>
        </w:tc>
        <w:tc>
          <w:tcPr>
            <w:tcW w:w="1985" w:type="dxa"/>
            <w:vAlign w:val="center"/>
          </w:tcPr>
          <w:p w14:paraId="5FDB670A">
            <w:pPr>
              <w:ind w:firstLine="360"/>
              <w:jc w:val="center"/>
              <w:rPr>
                <w:rFonts w:ascii="宋体" w:hAnsi="宋体"/>
                <w:sz w:val="18"/>
                <w:szCs w:val="18"/>
              </w:rPr>
            </w:pPr>
          </w:p>
        </w:tc>
      </w:tr>
      <w:tr w14:paraId="0D5F1F4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14:paraId="70AE31FE">
            <w:pPr>
              <w:rPr>
                <w:rFonts w:ascii="宋体" w:hAnsi="宋体"/>
                <w:sz w:val="18"/>
                <w:szCs w:val="18"/>
              </w:rPr>
            </w:pPr>
          </w:p>
        </w:tc>
        <w:tc>
          <w:tcPr>
            <w:tcW w:w="1984" w:type="dxa"/>
            <w:gridSpan w:val="2"/>
            <w:tcBorders>
              <w:left w:val="single" w:color="auto" w:sz="4" w:space="0"/>
              <w:right w:val="single" w:color="auto" w:sz="4" w:space="0"/>
            </w:tcBorders>
            <w:vAlign w:val="center"/>
          </w:tcPr>
          <w:p w14:paraId="05BFFA7B">
            <w:pPr>
              <w:rPr>
                <w:rFonts w:ascii="宋体" w:hAnsi="宋体"/>
                <w:sz w:val="18"/>
                <w:szCs w:val="18"/>
              </w:rPr>
            </w:pPr>
            <w:r>
              <w:rPr>
                <w:rFonts w:hint="eastAsia" w:ascii="宋体" w:hAnsi="宋体"/>
                <w:sz w:val="18"/>
                <w:szCs w:val="18"/>
              </w:rPr>
              <w:t>4</w:t>
            </w:r>
            <w:r>
              <w:rPr>
                <w:rFonts w:ascii="宋体" w:hAnsi="宋体"/>
                <w:sz w:val="18"/>
                <w:szCs w:val="18"/>
              </w:rPr>
              <w:t xml:space="preserve"> </w:t>
            </w:r>
            <w:r>
              <w:rPr>
                <w:rFonts w:hint="eastAsia" w:ascii="宋体" w:hAnsi="宋体"/>
                <w:sz w:val="18"/>
                <w:szCs w:val="18"/>
              </w:rPr>
              <w:t>系统控制</w:t>
            </w:r>
          </w:p>
        </w:tc>
        <w:tc>
          <w:tcPr>
            <w:tcW w:w="1760" w:type="dxa"/>
            <w:gridSpan w:val="2"/>
            <w:tcBorders>
              <w:left w:val="single" w:color="auto" w:sz="4" w:space="0"/>
            </w:tcBorders>
            <w:vAlign w:val="center"/>
          </w:tcPr>
          <w:p w14:paraId="464A31F2">
            <w:pPr>
              <w:ind w:firstLine="360"/>
              <w:jc w:val="center"/>
              <w:rPr>
                <w:rFonts w:ascii="宋体" w:hAnsi="宋体"/>
                <w:sz w:val="18"/>
                <w:szCs w:val="18"/>
              </w:rPr>
            </w:pPr>
          </w:p>
        </w:tc>
        <w:tc>
          <w:tcPr>
            <w:tcW w:w="1796" w:type="dxa"/>
            <w:gridSpan w:val="2"/>
            <w:vAlign w:val="center"/>
          </w:tcPr>
          <w:p w14:paraId="0234D7BB">
            <w:pPr>
              <w:ind w:firstLine="360"/>
              <w:jc w:val="center"/>
              <w:rPr>
                <w:rFonts w:ascii="宋体" w:hAnsi="宋体"/>
                <w:sz w:val="18"/>
                <w:szCs w:val="18"/>
              </w:rPr>
            </w:pPr>
          </w:p>
        </w:tc>
        <w:tc>
          <w:tcPr>
            <w:tcW w:w="1689" w:type="dxa"/>
            <w:gridSpan w:val="4"/>
            <w:vAlign w:val="center"/>
          </w:tcPr>
          <w:p w14:paraId="5946CE92">
            <w:pPr>
              <w:ind w:firstLine="360"/>
              <w:jc w:val="center"/>
              <w:rPr>
                <w:rFonts w:ascii="宋体" w:hAnsi="宋体"/>
                <w:sz w:val="18"/>
                <w:szCs w:val="18"/>
              </w:rPr>
            </w:pPr>
          </w:p>
        </w:tc>
        <w:tc>
          <w:tcPr>
            <w:tcW w:w="1985" w:type="dxa"/>
            <w:vAlign w:val="center"/>
          </w:tcPr>
          <w:p w14:paraId="3D6C00F8">
            <w:pPr>
              <w:ind w:firstLine="360"/>
              <w:jc w:val="center"/>
              <w:rPr>
                <w:rFonts w:ascii="宋体" w:hAnsi="宋体"/>
                <w:sz w:val="18"/>
                <w:szCs w:val="18"/>
              </w:rPr>
            </w:pPr>
          </w:p>
        </w:tc>
      </w:tr>
      <w:tr w14:paraId="69F25C8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restart"/>
            <w:tcBorders>
              <w:right w:val="single" w:color="auto" w:sz="4" w:space="0"/>
            </w:tcBorders>
            <w:vAlign w:val="center"/>
          </w:tcPr>
          <w:p w14:paraId="3E860907">
            <w:pPr>
              <w:rPr>
                <w:rFonts w:ascii="宋体" w:hAnsi="宋体"/>
                <w:sz w:val="18"/>
                <w:szCs w:val="18"/>
              </w:rPr>
            </w:pPr>
            <w:r>
              <w:rPr>
                <w:rFonts w:hint="eastAsia" w:ascii="宋体" w:hAnsi="宋体"/>
                <w:sz w:val="18"/>
                <w:szCs w:val="18"/>
              </w:rPr>
              <w:t>12</w:t>
            </w:r>
          </w:p>
          <w:p w14:paraId="68974C60">
            <w:pPr>
              <w:rPr>
                <w:rFonts w:ascii="宋体" w:hAnsi="宋体"/>
                <w:sz w:val="18"/>
                <w:szCs w:val="18"/>
              </w:rPr>
            </w:pPr>
            <w:r>
              <w:rPr>
                <w:rFonts w:hint="eastAsia" w:ascii="宋体" w:hAnsi="宋体"/>
                <w:sz w:val="18"/>
                <w:szCs w:val="18"/>
              </w:rPr>
              <w:t>气体灭火系统</w:t>
            </w:r>
          </w:p>
        </w:tc>
        <w:tc>
          <w:tcPr>
            <w:tcW w:w="1984" w:type="dxa"/>
            <w:gridSpan w:val="2"/>
            <w:tcBorders>
              <w:left w:val="single" w:color="auto" w:sz="4" w:space="0"/>
              <w:right w:val="single" w:color="auto" w:sz="4" w:space="0"/>
            </w:tcBorders>
            <w:vAlign w:val="center"/>
          </w:tcPr>
          <w:p w14:paraId="3C6F6B6F">
            <w:pPr>
              <w:rPr>
                <w:rFonts w:ascii="宋体" w:hAnsi="宋体"/>
                <w:sz w:val="18"/>
                <w:szCs w:val="18"/>
              </w:rPr>
            </w:pPr>
            <w:r>
              <w:rPr>
                <w:rFonts w:hint="eastAsia" w:ascii="宋体" w:hAnsi="宋体"/>
                <w:sz w:val="18"/>
                <w:szCs w:val="18"/>
              </w:rPr>
              <w:t>1系统类型及灭活剂</w:t>
            </w:r>
          </w:p>
        </w:tc>
        <w:tc>
          <w:tcPr>
            <w:tcW w:w="1760" w:type="dxa"/>
            <w:gridSpan w:val="2"/>
            <w:tcBorders>
              <w:left w:val="single" w:color="auto" w:sz="4" w:space="0"/>
            </w:tcBorders>
            <w:vAlign w:val="center"/>
          </w:tcPr>
          <w:p w14:paraId="682B0905">
            <w:pPr>
              <w:ind w:firstLine="360"/>
              <w:jc w:val="center"/>
              <w:rPr>
                <w:rFonts w:ascii="宋体" w:hAnsi="宋体"/>
                <w:sz w:val="18"/>
                <w:szCs w:val="18"/>
              </w:rPr>
            </w:pPr>
          </w:p>
        </w:tc>
        <w:tc>
          <w:tcPr>
            <w:tcW w:w="1796" w:type="dxa"/>
            <w:gridSpan w:val="2"/>
            <w:vAlign w:val="center"/>
          </w:tcPr>
          <w:p w14:paraId="64B4E28B">
            <w:pPr>
              <w:ind w:firstLine="360"/>
              <w:jc w:val="center"/>
              <w:rPr>
                <w:rFonts w:ascii="宋体" w:hAnsi="宋体"/>
                <w:sz w:val="18"/>
                <w:szCs w:val="18"/>
              </w:rPr>
            </w:pPr>
          </w:p>
        </w:tc>
        <w:tc>
          <w:tcPr>
            <w:tcW w:w="1689" w:type="dxa"/>
            <w:gridSpan w:val="4"/>
            <w:vAlign w:val="center"/>
          </w:tcPr>
          <w:p w14:paraId="52CAA919">
            <w:pPr>
              <w:ind w:firstLine="360"/>
              <w:jc w:val="center"/>
              <w:rPr>
                <w:rFonts w:ascii="宋体" w:hAnsi="宋体"/>
                <w:sz w:val="18"/>
                <w:szCs w:val="18"/>
              </w:rPr>
            </w:pPr>
          </w:p>
        </w:tc>
        <w:tc>
          <w:tcPr>
            <w:tcW w:w="1985" w:type="dxa"/>
            <w:vAlign w:val="center"/>
          </w:tcPr>
          <w:p w14:paraId="5CB07FE5">
            <w:pPr>
              <w:ind w:firstLine="360"/>
              <w:jc w:val="center"/>
              <w:rPr>
                <w:rFonts w:ascii="宋体" w:hAnsi="宋体"/>
                <w:sz w:val="18"/>
                <w:szCs w:val="18"/>
              </w:rPr>
            </w:pPr>
          </w:p>
        </w:tc>
      </w:tr>
      <w:tr w14:paraId="56C8983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14:paraId="508FD379">
            <w:pPr>
              <w:rPr>
                <w:rFonts w:ascii="宋体" w:hAnsi="宋体"/>
                <w:sz w:val="18"/>
                <w:szCs w:val="18"/>
              </w:rPr>
            </w:pPr>
          </w:p>
        </w:tc>
        <w:tc>
          <w:tcPr>
            <w:tcW w:w="1984" w:type="dxa"/>
            <w:gridSpan w:val="2"/>
            <w:tcBorders>
              <w:left w:val="single" w:color="auto" w:sz="4" w:space="0"/>
              <w:right w:val="single" w:color="auto" w:sz="4" w:space="0"/>
            </w:tcBorders>
            <w:vAlign w:val="center"/>
          </w:tcPr>
          <w:p w14:paraId="22D08138">
            <w:pPr>
              <w:rPr>
                <w:rFonts w:ascii="宋体" w:hAnsi="宋体"/>
                <w:sz w:val="18"/>
                <w:szCs w:val="18"/>
              </w:rPr>
            </w:pPr>
            <w:r>
              <w:rPr>
                <w:rFonts w:hint="eastAsia" w:ascii="宋体" w:hAnsi="宋体"/>
                <w:sz w:val="18"/>
                <w:szCs w:val="18"/>
              </w:rPr>
              <w:t>2防护区</w:t>
            </w:r>
          </w:p>
        </w:tc>
        <w:tc>
          <w:tcPr>
            <w:tcW w:w="1760" w:type="dxa"/>
            <w:gridSpan w:val="2"/>
            <w:tcBorders>
              <w:left w:val="single" w:color="auto" w:sz="4" w:space="0"/>
            </w:tcBorders>
            <w:vAlign w:val="center"/>
          </w:tcPr>
          <w:p w14:paraId="510F7F13">
            <w:pPr>
              <w:ind w:firstLine="360"/>
              <w:jc w:val="center"/>
              <w:rPr>
                <w:rFonts w:ascii="宋体" w:hAnsi="宋体"/>
                <w:sz w:val="18"/>
                <w:szCs w:val="18"/>
              </w:rPr>
            </w:pPr>
          </w:p>
        </w:tc>
        <w:tc>
          <w:tcPr>
            <w:tcW w:w="1796" w:type="dxa"/>
            <w:gridSpan w:val="2"/>
            <w:vAlign w:val="center"/>
          </w:tcPr>
          <w:p w14:paraId="60405A1B">
            <w:pPr>
              <w:ind w:firstLine="360"/>
              <w:jc w:val="center"/>
              <w:rPr>
                <w:rFonts w:ascii="宋体" w:hAnsi="宋体"/>
                <w:sz w:val="18"/>
                <w:szCs w:val="18"/>
              </w:rPr>
            </w:pPr>
          </w:p>
        </w:tc>
        <w:tc>
          <w:tcPr>
            <w:tcW w:w="1689" w:type="dxa"/>
            <w:gridSpan w:val="4"/>
            <w:vAlign w:val="center"/>
          </w:tcPr>
          <w:p w14:paraId="4FACF17D">
            <w:pPr>
              <w:ind w:firstLine="360"/>
              <w:jc w:val="center"/>
              <w:rPr>
                <w:rFonts w:ascii="宋体" w:hAnsi="宋体"/>
                <w:sz w:val="18"/>
                <w:szCs w:val="18"/>
              </w:rPr>
            </w:pPr>
          </w:p>
        </w:tc>
        <w:tc>
          <w:tcPr>
            <w:tcW w:w="1985" w:type="dxa"/>
            <w:vAlign w:val="center"/>
          </w:tcPr>
          <w:p w14:paraId="03D242EA">
            <w:pPr>
              <w:ind w:firstLine="360"/>
              <w:jc w:val="center"/>
              <w:rPr>
                <w:rFonts w:ascii="宋体" w:hAnsi="宋体"/>
                <w:sz w:val="18"/>
                <w:szCs w:val="18"/>
              </w:rPr>
            </w:pPr>
          </w:p>
        </w:tc>
      </w:tr>
      <w:tr w14:paraId="081B88E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14:paraId="448A3921">
            <w:pPr>
              <w:rPr>
                <w:rFonts w:ascii="宋体" w:hAnsi="宋体"/>
                <w:sz w:val="18"/>
                <w:szCs w:val="18"/>
              </w:rPr>
            </w:pPr>
          </w:p>
        </w:tc>
        <w:tc>
          <w:tcPr>
            <w:tcW w:w="1984" w:type="dxa"/>
            <w:gridSpan w:val="2"/>
            <w:tcBorders>
              <w:left w:val="single" w:color="auto" w:sz="4" w:space="0"/>
              <w:right w:val="single" w:color="auto" w:sz="4" w:space="0"/>
            </w:tcBorders>
            <w:vAlign w:val="center"/>
          </w:tcPr>
          <w:p w14:paraId="6B7BC223">
            <w:pPr>
              <w:rPr>
                <w:rFonts w:ascii="宋体" w:hAnsi="宋体"/>
                <w:sz w:val="18"/>
                <w:szCs w:val="18"/>
              </w:rPr>
            </w:pPr>
            <w:r>
              <w:rPr>
                <w:rFonts w:hint="eastAsia" w:ascii="宋体" w:hAnsi="宋体"/>
                <w:sz w:val="18"/>
                <w:szCs w:val="18"/>
              </w:rPr>
              <w:t>3钢瓶间</w:t>
            </w:r>
          </w:p>
        </w:tc>
        <w:tc>
          <w:tcPr>
            <w:tcW w:w="1760" w:type="dxa"/>
            <w:gridSpan w:val="2"/>
            <w:tcBorders>
              <w:left w:val="single" w:color="auto" w:sz="4" w:space="0"/>
            </w:tcBorders>
            <w:vAlign w:val="center"/>
          </w:tcPr>
          <w:p w14:paraId="5A987133">
            <w:pPr>
              <w:ind w:firstLine="360"/>
              <w:jc w:val="center"/>
              <w:rPr>
                <w:rFonts w:ascii="宋体" w:hAnsi="宋体"/>
                <w:sz w:val="18"/>
                <w:szCs w:val="18"/>
              </w:rPr>
            </w:pPr>
          </w:p>
        </w:tc>
        <w:tc>
          <w:tcPr>
            <w:tcW w:w="1796" w:type="dxa"/>
            <w:gridSpan w:val="2"/>
            <w:vAlign w:val="center"/>
          </w:tcPr>
          <w:p w14:paraId="14893E3F">
            <w:pPr>
              <w:ind w:firstLine="360"/>
              <w:jc w:val="center"/>
              <w:rPr>
                <w:rFonts w:ascii="宋体" w:hAnsi="宋体"/>
                <w:sz w:val="18"/>
                <w:szCs w:val="18"/>
              </w:rPr>
            </w:pPr>
          </w:p>
        </w:tc>
        <w:tc>
          <w:tcPr>
            <w:tcW w:w="1689" w:type="dxa"/>
            <w:gridSpan w:val="4"/>
            <w:vAlign w:val="center"/>
          </w:tcPr>
          <w:p w14:paraId="098A6025">
            <w:pPr>
              <w:ind w:firstLine="360"/>
              <w:jc w:val="center"/>
              <w:rPr>
                <w:rFonts w:ascii="宋体" w:hAnsi="宋体"/>
                <w:sz w:val="18"/>
                <w:szCs w:val="18"/>
              </w:rPr>
            </w:pPr>
          </w:p>
        </w:tc>
        <w:tc>
          <w:tcPr>
            <w:tcW w:w="1985" w:type="dxa"/>
            <w:vAlign w:val="center"/>
          </w:tcPr>
          <w:p w14:paraId="3092DE8C">
            <w:pPr>
              <w:ind w:firstLine="360"/>
              <w:jc w:val="center"/>
              <w:rPr>
                <w:rFonts w:ascii="宋体" w:hAnsi="宋体"/>
                <w:sz w:val="18"/>
                <w:szCs w:val="18"/>
              </w:rPr>
            </w:pPr>
          </w:p>
        </w:tc>
      </w:tr>
      <w:tr w14:paraId="580561B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14:paraId="011B98D2">
            <w:pPr>
              <w:rPr>
                <w:rFonts w:ascii="宋体" w:hAnsi="宋体"/>
                <w:sz w:val="18"/>
                <w:szCs w:val="18"/>
              </w:rPr>
            </w:pPr>
          </w:p>
        </w:tc>
        <w:tc>
          <w:tcPr>
            <w:tcW w:w="1984" w:type="dxa"/>
            <w:gridSpan w:val="2"/>
            <w:tcBorders>
              <w:left w:val="single" w:color="auto" w:sz="4" w:space="0"/>
              <w:right w:val="single" w:color="auto" w:sz="4" w:space="0"/>
            </w:tcBorders>
            <w:vAlign w:val="center"/>
          </w:tcPr>
          <w:p w14:paraId="18513F11">
            <w:pPr>
              <w:rPr>
                <w:rFonts w:ascii="宋体" w:hAnsi="宋体"/>
                <w:sz w:val="18"/>
                <w:szCs w:val="18"/>
              </w:rPr>
            </w:pPr>
            <w:r>
              <w:rPr>
                <w:rFonts w:hint="eastAsia" w:ascii="宋体" w:hAnsi="宋体"/>
                <w:sz w:val="18"/>
                <w:szCs w:val="18"/>
              </w:rPr>
              <w:t>4系统控制</w:t>
            </w:r>
          </w:p>
        </w:tc>
        <w:tc>
          <w:tcPr>
            <w:tcW w:w="1760" w:type="dxa"/>
            <w:gridSpan w:val="2"/>
            <w:tcBorders>
              <w:left w:val="single" w:color="auto" w:sz="4" w:space="0"/>
            </w:tcBorders>
            <w:vAlign w:val="center"/>
          </w:tcPr>
          <w:p w14:paraId="15B38CC5">
            <w:pPr>
              <w:ind w:firstLine="360"/>
              <w:jc w:val="center"/>
              <w:rPr>
                <w:rFonts w:ascii="宋体" w:hAnsi="宋体"/>
                <w:sz w:val="18"/>
                <w:szCs w:val="18"/>
              </w:rPr>
            </w:pPr>
          </w:p>
        </w:tc>
        <w:tc>
          <w:tcPr>
            <w:tcW w:w="1796" w:type="dxa"/>
            <w:gridSpan w:val="2"/>
            <w:vAlign w:val="center"/>
          </w:tcPr>
          <w:p w14:paraId="0E55A5A5">
            <w:pPr>
              <w:ind w:firstLine="360"/>
              <w:jc w:val="center"/>
              <w:rPr>
                <w:rFonts w:ascii="宋体" w:hAnsi="宋体"/>
                <w:sz w:val="18"/>
                <w:szCs w:val="18"/>
              </w:rPr>
            </w:pPr>
          </w:p>
        </w:tc>
        <w:tc>
          <w:tcPr>
            <w:tcW w:w="1689" w:type="dxa"/>
            <w:gridSpan w:val="4"/>
            <w:vAlign w:val="center"/>
          </w:tcPr>
          <w:p w14:paraId="6ADEE263">
            <w:pPr>
              <w:ind w:firstLine="360"/>
              <w:jc w:val="center"/>
              <w:rPr>
                <w:rFonts w:ascii="宋体" w:hAnsi="宋体"/>
                <w:sz w:val="18"/>
                <w:szCs w:val="18"/>
              </w:rPr>
            </w:pPr>
          </w:p>
        </w:tc>
        <w:tc>
          <w:tcPr>
            <w:tcW w:w="1985" w:type="dxa"/>
            <w:vAlign w:val="center"/>
          </w:tcPr>
          <w:p w14:paraId="7F6786C9">
            <w:pPr>
              <w:ind w:firstLine="360"/>
              <w:jc w:val="center"/>
              <w:rPr>
                <w:rFonts w:ascii="宋体" w:hAnsi="宋体"/>
                <w:sz w:val="18"/>
                <w:szCs w:val="18"/>
              </w:rPr>
            </w:pPr>
          </w:p>
        </w:tc>
      </w:tr>
      <w:tr w14:paraId="1D1844F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restart"/>
            <w:tcBorders>
              <w:right w:val="single" w:color="auto" w:sz="4" w:space="0"/>
            </w:tcBorders>
            <w:vAlign w:val="center"/>
          </w:tcPr>
          <w:p w14:paraId="6A8EF99B">
            <w:pP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13</w:t>
            </w:r>
          </w:p>
          <w:p w14:paraId="6F4583CE">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其他灭火系统</w:t>
            </w:r>
          </w:p>
        </w:tc>
        <w:tc>
          <w:tcPr>
            <w:tcW w:w="1984" w:type="dxa"/>
            <w:gridSpan w:val="2"/>
            <w:tcBorders>
              <w:left w:val="single" w:color="auto" w:sz="4" w:space="0"/>
              <w:right w:val="single" w:color="auto" w:sz="4" w:space="0"/>
            </w:tcBorders>
            <w:vAlign w:val="center"/>
          </w:tcPr>
          <w:p w14:paraId="2DB11AA0">
            <w:pP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1灭火器</w:t>
            </w:r>
          </w:p>
        </w:tc>
        <w:tc>
          <w:tcPr>
            <w:tcW w:w="1760" w:type="dxa"/>
            <w:gridSpan w:val="2"/>
            <w:tcBorders>
              <w:left w:val="single" w:color="auto" w:sz="4" w:space="0"/>
            </w:tcBorders>
            <w:vAlign w:val="center"/>
          </w:tcPr>
          <w:p w14:paraId="7029666D">
            <w:pPr>
              <w:ind w:firstLine="360"/>
              <w:jc w:val="center"/>
              <w:rPr>
                <w:rFonts w:ascii="宋体" w:hAnsi="宋体"/>
                <w:color w:val="000000" w:themeColor="text1"/>
                <w:sz w:val="18"/>
                <w:szCs w:val="18"/>
                <w14:textFill>
                  <w14:solidFill>
                    <w14:schemeClr w14:val="tx1"/>
                  </w14:solidFill>
                </w14:textFill>
              </w:rPr>
            </w:pPr>
          </w:p>
        </w:tc>
        <w:tc>
          <w:tcPr>
            <w:tcW w:w="1796" w:type="dxa"/>
            <w:gridSpan w:val="2"/>
            <w:vAlign w:val="center"/>
          </w:tcPr>
          <w:p w14:paraId="65410FF1">
            <w:pPr>
              <w:ind w:firstLine="360"/>
              <w:jc w:val="center"/>
              <w:rPr>
                <w:rFonts w:ascii="宋体" w:hAnsi="宋体"/>
                <w:color w:val="000000" w:themeColor="text1"/>
                <w:sz w:val="18"/>
                <w:szCs w:val="18"/>
                <w14:textFill>
                  <w14:solidFill>
                    <w14:schemeClr w14:val="tx1"/>
                  </w14:solidFill>
                </w14:textFill>
              </w:rPr>
            </w:pPr>
          </w:p>
        </w:tc>
        <w:tc>
          <w:tcPr>
            <w:tcW w:w="1689" w:type="dxa"/>
            <w:gridSpan w:val="4"/>
            <w:vAlign w:val="center"/>
          </w:tcPr>
          <w:p w14:paraId="266BFE0C">
            <w:pPr>
              <w:ind w:firstLine="360"/>
              <w:jc w:val="center"/>
              <w:rPr>
                <w:rFonts w:ascii="宋体" w:hAnsi="宋体"/>
                <w:color w:val="000000" w:themeColor="text1"/>
                <w:sz w:val="18"/>
                <w:szCs w:val="18"/>
                <w14:textFill>
                  <w14:solidFill>
                    <w14:schemeClr w14:val="tx1"/>
                  </w14:solidFill>
                </w14:textFill>
              </w:rPr>
            </w:pPr>
          </w:p>
        </w:tc>
        <w:tc>
          <w:tcPr>
            <w:tcW w:w="1985" w:type="dxa"/>
            <w:vAlign w:val="center"/>
          </w:tcPr>
          <w:p w14:paraId="3396ABD7">
            <w:pPr>
              <w:ind w:firstLine="360"/>
              <w:jc w:val="center"/>
              <w:rPr>
                <w:rFonts w:ascii="宋体" w:hAnsi="宋体"/>
                <w:color w:val="000000" w:themeColor="text1"/>
                <w:sz w:val="18"/>
                <w:szCs w:val="18"/>
                <w14:textFill>
                  <w14:solidFill>
                    <w14:schemeClr w14:val="tx1"/>
                  </w14:solidFill>
                </w14:textFill>
              </w:rPr>
            </w:pPr>
          </w:p>
        </w:tc>
      </w:tr>
      <w:tr w14:paraId="77C117F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14:paraId="02A6FA3E">
            <w:pPr>
              <w:rPr>
                <w:rFonts w:ascii="宋体" w:hAnsi="宋体"/>
                <w:color w:val="000000" w:themeColor="text1"/>
                <w:sz w:val="18"/>
                <w:szCs w:val="18"/>
                <w14:textFill>
                  <w14:solidFill>
                    <w14:schemeClr w14:val="tx1"/>
                  </w14:solidFill>
                </w14:textFill>
              </w:rPr>
            </w:pPr>
          </w:p>
        </w:tc>
        <w:tc>
          <w:tcPr>
            <w:tcW w:w="1984" w:type="dxa"/>
            <w:gridSpan w:val="2"/>
            <w:tcBorders>
              <w:left w:val="single" w:color="auto" w:sz="4" w:space="0"/>
              <w:right w:val="single" w:color="auto" w:sz="4" w:space="0"/>
            </w:tcBorders>
            <w:vAlign w:val="center"/>
          </w:tcPr>
          <w:p w14:paraId="0D735C60">
            <w:pP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2干粉灭火系统</w:t>
            </w:r>
          </w:p>
        </w:tc>
        <w:tc>
          <w:tcPr>
            <w:tcW w:w="1760" w:type="dxa"/>
            <w:gridSpan w:val="2"/>
            <w:tcBorders>
              <w:left w:val="single" w:color="auto" w:sz="4" w:space="0"/>
            </w:tcBorders>
            <w:vAlign w:val="center"/>
          </w:tcPr>
          <w:p w14:paraId="4F6F99EC">
            <w:pPr>
              <w:ind w:firstLine="360"/>
              <w:jc w:val="center"/>
              <w:rPr>
                <w:rFonts w:ascii="宋体" w:hAnsi="宋体"/>
                <w:color w:val="000000" w:themeColor="text1"/>
                <w:sz w:val="18"/>
                <w:szCs w:val="18"/>
                <w14:textFill>
                  <w14:solidFill>
                    <w14:schemeClr w14:val="tx1"/>
                  </w14:solidFill>
                </w14:textFill>
              </w:rPr>
            </w:pPr>
          </w:p>
        </w:tc>
        <w:tc>
          <w:tcPr>
            <w:tcW w:w="1796" w:type="dxa"/>
            <w:gridSpan w:val="2"/>
            <w:vAlign w:val="center"/>
          </w:tcPr>
          <w:p w14:paraId="42F01C7E">
            <w:pPr>
              <w:ind w:firstLine="360"/>
              <w:jc w:val="center"/>
              <w:rPr>
                <w:rFonts w:ascii="宋体" w:hAnsi="宋体"/>
                <w:color w:val="000000" w:themeColor="text1"/>
                <w:sz w:val="18"/>
                <w:szCs w:val="18"/>
                <w14:textFill>
                  <w14:solidFill>
                    <w14:schemeClr w14:val="tx1"/>
                  </w14:solidFill>
                </w14:textFill>
              </w:rPr>
            </w:pPr>
          </w:p>
        </w:tc>
        <w:tc>
          <w:tcPr>
            <w:tcW w:w="1689" w:type="dxa"/>
            <w:gridSpan w:val="4"/>
            <w:vAlign w:val="center"/>
          </w:tcPr>
          <w:p w14:paraId="4B87CD0D">
            <w:pPr>
              <w:ind w:firstLine="360"/>
              <w:jc w:val="center"/>
              <w:rPr>
                <w:rFonts w:ascii="宋体" w:hAnsi="宋体"/>
                <w:color w:val="000000" w:themeColor="text1"/>
                <w:sz w:val="18"/>
                <w:szCs w:val="18"/>
                <w14:textFill>
                  <w14:solidFill>
                    <w14:schemeClr w14:val="tx1"/>
                  </w14:solidFill>
                </w14:textFill>
              </w:rPr>
            </w:pPr>
          </w:p>
        </w:tc>
        <w:tc>
          <w:tcPr>
            <w:tcW w:w="1985" w:type="dxa"/>
            <w:vAlign w:val="center"/>
          </w:tcPr>
          <w:p w14:paraId="0DF2C2F3">
            <w:pPr>
              <w:ind w:firstLine="360"/>
              <w:jc w:val="center"/>
              <w:rPr>
                <w:rFonts w:ascii="宋体" w:hAnsi="宋体"/>
                <w:color w:val="000000" w:themeColor="text1"/>
                <w:sz w:val="18"/>
                <w:szCs w:val="18"/>
                <w14:textFill>
                  <w14:solidFill>
                    <w14:schemeClr w14:val="tx1"/>
                  </w14:solidFill>
                </w14:textFill>
              </w:rPr>
            </w:pPr>
          </w:p>
        </w:tc>
      </w:tr>
      <w:tr w14:paraId="4028C63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restart"/>
            <w:tcBorders>
              <w:right w:val="single" w:color="auto" w:sz="4" w:space="0"/>
            </w:tcBorders>
            <w:vAlign w:val="center"/>
          </w:tcPr>
          <w:p w14:paraId="1AC3331F">
            <w:pPr>
              <w:rPr>
                <w:rFonts w:ascii="宋体" w:hAnsi="宋体"/>
                <w:sz w:val="18"/>
                <w:szCs w:val="18"/>
              </w:rPr>
            </w:pPr>
            <w:r>
              <w:rPr>
                <w:rFonts w:hint="eastAsia" w:ascii="宋体" w:hAnsi="宋体"/>
                <w:sz w:val="18"/>
                <w:szCs w:val="18"/>
              </w:rPr>
              <w:t>14</w:t>
            </w:r>
          </w:p>
          <w:p w14:paraId="661925A7">
            <w:pPr>
              <w:rPr>
                <w:rFonts w:ascii="宋体" w:hAnsi="宋体"/>
                <w:sz w:val="18"/>
                <w:szCs w:val="18"/>
              </w:rPr>
            </w:pPr>
            <w:r>
              <w:rPr>
                <w:rFonts w:hint="eastAsia" w:ascii="宋体" w:hAnsi="宋体"/>
                <w:sz w:val="18"/>
                <w:szCs w:val="18"/>
              </w:rPr>
              <w:t>防烟和排烟设施</w:t>
            </w:r>
          </w:p>
        </w:tc>
        <w:tc>
          <w:tcPr>
            <w:tcW w:w="1984" w:type="dxa"/>
            <w:gridSpan w:val="2"/>
            <w:tcBorders>
              <w:left w:val="single" w:color="auto" w:sz="4" w:space="0"/>
              <w:right w:val="single" w:color="auto" w:sz="4" w:space="0"/>
            </w:tcBorders>
            <w:vAlign w:val="center"/>
          </w:tcPr>
          <w:p w14:paraId="573838F2">
            <w:pPr>
              <w:rPr>
                <w:rFonts w:ascii="宋体" w:hAnsi="宋体"/>
                <w:sz w:val="18"/>
                <w:szCs w:val="18"/>
              </w:rPr>
            </w:pPr>
            <w:r>
              <w:rPr>
                <w:rFonts w:hint="eastAsia" w:ascii="宋体" w:hAnsi="宋体"/>
                <w:sz w:val="18"/>
                <w:szCs w:val="18"/>
              </w:rPr>
              <w:t>1排烟风机</w:t>
            </w:r>
          </w:p>
        </w:tc>
        <w:tc>
          <w:tcPr>
            <w:tcW w:w="1760" w:type="dxa"/>
            <w:gridSpan w:val="2"/>
            <w:tcBorders>
              <w:left w:val="single" w:color="auto" w:sz="4" w:space="0"/>
            </w:tcBorders>
            <w:vAlign w:val="center"/>
          </w:tcPr>
          <w:p w14:paraId="26CE8D65">
            <w:pPr>
              <w:ind w:firstLine="360"/>
              <w:jc w:val="center"/>
              <w:rPr>
                <w:rFonts w:ascii="宋体" w:hAnsi="宋体"/>
                <w:sz w:val="18"/>
                <w:szCs w:val="18"/>
              </w:rPr>
            </w:pPr>
          </w:p>
        </w:tc>
        <w:tc>
          <w:tcPr>
            <w:tcW w:w="1796" w:type="dxa"/>
            <w:gridSpan w:val="2"/>
            <w:vAlign w:val="center"/>
          </w:tcPr>
          <w:p w14:paraId="0F797289">
            <w:pPr>
              <w:ind w:firstLine="360"/>
              <w:jc w:val="center"/>
              <w:rPr>
                <w:rFonts w:ascii="宋体" w:hAnsi="宋体"/>
                <w:sz w:val="18"/>
                <w:szCs w:val="18"/>
              </w:rPr>
            </w:pPr>
          </w:p>
        </w:tc>
        <w:tc>
          <w:tcPr>
            <w:tcW w:w="1689" w:type="dxa"/>
            <w:gridSpan w:val="4"/>
            <w:vAlign w:val="center"/>
          </w:tcPr>
          <w:p w14:paraId="64C901BE">
            <w:pPr>
              <w:ind w:firstLine="360"/>
              <w:jc w:val="center"/>
              <w:rPr>
                <w:rFonts w:ascii="宋体" w:hAnsi="宋体"/>
                <w:sz w:val="18"/>
                <w:szCs w:val="18"/>
              </w:rPr>
            </w:pPr>
          </w:p>
        </w:tc>
        <w:tc>
          <w:tcPr>
            <w:tcW w:w="1985" w:type="dxa"/>
            <w:vAlign w:val="center"/>
          </w:tcPr>
          <w:p w14:paraId="35E964FC">
            <w:pPr>
              <w:ind w:firstLine="360"/>
              <w:jc w:val="center"/>
              <w:rPr>
                <w:rFonts w:ascii="宋体" w:hAnsi="宋体"/>
                <w:sz w:val="18"/>
                <w:szCs w:val="18"/>
              </w:rPr>
            </w:pPr>
          </w:p>
        </w:tc>
      </w:tr>
      <w:tr w14:paraId="239AE8C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14:paraId="48B0093D">
            <w:pPr>
              <w:rPr>
                <w:rFonts w:ascii="宋体" w:hAnsi="宋体"/>
                <w:sz w:val="18"/>
                <w:szCs w:val="18"/>
              </w:rPr>
            </w:pPr>
          </w:p>
        </w:tc>
        <w:tc>
          <w:tcPr>
            <w:tcW w:w="1984" w:type="dxa"/>
            <w:gridSpan w:val="2"/>
            <w:tcBorders>
              <w:left w:val="single" w:color="auto" w:sz="4" w:space="0"/>
              <w:right w:val="single" w:color="auto" w:sz="4" w:space="0"/>
            </w:tcBorders>
            <w:vAlign w:val="center"/>
          </w:tcPr>
          <w:p w14:paraId="19A49175">
            <w:pPr>
              <w:rPr>
                <w:rFonts w:ascii="宋体" w:hAnsi="宋体"/>
                <w:sz w:val="18"/>
                <w:szCs w:val="18"/>
              </w:rPr>
            </w:pPr>
            <w:r>
              <w:rPr>
                <w:rFonts w:hint="eastAsia" w:ascii="宋体" w:hAnsi="宋体"/>
                <w:sz w:val="18"/>
                <w:szCs w:val="18"/>
              </w:rPr>
              <w:t>2排烟管道</w:t>
            </w:r>
          </w:p>
        </w:tc>
        <w:tc>
          <w:tcPr>
            <w:tcW w:w="1760" w:type="dxa"/>
            <w:gridSpan w:val="2"/>
            <w:tcBorders>
              <w:left w:val="single" w:color="auto" w:sz="4" w:space="0"/>
            </w:tcBorders>
            <w:vAlign w:val="center"/>
          </w:tcPr>
          <w:p w14:paraId="026B8446">
            <w:pPr>
              <w:ind w:firstLine="360"/>
              <w:jc w:val="center"/>
              <w:rPr>
                <w:rFonts w:ascii="宋体" w:hAnsi="宋体"/>
                <w:sz w:val="18"/>
                <w:szCs w:val="18"/>
              </w:rPr>
            </w:pPr>
          </w:p>
        </w:tc>
        <w:tc>
          <w:tcPr>
            <w:tcW w:w="1796" w:type="dxa"/>
            <w:gridSpan w:val="2"/>
            <w:vAlign w:val="center"/>
          </w:tcPr>
          <w:p w14:paraId="4C7ECE88">
            <w:pPr>
              <w:ind w:firstLine="360"/>
              <w:jc w:val="center"/>
              <w:rPr>
                <w:rFonts w:ascii="宋体" w:hAnsi="宋体"/>
                <w:sz w:val="18"/>
                <w:szCs w:val="18"/>
              </w:rPr>
            </w:pPr>
          </w:p>
        </w:tc>
        <w:tc>
          <w:tcPr>
            <w:tcW w:w="1689" w:type="dxa"/>
            <w:gridSpan w:val="4"/>
            <w:vAlign w:val="center"/>
          </w:tcPr>
          <w:p w14:paraId="3F347BA9">
            <w:pPr>
              <w:ind w:firstLine="360"/>
              <w:jc w:val="center"/>
              <w:rPr>
                <w:rFonts w:ascii="宋体" w:hAnsi="宋体"/>
                <w:sz w:val="18"/>
                <w:szCs w:val="18"/>
              </w:rPr>
            </w:pPr>
          </w:p>
        </w:tc>
        <w:tc>
          <w:tcPr>
            <w:tcW w:w="1985" w:type="dxa"/>
            <w:vAlign w:val="center"/>
          </w:tcPr>
          <w:p w14:paraId="7E3F4C9C">
            <w:pPr>
              <w:ind w:firstLine="360"/>
              <w:jc w:val="center"/>
              <w:rPr>
                <w:rFonts w:ascii="宋体" w:hAnsi="宋体"/>
                <w:sz w:val="18"/>
                <w:szCs w:val="18"/>
              </w:rPr>
            </w:pPr>
          </w:p>
        </w:tc>
      </w:tr>
      <w:tr w14:paraId="61FA718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14:paraId="079BB14E">
            <w:pPr>
              <w:rPr>
                <w:rFonts w:ascii="宋体" w:hAnsi="宋体"/>
                <w:sz w:val="18"/>
                <w:szCs w:val="18"/>
              </w:rPr>
            </w:pPr>
          </w:p>
        </w:tc>
        <w:tc>
          <w:tcPr>
            <w:tcW w:w="1984" w:type="dxa"/>
            <w:gridSpan w:val="2"/>
            <w:tcBorders>
              <w:left w:val="single" w:color="auto" w:sz="4" w:space="0"/>
              <w:right w:val="single" w:color="auto" w:sz="4" w:space="0"/>
            </w:tcBorders>
            <w:vAlign w:val="center"/>
          </w:tcPr>
          <w:p w14:paraId="1978C226">
            <w:pPr>
              <w:rPr>
                <w:rFonts w:ascii="宋体" w:hAnsi="宋体"/>
                <w:sz w:val="18"/>
                <w:szCs w:val="18"/>
              </w:rPr>
            </w:pPr>
            <w:r>
              <w:rPr>
                <w:rFonts w:hint="eastAsia" w:ascii="宋体" w:hAnsi="宋体"/>
                <w:sz w:val="18"/>
                <w:szCs w:val="18"/>
              </w:rPr>
              <w:t>3自然排烟口、机械排烟口、排烟阀</w:t>
            </w:r>
          </w:p>
        </w:tc>
        <w:tc>
          <w:tcPr>
            <w:tcW w:w="1760" w:type="dxa"/>
            <w:gridSpan w:val="2"/>
            <w:tcBorders>
              <w:left w:val="single" w:color="auto" w:sz="4" w:space="0"/>
            </w:tcBorders>
            <w:vAlign w:val="center"/>
          </w:tcPr>
          <w:p w14:paraId="755FA17D">
            <w:pPr>
              <w:ind w:firstLine="360"/>
              <w:jc w:val="center"/>
              <w:rPr>
                <w:rFonts w:ascii="宋体" w:hAnsi="宋体"/>
                <w:sz w:val="18"/>
                <w:szCs w:val="18"/>
              </w:rPr>
            </w:pPr>
          </w:p>
        </w:tc>
        <w:tc>
          <w:tcPr>
            <w:tcW w:w="1796" w:type="dxa"/>
            <w:gridSpan w:val="2"/>
            <w:vAlign w:val="center"/>
          </w:tcPr>
          <w:p w14:paraId="7B8F91D1">
            <w:pPr>
              <w:ind w:firstLine="360"/>
              <w:jc w:val="center"/>
              <w:rPr>
                <w:rFonts w:ascii="宋体" w:hAnsi="宋体"/>
                <w:sz w:val="18"/>
                <w:szCs w:val="18"/>
              </w:rPr>
            </w:pPr>
          </w:p>
        </w:tc>
        <w:tc>
          <w:tcPr>
            <w:tcW w:w="1689" w:type="dxa"/>
            <w:gridSpan w:val="4"/>
            <w:vAlign w:val="center"/>
          </w:tcPr>
          <w:p w14:paraId="275BFC68">
            <w:pPr>
              <w:ind w:firstLine="360"/>
              <w:jc w:val="center"/>
              <w:rPr>
                <w:rFonts w:ascii="宋体" w:hAnsi="宋体"/>
                <w:sz w:val="18"/>
                <w:szCs w:val="18"/>
              </w:rPr>
            </w:pPr>
          </w:p>
        </w:tc>
        <w:tc>
          <w:tcPr>
            <w:tcW w:w="1985" w:type="dxa"/>
            <w:vAlign w:val="center"/>
          </w:tcPr>
          <w:p w14:paraId="37E0E693">
            <w:pPr>
              <w:ind w:firstLine="360"/>
              <w:jc w:val="center"/>
              <w:rPr>
                <w:rFonts w:ascii="宋体" w:hAnsi="宋体"/>
                <w:sz w:val="18"/>
                <w:szCs w:val="18"/>
              </w:rPr>
            </w:pPr>
          </w:p>
        </w:tc>
      </w:tr>
      <w:tr w14:paraId="6375B54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14:paraId="31E4D705">
            <w:pPr>
              <w:rPr>
                <w:rFonts w:ascii="宋体" w:hAnsi="宋体"/>
                <w:sz w:val="18"/>
                <w:szCs w:val="18"/>
              </w:rPr>
            </w:pPr>
          </w:p>
        </w:tc>
        <w:tc>
          <w:tcPr>
            <w:tcW w:w="1984" w:type="dxa"/>
            <w:gridSpan w:val="2"/>
            <w:tcBorders>
              <w:left w:val="single" w:color="auto" w:sz="4" w:space="0"/>
              <w:right w:val="single" w:color="auto" w:sz="4" w:space="0"/>
            </w:tcBorders>
            <w:vAlign w:val="center"/>
          </w:tcPr>
          <w:p w14:paraId="28C232EE">
            <w:pPr>
              <w:rPr>
                <w:rFonts w:ascii="宋体" w:hAnsi="宋体"/>
                <w:sz w:val="18"/>
                <w:szCs w:val="18"/>
              </w:rPr>
            </w:pPr>
            <w:r>
              <w:rPr>
                <w:rFonts w:hint="eastAsia" w:ascii="宋体" w:hAnsi="宋体"/>
                <w:sz w:val="18"/>
                <w:szCs w:val="18"/>
              </w:rPr>
              <w:t>4加压送风机</w:t>
            </w:r>
          </w:p>
        </w:tc>
        <w:tc>
          <w:tcPr>
            <w:tcW w:w="1760" w:type="dxa"/>
            <w:gridSpan w:val="2"/>
            <w:tcBorders>
              <w:left w:val="single" w:color="auto" w:sz="4" w:space="0"/>
            </w:tcBorders>
            <w:vAlign w:val="center"/>
          </w:tcPr>
          <w:p w14:paraId="1FB5C506">
            <w:pPr>
              <w:ind w:firstLine="360"/>
              <w:jc w:val="center"/>
              <w:rPr>
                <w:rFonts w:ascii="宋体" w:hAnsi="宋体"/>
                <w:sz w:val="18"/>
                <w:szCs w:val="18"/>
              </w:rPr>
            </w:pPr>
          </w:p>
        </w:tc>
        <w:tc>
          <w:tcPr>
            <w:tcW w:w="1796" w:type="dxa"/>
            <w:gridSpan w:val="2"/>
            <w:vAlign w:val="center"/>
          </w:tcPr>
          <w:p w14:paraId="458F6D17">
            <w:pPr>
              <w:ind w:firstLine="360"/>
              <w:jc w:val="center"/>
              <w:rPr>
                <w:rFonts w:ascii="宋体" w:hAnsi="宋体"/>
                <w:sz w:val="18"/>
                <w:szCs w:val="18"/>
              </w:rPr>
            </w:pPr>
          </w:p>
        </w:tc>
        <w:tc>
          <w:tcPr>
            <w:tcW w:w="1689" w:type="dxa"/>
            <w:gridSpan w:val="4"/>
            <w:vAlign w:val="center"/>
          </w:tcPr>
          <w:p w14:paraId="66268FB0">
            <w:pPr>
              <w:ind w:firstLine="360"/>
              <w:jc w:val="center"/>
              <w:rPr>
                <w:rFonts w:ascii="宋体" w:hAnsi="宋体"/>
                <w:sz w:val="18"/>
                <w:szCs w:val="18"/>
              </w:rPr>
            </w:pPr>
          </w:p>
        </w:tc>
        <w:tc>
          <w:tcPr>
            <w:tcW w:w="1985" w:type="dxa"/>
            <w:vAlign w:val="center"/>
          </w:tcPr>
          <w:p w14:paraId="54624D27">
            <w:pPr>
              <w:ind w:firstLine="360"/>
              <w:jc w:val="center"/>
              <w:rPr>
                <w:rFonts w:ascii="宋体" w:hAnsi="宋体"/>
                <w:sz w:val="18"/>
                <w:szCs w:val="18"/>
              </w:rPr>
            </w:pPr>
          </w:p>
        </w:tc>
      </w:tr>
      <w:tr w14:paraId="5235D8B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14:paraId="597290DE">
            <w:pPr>
              <w:rPr>
                <w:rFonts w:ascii="宋体" w:hAnsi="宋体"/>
                <w:sz w:val="18"/>
                <w:szCs w:val="18"/>
              </w:rPr>
            </w:pPr>
          </w:p>
        </w:tc>
        <w:tc>
          <w:tcPr>
            <w:tcW w:w="1984" w:type="dxa"/>
            <w:gridSpan w:val="2"/>
            <w:tcBorders>
              <w:left w:val="single" w:color="auto" w:sz="4" w:space="0"/>
              <w:right w:val="single" w:color="auto" w:sz="4" w:space="0"/>
            </w:tcBorders>
            <w:vAlign w:val="center"/>
          </w:tcPr>
          <w:p w14:paraId="47C35742">
            <w:pPr>
              <w:rPr>
                <w:rFonts w:ascii="宋体" w:hAnsi="宋体"/>
                <w:sz w:val="18"/>
                <w:szCs w:val="18"/>
              </w:rPr>
            </w:pPr>
            <w:r>
              <w:rPr>
                <w:rFonts w:hint="eastAsia" w:ascii="宋体" w:hAnsi="宋体"/>
                <w:sz w:val="18"/>
                <w:szCs w:val="18"/>
              </w:rPr>
              <w:t>5加压送风管道</w:t>
            </w:r>
          </w:p>
        </w:tc>
        <w:tc>
          <w:tcPr>
            <w:tcW w:w="1760" w:type="dxa"/>
            <w:gridSpan w:val="2"/>
            <w:tcBorders>
              <w:left w:val="single" w:color="auto" w:sz="4" w:space="0"/>
            </w:tcBorders>
            <w:vAlign w:val="center"/>
          </w:tcPr>
          <w:p w14:paraId="602D5FD5">
            <w:pPr>
              <w:ind w:firstLine="360"/>
              <w:jc w:val="center"/>
              <w:rPr>
                <w:rFonts w:ascii="宋体" w:hAnsi="宋体"/>
                <w:sz w:val="18"/>
                <w:szCs w:val="18"/>
              </w:rPr>
            </w:pPr>
          </w:p>
        </w:tc>
        <w:tc>
          <w:tcPr>
            <w:tcW w:w="1796" w:type="dxa"/>
            <w:gridSpan w:val="2"/>
            <w:vAlign w:val="center"/>
          </w:tcPr>
          <w:p w14:paraId="4A71E89C">
            <w:pPr>
              <w:ind w:firstLine="360"/>
              <w:jc w:val="center"/>
              <w:rPr>
                <w:rFonts w:ascii="宋体" w:hAnsi="宋体"/>
                <w:sz w:val="18"/>
                <w:szCs w:val="18"/>
              </w:rPr>
            </w:pPr>
          </w:p>
        </w:tc>
        <w:tc>
          <w:tcPr>
            <w:tcW w:w="1689" w:type="dxa"/>
            <w:gridSpan w:val="4"/>
            <w:vAlign w:val="center"/>
          </w:tcPr>
          <w:p w14:paraId="5D612AA0">
            <w:pPr>
              <w:ind w:firstLine="360"/>
              <w:jc w:val="center"/>
              <w:rPr>
                <w:rFonts w:ascii="宋体" w:hAnsi="宋体"/>
                <w:sz w:val="18"/>
                <w:szCs w:val="18"/>
              </w:rPr>
            </w:pPr>
          </w:p>
        </w:tc>
        <w:tc>
          <w:tcPr>
            <w:tcW w:w="1985" w:type="dxa"/>
            <w:vAlign w:val="center"/>
          </w:tcPr>
          <w:p w14:paraId="5976EB8A">
            <w:pPr>
              <w:ind w:firstLine="360"/>
              <w:jc w:val="center"/>
              <w:rPr>
                <w:rFonts w:ascii="宋体" w:hAnsi="宋体"/>
                <w:sz w:val="18"/>
                <w:szCs w:val="18"/>
              </w:rPr>
            </w:pPr>
          </w:p>
        </w:tc>
      </w:tr>
      <w:tr w14:paraId="22EE140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14:paraId="7543D771">
            <w:pPr>
              <w:rPr>
                <w:rFonts w:ascii="宋体" w:hAnsi="宋体"/>
                <w:sz w:val="18"/>
                <w:szCs w:val="18"/>
              </w:rPr>
            </w:pPr>
          </w:p>
        </w:tc>
        <w:tc>
          <w:tcPr>
            <w:tcW w:w="1984" w:type="dxa"/>
            <w:gridSpan w:val="2"/>
            <w:tcBorders>
              <w:left w:val="single" w:color="auto" w:sz="4" w:space="0"/>
              <w:right w:val="single" w:color="auto" w:sz="4" w:space="0"/>
            </w:tcBorders>
            <w:vAlign w:val="center"/>
          </w:tcPr>
          <w:p w14:paraId="54372D5F">
            <w:pPr>
              <w:rPr>
                <w:rFonts w:ascii="宋体" w:hAnsi="宋体"/>
                <w:sz w:val="18"/>
                <w:szCs w:val="18"/>
              </w:rPr>
            </w:pPr>
            <w:r>
              <w:rPr>
                <w:rFonts w:hint="eastAsia" w:ascii="宋体" w:hAnsi="宋体"/>
                <w:sz w:val="18"/>
                <w:szCs w:val="18"/>
              </w:rPr>
              <w:t>6加压送风口</w:t>
            </w:r>
          </w:p>
        </w:tc>
        <w:tc>
          <w:tcPr>
            <w:tcW w:w="1760" w:type="dxa"/>
            <w:gridSpan w:val="2"/>
            <w:tcBorders>
              <w:left w:val="single" w:color="auto" w:sz="4" w:space="0"/>
            </w:tcBorders>
            <w:vAlign w:val="center"/>
          </w:tcPr>
          <w:p w14:paraId="17103D61">
            <w:pPr>
              <w:ind w:firstLine="360"/>
              <w:jc w:val="center"/>
              <w:rPr>
                <w:rFonts w:ascii="宋体" w:hAnsi="宋体"/>
                <w:sz w:val="18"/>
                <w:szCs w:val="18"/>
              </w:rPr>
            </w:pPr>
          </w:p>
        </w:tc>
        <w:tc>
          <w:tcPr>
            <w:tcW w:w="1796" w:type="dxa"/>
            <w:gridSpan w:val="2"/>
            <w:vAlign w:val="center"/>
          </w:tcPr>
          <w:p w14:paraId="1CF4EBB6">
            <w:pPr>
              <w:ind w:firstLine="360"/>
              <w:jc w:val="center"/>
              <w:rPr>
                <w:rFonts w:ascii="宋体" w:hAnsi="宋体"/>
                <w:sz w:val="18"/>
                <w:szCs w:val="18"/>
              </w:rPr>
            </w:pPr>
          </w:p>
        </w:tc>
        <w:tc>
          <w:tcPr>
            <w:tcW w:w="1689" w:type="dxa"/>
            <w:gridSpan w:val="4"/>
            <w:vAlign w:val="center"/>
          </w:tcPr>
          <w:p w14:paraId="502897A0">
            <w:pPr>
              <w:ind w:firstLine="360"/>
              <w:jc w:val="center"/>
              <w:rPr>
                <w:rFonts w:ascii="宋体" w:hAnsi="宋体"/>
                <w:sz w:val="18"/>
                <w:szCs w:val="18"/>
              </w:rPr>
            </w:pPr>
          </w:p>
        </w:tc>
        <w:tc>
          <w:tcPr>
            <w:tcW w:w="1985" w:type="dxa"/>
            <w:vAlign w:val="center"/>
          </w:tcPr>
          <w:p w14:paraId="0E5407FF">
            <w:pPr>
              <w:ind w:firstLine="360"/>
              <w:jc w:val="center"/>
              <w:rPr>
                <w:rFonts w:ascii="宋体" w:hAnsi="宋体"/>
                <w:sz w:val="18"/>
                <w:szCs w:val="18"/>
              </w:rPr>
            </w:pPr>
          </w:p>
        </w:tc>
      </w:tr>
      <w:tr w14:paraId="1B2F97C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14:paraId="5DB17A40">
            <w:pPr>
              <w:rPr>
                <w:rFonts w:ascii="宋体" w:hAnsi="宋体"/>
                <w:sz w:val="18"/>
                <w:szCs w:val="18"/>
              </w:rPr>
            </w:pPr>
          </w:p>
        </w:tc>
        <w:tc>
          <w:tcPr>
            <w:tcW w:w="1984" w:type="dxa"/>
            <w:gridSpan w:val="2"/>
            <w:tcBorders>
              <w:left w:val="single" w:color="auto" w:sz="4" w:space="0"/>
              <w:right w:val="single" w:color="auto" w:sz="4" w:space="0"/>
            </w:tcBorders>
            <w:vAlign w:val="center"/>
          </w:tcPr>
          <w:p w14:paraId="63DA07B0">
            <w:pPr>
              <w:rPr>
                <w:rFonts w:ascii="宋体" w:hAnsi="宋体"/>
                <w:sz w:val="18"/>
                <w:szCs w:val="18"/>
              </w:rPr>
            </w:pPr>
            <w:r>
              <w:rPr>
                <w:rFonts w:hint="eastAsia" w:ascii="宋体" w:hAnsi="宋体"/>
                <w:sz w:val="18"/>
                <w:szCs w:val="18"/>
              </w:rPr>
              <w:t>7系统控制</w:t>
            </w:r>
          </w:p>
        </w:tc>
        <w:tc>
          <w:tcPr>
            <w:tcW w:w="1760" w:type="dxa"/>
            <w:gridSpan w:val="2"/>
            <w:tcBorders>
              <w:left w:val="single" w:color="auto" w:sz="4" w:space="0"/>
            </w:tcBorders>
            <w:vAlign w:val="center"/>
          </w:tcPr>
          <w:p w14:paraId="4EF1B0EE">
            <w:pPr>
              <w:ind w:firstLine="360"/>
              <w:jc w:val="center"/>
              <w:rPr>
                <w:rFonts w:ascii="宋体" w:hAnsi="宋体"/>
                <w:sz w:val="18"/>
                <w:szCs w:val="18"/>
              </w:rPr>
            </w:pPr>
          </w:p>
        </w:tc>
        <w:tc>
          <w:tcPr>
            <w:tcW w:w="1796" w:type="dxa"/>
            <w:gridSpan w:val="2"/>
            <w:vAlign w:val="center"/>
          </w:tcPr>
          <w:p w14:paraId="73145A83">
            <w:pPr>
              <w:ind w:firstLine="360"/>
              <w:jc w:val="center"/>
              <w:rPr>
                <w:rFonts w:ascii="宋体" w:hAnsi="宋体"/>
                <w:sz w:val="18"/>
                <w:szCs w:val="18"/>
              </w:rPr>
            </w:pPr>
          </w:p>
        </w:tc>
        <w:tc>
          <w:tcPr>
            <w:tcW w:w="1689" w:type="dxa"/>
            <w:gridSpan w:val="4"/>
            <w:vAlign w:val="center"/>
          </w:tcPr>
          <w:p w14:paraId="3695C722">
            <w:pPr>
              <w:ind w:firstLine="360"/>
              <w:jc w:val="center"/>
              <w:rPr>
                <w:rFonts w:ascii="宋体" w:hAnsi="宋体"/>
                <w:sz w:val="18"/>
                <w:szCs w:val="18"/>
              </w:rPr>
            </w:pPr>
          </w:p>
        </w:tc>
        <w:tc>
          <w:tcPr>
            <w:tcW w:w="1985" w:type="dxa"/>
            <w:vAlign w:val="center"/>
          </w:tcPr>
          <w:p w14:paraId="0796316D">
            <w:pPr>
              <w:ind w:firstLine="360"/>
              <w:jc w:val="center"/>
              <w:rPr>
                <w:rFonts w:ascii="宋体" w:hAnsi="宋体"/>
                <w:sz w:val="18"/>
                <w:szCs w:val="18"/>
              </w:rPr>
            </w:pPr>
          </w:p>
        </w:tc>
      </w:tr>
      <w:tr w14:paraId="2798070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restart"/>
            <w:tcBorders>
              <w:right w:val="single" w:color="auto" w:sz="4" w:space="0"/>
            </w:tcBorders>
            <w:vAlign w:val="center"/>
          </w:tcPr>
          <w:p w14:paraId="271F3480">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15</w:t>
            </w:r>
          </w:p>
          <w:p w14:paraId="07FB23E3">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消防电源及其配电</w:t>
            </w:r>
          </w:p>
        </w:tc>
        <w:tc>
          <w:tcPr>
            <w:tcW w:w="1984" w:type="dxa"/>
            <w:gridSpan w:val="2"/>
            <w:tcBorders>
              <w:left w:val="single" w:color="auto" w:sz="4" w:space="0"/>
              <w:right w:val="single" w:color="auto" w:sz="4" w:space="0"/>
            </w:tcBorders>
            <w:vAlign w:val="center"/>
          </w:tcPr>
          <w:p w14:paraId="1294D9F9">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1负荷等级及供配电措施</w:t>
            </w:r>
          </w:p>
        </w:tc>
        <w:tc>
          <w:tcPr>
            <w:tcW w:w="1760" w:type="dxa"/>
            <w:gridSpan w:val="2"/>
            <w:tcBorders>
              <w:left w:val="single" w:color="auto" w:sz="4" w:space="0"/>
            </w:tcBorders>
            <w:vAlign w:val="center"/>
          </w:tcPr>
          <w:p w14:paraId="5243D985">
            <w:pPr>
              <w:ind w:firstLine="360"/>
              <w:jc w:val="center"/>
              <w:rPr>
                <w:rFonts w:ascii="宋体" w:hAnsi="宋体"/>
                <w:sz w:val="18"/>
                <w:szCs w:val="18"/>
              </w:rPr>
            </w:pPr>
          </w:p>
        </w:tc>
        <w:tc>
          <w:tcPr>
            <w:tcW w:w="1796" w:type="dxa"/>
            <w:gridSpan w:val="2"/>
            <w:vAlign w:val="center"/>
          </w:tcPr>
          <w:p w14:paraId="3A7A1DEA">
            <w:pPr>
              <w:ind w:firstLine="360"/>
              <w:jc w:val="center"/>
              <w:rPr>
                <w:rFonts w:ascii="宋体" w:hAnsi="宋体"/>
                <w:sz w:val="18"/>
                <w:szCs w:val="18"/>
              </w:rPr>
            </w:pPr>
          </w:p>
        </w:tc>
        <w:tc>
          <w:tcPr>
            <w:tcW w:w="1689" w:type="dxa"/>
            <w:gridSpan w:val="4"/>
            <w:vAlign w:val="center"/>
          </w:tcPr>
          <w:p w14:paraId="121E116B">
            <w:pPr>
              <w:ind w:firstLine="360"/>
              <w:jc w:val="center"/>
              <w:rPr>
                <w:rFonts w:ascii="宋体" w:hAnsi="宋体"/>
                <w:sz w:val="18"/>
                <w:szCs w:val="18"/>
              </w:rPr>
            </w:pPr>
          </w:p>
        </w:tc>
        <w:tc>
          <w:tcPr>
            <w:tcW w:w="1985" w:type="dxa"/>
            <w:vAlign w:val="center"/>
          </w:tcPr>
          <w:p w14:paraId="5CC76B49">
            <w:pPr>
              <w:ind w:firstLine="360"/>
              <w:jc w:val="center"/>
              <w:rPr>
                <w:rFonts w:ascii="宋体" w:hAnsi="宋体"/>
                <w:sz w:val="18"/>
                <w:szCs w:val="18"/>
              </w:rPr>
            </w:pPr>
          </w:p>
        </w:tc>
      </w:tr>
      <w:tr w14:paraId="0A34838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14:paraId="45E9D8A9">
            <w:pPr>
              <w:rPr>
                <w:rFonts w:ascii="宋体" w:hAnsi="宋体"/>
                <w:color w:val="000000" w:themeColor="text1"/>
                <w:sz w:val="18"/>
                <w:szCs w:val="18"/>
                <w14:textFill>
                  <w14:solidFill>
                    <w14:schemeClr w14:val="tx1"/>
                  </w14:solidFill>
                </w14:textFill>
              </w:rPr>
            </w:pPr>
          </w:p>
        </w:tc>
        <w:tc>
          <w:tcPr>
            <w:tcW w:w="1984" w:type="dxa"/>
            <w:gridSpan w:val="2"/>
            <w:tcBorders>
              <w:left w:val="single" w:color="auto" w:sz="4" w:space="0"/>
              <w:right w:val="single" w:color="auto" w:sz="4" w:space="0"/>
            </w:tcBorders>
            <w:vAlign w:val="center"/>
          </w:tcPr>
          <w:p w14:paraId="22EF0529">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2消防配电装置</w:t>
            </w:r>
          </w:p>
        </w:tc>
        <w:tc>
          <w:tcPr>
            <w:tcW w:w="1760" w:type="dxa"/>
            <w:gridSpan w:val="2"/>
            <w:tcBorders>
              <w:left w:val="single" w:color="auto" w:sz="4" w:space="0"/>
            </w:tcBorders>
            <w:vAlign w:val="center"/>
          </w:tcPr>
          <w:p w14:paraId="656FA0E6">
            <w:pPr>
              <w:ind w:firstLine="360"/>
              <w:jc w:val="center"/>
              <w:rPr>
                <w:rFonts w:ascii="宋体" w:hAnsi="宋体"/>
                <w:sz w:val="18"/>
                <w:szCs w:val="18"/>
              </w:rPr>
            </w:pPr>
          </w:p>
        </w:tc>
        <w:tc>
          <w:tcPr>
            <w:tcW w:w="1796" w:type="dxa"/>
            <w:gridSpan w:val="2"/>
            <w:vAlign w:val="center"/>
          </w:tcPr>
          <w:p w14:paraId="78673BED">
            <w:pPr>
              <w:ind w:firstLine="360"/>
              <w:jc w:val="center"/>
              <w:rPr>
                <w:rFonts w:ascii="宋体" w:hAnsi="宋体"/>
                <w:sz w:val="18"/>
                <w:szCs w:val="18"/>
              </w:rPr>
            </w:pPr>
          </w:p>
        </w:tc>
        <w:tc>
          <w:tcPr>
            <w:tcW w:w="1689" w:type="dxa"/>
            <w:gridSpan w:val="4"/>
            <w:vAlign w:val="center"/>
          </w:tcPr>
          <w:p w14:paraId="166E7AB6">
            <w:pPr>
              <w:ind w:firstLine="360"/>
              <w:jc w:val="center"/>
              <w:rPr>
                <w:rFonts w:ascii="宋体" w:hAnsi="宋体"/>
                <w:sz w:val="18"/>
                <w:szCs w:val="18"/>
              </w:rPr>
            </w:pPr>
          </w:p>
        </w:tc>
        <w:tc>
          <w:tcPr>
            <w:tcW w:w="1985" w:type="dxa"/>
            <w:vAlign w:val="center"/>
          </w:tcPr>
          <w:p w14:paraId="1D7A68B9">
            <w:pPr>
              <w:ind w:firstLine="360"/>
              <w:jc w:val="center"/>
              <w:rPr>
                <w:rFonts w:ascii="宋体" w:hAnsi="宋体"/>
                <w:sz w:val="18"/>
                <w:szCs w:val="18"/>
              </w:rPr>
            </w:pPr>
          </w:p>
        </w:tc>
      </w:tr>
      <w:tr w14:paraId="0E8ED7B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14:paraId="27508DF5">
            <w:pPr>
              <w:rPr>
                <w:rFonts w:ascii="宋体" w:hAnsi="宋体"/>
                <w:color w:val="000000" w:themeColor="text1"/>
                <w:sz w:val="18"/>
                <w:szCs w:val="18"/>
                <w14:textFill>
                  <w14:solidFill>
                    <w14:schemeClr w14:val="tx1"/>
                  </w14:solidFill>
                </w14:textFill>
              </w:rPr>
            </w:pPr>
          </w:p>
        </w:tc>
        <w:tc>
          <w:tcPr>
            <w:tcW w:w="1984" w:type="dxa"/>
            <w:gridSpan w:val="2"/>
            <w:tcBorders>
              <w:left w:val="single" w:color="auto" w:sz="4" w:space="0"/>
              <w:right w:val="single" w:color="auto" w:sz="4" w:space="0"/>
            </w:tcBorders>
            <w:vAlign w:val="center"/>
          </w:tcPr>
          <w:p w14:paraId="3D61D11E">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3应急电源</w:t>
            </w:r>
          </w:p>
        </w:tc>
        <w:tc>
          <w:tcPr>
            <w:tcW w:w="1760" w:type="dxa"/>
            <w:gridSpan w:val="2"/>
            <w:tcBorders>
              <w:left w:val="single" w:color="auto" w:sz="4" w:space="0"/>
            </w:tcBorders>
            <w:vAlign w:val="center"/>
          </w:tcPr>
          <w:p w14:paraId="6268376D">
            <w:pPr>
              <w:ind w:firstLine="360"/>
              <w:jc w:val="center"/>
              <w:rPr>
                <w:rFonts w:ascii="宋体" w:hAnsi="宋体"/>
                <w:sz w:val="18"/>
                <w:szCs w:val="18"/>
              </w:rPr>
            </w:pPr>
          </w:p>
        </w:tc>
        <w:tc>
          <w:tcPr>
            <w:tcW w:w="1796" w:type="dxa"/>
            <w:gridSpan w:val="2"/>
            <w:vAlign w:val="center"/>
          </w:tcPr>
          <w:p w14:paraId="548AA5D9">
            <w:pPr>
              <w:ind w:firstLine="360"/>
              <w:jc w:val="center"/>
              <w:rPr>
                <w:rFonts w:ascii="宋体" w:hAnsi="宋体"/>
                <w:sz w:val="18"/>
                <w:szCs w:val="18"/>
              </w:rPr>
            </w:pPr>
          </w:p>
        </w:tc>
        <w:tc>
          <w:tcPr>
            <w:tcW w:w="1689" w:type="dxa"/>
            <w:gridSpan w:val="4"/>
            <w:vAlign w:val="center"/>
          </w:tcPr>
          <w:p w14:paraId="6B2514D8">
            <w:pPr>
              <w:ind w:firstLine="360"/>
              <w:jc w:val="center"/>
              <w:rPr>
                <w:rFonts w:ascii="宋体" w:hAnsi="宋体"/>
                <w:sz w:val="18"/>
                <w:szCs w:val="18"/>
              </w:rPr>
            </w:pPr>
          </w:p>
        </w:tc>
        <w:tc>
          <w:tcPr>
            <w:tcW w:w="1985" w:type="dxa"/>
            <w:vAlign w:val="center"/>
          </w:tcPr>
          <w:p w14:paraId="53887B86">
            <w:pPr>
              <w:ind w:firstLine="360"/>
              <w:jc w:val="center"/>
              <w:rPr>
                <w:rFonts w:ascii="宋体" w:hAnsi="宋体"/>
                <w:sz w:val="18"/>
                <w:szCs w:val="18"/>
              </w:rPr>
            </w:pPr>
          </w:p>
        </w:tc>
      </w:tr>
      <w:tr w14:paraId="2B9BE1C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14:paraId="071A11FA">
            <w:pPr>
              <w:rPr>
                <w:rFonts w:ascii="宋体" w:hAnsi="宋体"/>
                <w:color w:val="000000" w:themeColor="text1"/>
                <w:sz w:val="18"/>
                <w:szCs w:val="18"/>
                <w14:textFill>
                  <w14:solidFill>
                    <w14:schemeClr w14:val="tx1"/>
                  </w14:solidFill>
                </w14:textFill>
              </w:rPr>
            </w:pPr>
          </w:p>
        </w:tc>
        <w:tc>
          <w:tcPr>
            <w:tcW w:w="1984" w:type="dxa"/>
            <w:gridSpan w:val="2"/>
            <w:tcBorders>
              <w:left w:val="single" w:color="auto" w:sz="4" w:space="0"/>
              <w:right w:val="single" w:color="auto" w:sz="4" w:space="0"/>
            </w:tcBorders>
            <w:vAlign w:val="center"/>
          </w:tcPr>
          <w:p w14:paraId="5C7B973A">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4消防配电线缆及其路由</w:t>
            </w:r>
          </w:p>
        </w:tc>
        <w:tc>
          <w:tcPr>
            <w:tcW w:w="1760" w:type="dxa"/>
            <w:gridSpan w:val="2"/>
            <w:tcBorders>
              <w:left w:val="single" w:color="auto" w:sz="4" w:space="0"/>
            </w:tcBorders>
            <w:vAlign w:val="center"/>
          </w:tcPr>
          <w:p w14:paraId="1A0F5275">
            <w:pPr>
              <w:ind w:firstLine="360"/>
              <w:jc w:val="center"/>
              <w:rPr>
                <w:rFonts w:ascii="宋体" w:hAnsi="宋体"/>
                <w:sz w:val="18"/>
                <w:szCs w:val="18"/>
              </w:rPr>
            </w:pPr>
          </w:p>
        </w:tc>
        <w:tc>
          <w:tcPr>
            <w:tcW w:w="1796" w:type="dxa"/>
            <w:gridSpan w:val="2"/>
            <w:vAlign w:val="center"/>
          </w:tcPr>
          <w:p w14:paraId="3E33A852">
            <w:pPr>
              <w:ind w:firstLine="360"/>
              <w:jc w:val="center"/>
              <w:rPr>
                <w:rFonts w:ascii="宋体" w:hAnsi="宋体"/>
                <w:sz w:val="18"/>
                <w:szCs w:val="18"/>
              </w:rPr>
            </w:pPr>
          </w:p>
        </w:tc>
        <w:tc>
          <w:tcPr>
            <w:tcW w:w="1689" w:type="dxa"/>
            <w:gridSpan w:val="4"/>
            <w:vAlign w:val="center"/>
          </w:tcPr>
          <w:p w14:paraId="4B1086F9">
            <w:pPr>
              <w:ind w:firstLine="360"/>
              <w:jc w:val="center"/>
              <w:rPr>
                <w:rFonts w:ascii="宋体" w:hAnsi="宋体"/>
                <w:sz w:val="18"/>
                <w:szCs w:val="18"/>
              </w:rPr>
            </w:pPr>
          </w:p>
        </w:tc>
        <w:tc>
          <w:tcPr>
            <w:tcW w:w="1985" w:type="dxa"/>
            <w:vAlign w:val="center"/>
          </w:tcPr>
          <w:p w14:paraId="15BEDAD1">
            <w:pPr>
              <w:ind w:firstLine="360"/>
              <w:jc w:val="center"/>
              <w:rPr>
                <w:rFonts w:ascii="宋体" w:hAnsi="宋体"/>
                <w:sz w:val="18"/>
                <w:szCs w:val="18"/>
              </w:rPr>
            </w:pPr>
          </w:p>
        </w:tc>
      </w:tr>
      <w:tr w14:paraId="2C3114E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restart"/>
            <w:tcBorders>
              <w:right w:val="single" w:color="auto" w:sz="4" w:space="0"/>
            </w:tcBorders>
            <w:vAlign w:val="center"/>
          </w:tcPr>
          <w:p w14:paraId="6D2BF235">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16</w:t>
            </w:r>
          </w:p>
          <w:p w14:paraId="24468040">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非消防线缆</w:t>
            </w:r>
          </w:p>
        </w:tc>
        <w:tc>
          <w:tcPr>
            <w:tcW w:w="1984" w:type="dxa"/>
            <w:gridSpan w:val="2"/>
            <w:tcBorders>
              <w:left w:val="single" w:color="auto" w:sz="4" w:space="0"/>
              <w:right w:val="single" w:color="auto" w:sz="4" w:space="0"/>
            </w:tcBorders>
            <w:vAlign w:val="center"/>
          </w:tcPr>
          <w:p w14:paraId="0EF9A82C">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1供配电及控制线缆</w:t>
            </w:r>
          </w:p>
        </w:tc>
        <w:tc>
          <w:tcPr>
            <w:tcW w:w="1760" w:type="dxa"/>
            <w:gridSpan w:val="2"/>
            <w:tcBorders>
              <w:left w:val="single" w:color="auto" w:sz="4" w:space="0"/>
            </w:tcBorders>
            <w:vAlign w:val="center"/>
          </w:tcPr>
          <w:p w14:paraId="4D1C6B87">
            <w:pPr>
              <w:ind w:firstLine="360"/>
              <w:jc w:val="center"/>
              <w:rPr>
                <w:rFonts w:ascii="宋体" w:hAnsi="宋体"/>
                <w:sz w:val="18"/>
                <w:szCs w:val="18"/>
              </w:rPr>
            </w:pPr>
          </w:p>
        </w:tc>
        <w:tc>
          <w:tcPr>
            <w:tcW w:w="1796" w:type="dxa"/>
            <w:gridSpan w:val="2"/>
            <w:vAlign w:val="center"/>
          </w:tcPr>
          <w:p w14:paraId="2159DB0B">
            <w:pPr>
              <w:ind w:firstLine="360"/>
              <w:jc w:val="center"/>
              <w:rPr>
                <w:rFonts w:ascii="宋体" w:hAnsi="宋体"/>
                <w:sz w:val="18"/>
                <w:szCs w:val="18"/>
              </w:rPr>
            </w:pPr>
          </w:p>
        </w:tc>
        <w:tc>
          <w:tcPr>
            <w:tcW w:w="1689" w:type="dxa"/>
            <w:gridSpan w:val="4"/>
            <w:vAlign w:val="center"/>
          </w:tcPr>
          <w:p w14:paraId="0385079A">
            <w:pPr>
              <w:ind w:firstLine="360"/>
              <w:jc w:val="center"/>
              <w:rPr>
                <w:rFonts w:ascii="宋体" w:hAnsi="宋体"/>
                <w:sz w:val="18"/>
                <w:szCs w:val="18"/>
              </w:rPr>
            </w:pPr>
          </w:p>
        </w:tc>
        <w:tc>
          <w:tcPr>
            <w:tcW w:w="1985" w:type="dxa"/>
            <w:vAlign w:val="center"/>
          </w:tcPr>
          <w:p w14:paraId="6DC0A297">
            <w:pPr>
              <w:ind w:firstLine="360"/>
              <w:jc w:val="center"/>
              <w:rPr>
                <w:rFonts w:ascii="宋体" w:hAnsi="宋体"/>
                <w:sz w:val="18"/>
                <w:szCs w:val="18"/>
              </w:rPr>
            </w:pPr>
          </w:p>
        </w:tc>
      </w:tr>
      <w:tr w14:paraId="50A8D17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14:paraId="197A2FA3">
            <w:pPr>
              <w:rPr>
                <w:rFonts w:ascii="宋体" w:hAnsi="宋体"/>
                <w:color w:val="000000" w:themeColor="text1"/>
                <w:sz w:val="18"/>
                <w:szCs w:val="18"/>
                <w14:textFill>
                  <w14:solidFill>
                    <w14:schemeClr w14:val="tx1"/>
                  </w14:solidFill>
                </w14:textFill>
              </w:rPr>
            </w:pPr>
          </w:p>
        </w:tc>
        <w:tc>
          <w:tcPr>
            <w:tcW w:w="1984" w:type="dxa"/>
            <w:gridSpan w:val="2"/>
            <w:tcBorders>
              <w:left w:val="single" w:color="auto" w:sz="4" w:space="0"/>
              <w:right w:val="single" w:color="auto" w:sz="4" w:space="0"/>
            </w:tcBorders>
            <w:vAlign w:val="center"/>
          </w:tcPr>
          <w:p w14:paraId="20BA422C">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2网络和通讯线缆</w:t>
            </w:r>
          </w:p>
        </w:tc>
        <w:tc>
          <w:tcPr>
            <w:tcW w:w="1760" w:type="dxa"/>
            <w:gridSpan w:val="2"/>
            <w:tcBorders>
              <w:left w:val="single" w:color="auto" w:sz="4" w:space="0"/>
            </w:tcBorders>
            <w:vAlign w:val="center"/>
          </w:tcPr>
          <w:p w14:paraId="262AC759">
            <w:pPr>
              <w:ind w:firstLine="360"/>
              <w:jc w:val="center"/>
              <w:rPr>
                <w:rFonts w:ascii="宋体" w:hAnsi="宋体"/>
                <w:sz w:val="18"/>
                <w:szCs w:val="18"/>
              </w:rPr>
            </w:pPr>
          </w:p>
        </w:tc>
        <w:tc>
          <w:tcPr>
            <w:tcW w:w="1796" w:type="dxa"/>
            <w:gridSpan w:val="2"/>
            <w:vAlign w:val="center"/>
          </w:tcPr>
          <w:p w14:paraId="59F2911C">
            <w:pPr>
              <w:ind w:firstLine="360"/>
              <w:jc w:val="center"/>
              <w:rPr>
                <w:rFonts w:ascii="宋体" w:hAnsi="宋体"/>
                <w:sz w:val="18"/>
                <w:szCs w:val="18"/>
              </w:rPr>
            </w:pPr>
          </w:p>
        </w:tc>
        <w:tc>
          <w:tcPr>
            <w:tcW w:w="1689" w:type="dxa"/>
            <w:gridSpan w:val="4"/>
            <w:vAlign w:val="center"/>
          </w:tcPr>
          <w:p w14:paraId="4B0E7ED9">
            <w:pPr>
              <w:ind w:firstLine="360"/>
              <w:jc w:val="center"/>
              <w:rPr>
                <w:rFonts w:ascii="宋体" w:hAnsi="宋体"/>
                <w:sz w:val="18"/>
                <w:szCs w:val="18"/>
              </w:rPr>
            </w:pPr>
          </w:p>
        </w:tc>
        <w:tc>
          <w:tcPr>
            <w:tcW w:w="1985" w:type="dxa"/>
            <w:vAlign w:val="center"/>
          </w:tcPr>
          <w:p w14:paraId="79586D9E">
            <w:pPr>
              <w:ind w:firstLine="360"/>
              <w:jc w:val="center"/>
              <w:rPr>
                <w:rFonts w:ascii="宋体" w:hAnsi="宋体"/>
                <w:sz w:val="18"/>
                <w:szCs w:val="18"/>
              </w:rPr>
            </w:pPr>
          </w:p>
        </w:tc>
      </w:tr>
      <w:tr w14:paraId="6E25967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restart"/>
            <w:tcBorders>
              <w:right w:val="single" w:color="auto" w:sz="4" w:space="0"/>
            </w:tcBorders>
            <w:vAlign w:val="center"/>
          </w:tcPr>
          <w:p w14:paraId="26EA7118">
            <w:pP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1</w:t>
            </w:r>
            <w:r>
              <w:rPr>
                <w:rFonts w:hint="eastAsia" w:ascii="宋体" w:hAnsi="宋体"/>
                <w:color w:val="000000" w:themeColor="text1"/>
                <w:sz w:val="18"/>
                <w:szCs w:val="18"/>
                <w14:textFill>
                  <w14:solidFill>
                    <w14:schemeClr w14:val="tx1"/>
                  </w14:solidFill>
                </w14:textFill>
              </w:rPr>
              <w:t>7</w:t>
            </w:r>
          </w:p>
          <w:p w14:paraId="365A5440">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火灾自动报警系统</w:t>
            </w:r>
          </w:p>
        </w:tc>
        <w:tc>
          <w:tcPr>
            <w:tcW w:w="1984" w:type="dxa"/>
            <w:gridSpan w:val="2"/>
            <w:tcBorders>
              <w:left w:val="single" w:color="auto" w:sz="4" w:space="0"/>
              <w:right w:val="single" w:color="auto" w:sz="4" w:space="0"/>
            </w:tcBorders>
            <w:vAlign w:val="center"/>
          </w:tcPr>
          <w:p w14:paraId="029DCB95">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1消防控制室</w:t>
            </w:r>
          </w:p>
        </w:tc>
        <w:tc>
          <w:tcPr>
            <w:tcW w:w="1760" w:type="dxa"/>
            <w:gridSpan w:val="2"/>
            <w:tcBorders>
              <w:left w:val="single" w:color="auto" w:sz="4" w:space="0"/>
            </w:tcBorders>
            <w:vAlign w:val="center"/>
          </w:tcPr>
          <w:p w14:paraId="2477DF7C">
            <w:pPr>
              <w:ind w:firstLine="360"/>
              <w:jc w:val="center"/>
              <w:rPr>
                <w:rFonts w:ascii="宋体" w:hAnsi="宋体"/>
                <w:sz w:val="18"/>
                <w:szCs w:val="18"/>
              </w:rPr>
            </w:pPr>
          </w:p>
        </w:tc>
        <w:tc>
          <w:tcPr>
            <w:tcW w:w="1796" w:type="dxa"/>
            <w:gridSpan w:val="2"/>
            <w:vAlign w:val="center"/>
          </w:tcPr>
          <w:p w14:paraId="7970B396">
            <w:pPr>
              <w:ind w:firstLine="360"/>
              <w:jc w:val="center"/>
              <w:rPr>
                <w:rFonts w:ascii="宋体" w:hAnsi="宋体"/>
                <w:sz w:val="18"/>
                <w:szCs w:val="18"/>
              </w:rPr>
            </w:pPr>
          </w:p>
        </w:tc>
        <w:tc>
          <w:tcPr>
            <w:tcW w:w="1689" w:type="dxa"/>
            <w:gridSpan w:val="4"/>
            <w:vAlign w:val="center"/>
          </w:tcPr>
          <w:p w14:paraId="67E9A4FB">
            <w:pPr>
              <w:ind w:firstLine="360"/>
              <w:jc w:val="center"/>
              <w:rPr>
                <w:rFonts w:ascii="宋体" w:hAnsi="宋体"/>
                <w:sz w:val="18"/>
                <w:szCs w:val="18"/>
              </w:rPr>
            </w:pPr>
          </w:p>
        </w:tc>
        <w:tc>
          <w:tcPr>
            <w:tcW w:w="1985" w:type="dxa"/>
            <w:vAlign w:val="center"/>
          </w:tcPr>
          <w:p w14:paraId="440EB8AB">
            <w:pPr>
              <w:ind w:firstLine="360"/>
              <w:jc w:val="center"/>
              <w:rPr>
                <w:rFonts w:ascii="宋体" w:hAnsi="宋体"/>
                <w:sz w:val="18"/>
                <w:szCs w:val="18"/>
              </w:rPr>
            </w:pPr>
          </w:p>
        </w:tc>
      </w:tr>
      <w:tr w14:paraId="2A94419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14:paraId="20A63E3C">
            <w:pPr>
              <w:rPr>
                <w:rFonts w:ascii="宋体" w:hAnsi="宋体"/>
                <w:color w:val="000000" w:themeColor="text1"/>
                <w:sz w:val="18"/>
                <w:szCs w:val="18"/>
                <w14:textFill>
                  <w14:solidFill>
                    <w14:schemeClr w14:val="tx1"/>
                  </w14:solidFill>
                </w14:textFill>
              </w:rPr>
            </w:pPr>
          </w:p>
        </w:tc>
        <w:tc>
          <w:tcPr>
            <w:tcW w:w="1984" w:type="dxa"/>
            <w:gridSpan w:val="2"/>
            <w:tcBorders>
              <w:left w:val="single" w:color="auto" w:sz="4" w:space="0"/>
              <w:right w:val="single" w:color="auto" w:sz="4" w:space="0"/>
            </w:tcBorders>
            <w:vAlign w:val="center"/>
          </w:tcPr>
          <w:p w14:paraId="0F9E897B">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2火灾报警控制器</w:t>
            </w:r>
          </w:p>
        </w:tc>
        <w:tc>
          <w:tcPr>
            <w:tcW w:w="1760" w:type="dxa"/>
            <w:gridSpan w:val="2"/>
            <w:tcBorders>
              <w:left w:val="single" w:color="auto" w:sz="4" w:space="0"/>
            </w:tcBorders>
            <w:vAlign w:val="center"/>
          </w:tcPr>
          <w:p w14:paraId="08038F4B">
            <w:pPr>
              <w:ind w:firstLine="360"/>
              <w:jc w:val="center"/>
              <w:rPr>
                <w:rFonts w:ascii="宋体" w:hAnsi="宋体"/>
                <w:sz w:val="18"/>
                <w:szCs w:val="18"/>
              </w:rPr>
            </w:pPr>
          </w:p>
        </w:tc>
        <w:tc>
          <w:tcPr>
            <w:tcW w:w="1796" w:type="dxa"/>
            <w:gridSpan w:val="2"/>
            <w:vAlign w:val="center"/>
          </w:tcPr>
          <w:p w14:paraId="6B611B7B">
            <w:pPr>
              <w:ind w:firstLine="360"/>
              <w:jc w:val="center"/>
              <w:rPr>
                <w:rFonts w:ascii="宋体" w:hAnsi="宋体"/>
                <w:sz w:val="18"/>
                <w:szCs w:val="18"/>
              </w:rPr>
            </w:pPr>
          </w:p>
        </w:tc>
        <w:tc>
          <w:tcPr>
            <w:tcW w:w="1689" w:type="dxa"/>
            <w:gridSpan w:val="4"/>
            <w:vAlign w:val="center"/>
          </w:tcPr>
          <w:p w14:paraId="626217D5">
            <w:pPr>
              <w:ind w:firstLine="360"/>
              <w:jc w:val="center"/>
              <w:rPr>
                <w:rFonts w:ascii="宋体" w:hAnsi="宋体"/>
                <w:sz w:val="18"/>
                <w:szCs w:val="18"/>
              </w:rPr>
            </w:pPr>
          </w:p>
        </w:tc>
        <w:tc>
          <w:tcPr>
            <w:tcW w:w="1985" w:type="dxa"/>
            <w:vAlign w:val="center"/>
          </w:tcPr>
          <w:p w14:paraId="15C129DF">
            <w:pPr>
              <w:ind w:firstLine="360"/>
              <w:jc w:val="center"/>
              <w:rPr>
                <w:rFonts w:ascii="宋体" w:hAnsi="宋体"/>
                <w:sz w:val="18"/>
                <w:szCs w:val="18"/>
              </w:rPr>
            </w:pPr>
          </w:p>
        </w:tc>
      </w:tr>
      <w:tr w14:paraId="21A652D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14:paraId="4A5B0040">
            <w:pPr>
              <w:rPr>
                <w:rFonts w:ascii="宋体" w:hAnsi="宋体"/>
                <w:color w:val="000000" w:themeColor="text1"/>
                <w:sz w:val="18"/>
                <w:szCs w:val="18"/>
                <w14:textFill>
                  <w14:solidFill>
                    <w14:schemeClr w14:val="tx1"/>
                  </w14:solidFill>
                </w14:textFill>
              </w:rPr>
            </w:pPr>
          </w:p>
        </w:tc>
        <w:tc>
          <w:tcPr>
            <w:tcW w:w="1984" w:type="dxa"/>
            <w:gridSpan w:val="2"/>
            <w:tcBorders>
              <w:left w:val="single" w:color="auto" w:sz="4" w:space="0"/>
              <w:right w:val="single" w:color="auto" w:sz="4" w:space="0"/>
            </w:tcBorders>
            <w:vAlign w:val="center"/>
          </w:tcPr>
          <w:p w14:paraId="6A3E3521">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3消防联动控制器</w:t>
            </w:r>
          </w:p>
        </w:tc>
        <w:tc>
          <w:tcPr>
            <w:tcW w:w="1760" w:type="dxa"/>
            <w:gridSpan w:val="2"/>
            <w:tcBorders>
              <w:left w:val="single" w:color="auto" w:sz="4" w:space="0"/>
            </w:tcBorders>
            <w:vAlign w:val="center"/>
          </w:tcPr>
          <w:p w14:paraId="48B97CB8">
            <w:pPr>
              <w:ind w:firstLine="360"/>
              <w:jc w:val="center"/>
              <w:rPr>
                <w:rFonts w:ascii="宋体" w:hAnsi="宋体"/>
                <w:sz w:val="18"/>
                <w:szCs w:val="18"/>
              </w:rPr>
            </w:pPr>
          </w:p>
        </w:tc>
        <w:tc>
          <w:tcPr>
            <w:tcW w:w="1796" w:type="dxa"/>
            <w:gridSpan w:val="2"/>
            <w:vAlign w:val="center"/>
          </w:tcPr>
          <w:p w14:paraId="20B21B74">
            <w:pPr>
              <w:ind w:firstLine="360"/>
              <w:jc w:val="center"/>
              <w:rPr>
                <w:rFonts w:ascii="宋体" w:hAnsi="宋体"/>
                <w:sz w:val="18"/>
                <w:szCs w:val="18"/>
              </w:rPr>
            </w:pPr>
          </w:p>
        </w:tc>
        <w:tc>
          <w:tcPr>
            <w:tcW w:w="1689" w:type="dxa"/>
            <w:gridSpan w:val="4"/>
            <w:vAlign w:val="center"/>
          </w:tcPr>
          <w:p w14:paraId="054DFD70">
            <w:pPr>
              <w:ind w:firstLine="360"/>
              <w:jc w:val="center"/>
              <w:rPr>
                <w:rFonts w:ascii="宋体" w:hAnsi="宋体"/>
                <w:sz w:val="18"/>
                <w:szCs w:val="18"/>
              </w:rPr>
            </w:pPr>
          </w:p>
        </w:tc>
        <w:tc>
          <w:tcPr>
            <w:tcW w:w="1985" w:type="dxa"/>
            <w:vAlign w:val="center"/>
          </w:tcPr>
          <w:p w14:paraId="31012B1D">
            <w:pPr>
              <w:ind w:firstLine="360"/>
              <w:jc w:val="center"/>
              <w:rPr>
                <w:rFonts w:ascii="宋体" w:hAnsi="宋体"/>
                <w:sz w:val="18"/>
                <w:szCs w:val="18"/>
              </w:rPr>
            </w:pPr>
          </w:p>
        </w:tc>
      </w:tr>
      <w:tr w14:paraId="3B3C0EF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14:paraId="5D9B2504">
            <w:pPr>
              <w:rPr>
                <w:rFonts w:ascii="宋体" w:hAnsi="宋体"/>
                <w:color w:val="000000" w:themeColor="text1"/>
                <w:sz w:val="18"/>
                <w:szCs w:val="18"/>
                <w14:textFill>
                  <w14:solidFill>
                    <w14:schemeClr w14:val="tx1"/>
                  </w14:solidFill>
                </w14:textFill>
              </w:rPr>
            </w:pPr>
          </w:p>
        </w:tc>
        <w:tc>
          <w:tcPr>
            <w:tcW w:w="1984" w:type="dxa"/>
            <w:gridSpan w:val="2"/>
            <w:tcBorders>
              <w:left w:val="single" w:color="auto" w:sz="4" w:space="0"/>
              <w:right w:val="single" w:color="auto" w:sz="4" w:space="0"/>
            </w:tcBorders>
            <w:vAlign w:val="center"/>
          </w:tcPr>
          <w:p w14:paraId="6CD7C337">
            <w:pP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4</w:t>
            </w:r>
            <w:r>
              <w:rPr>
                <w:rFonts w:hint="eastAsia" w:ascii="宋体" w:hAnsi="宋体"/>
                <w:color w:val="000000" w:themeColor="text1"/>
                <w:sz w:val="18"/>
                <w:szCs w:val="18"/>
                <w14:textFill>
                  <w14:solidFill>
                    <w14:schemeClr w14:val="tx1"/>
                  </w14:solidFill>
                </w14:textFill>
              </w:rPr>
              <w:t>火灾探测器</w:t>
            </w:r>
          </w:p>
        </w:tc>
        <w:tc>
          <w:tcPr>
            <w:tcW w:w="1760" w:type="dxa"/>
            <w:gridSpan w:val="2"/>
            <w:tcBorders>
              <w:left w:val="single" w:color="auto" w:sz="4" w:space="0"/>
            </w:tcBorders>
            <w:vAlign w:val="center"/>
          </w:tcPr>
          <w:p w14:paraId="35A4D68A">
            <w:pPr>
              <w:ind w:firstLine="360"/>
              <w:jc w:val="center"/>
              <w:rPr>
                <w:rFonts w:ascii="宋体" w:hAnsi="宋体"/>
                <w:sz w:val="18"/>
                <w:szCs w:val="18"/>
              </w:rPr>
            </w:pPr>
          </w:p>
        </w:tc>
        <w:tc>
          <w:tcPr>
            <w:tcW w:w="1796" w:type="dxa"/>
            <w:gridSpan w:val="2"/>
            <w:vAlign w:val="center"/>
          </w:tcPr>
          <w:p w14:paraId="5F7C765E">
            <w:pPr>
              <w:ind w:firstLine="360"/>
              <w:jc w:val="center"/>
              <w:rPr>
                <w:rFonts w:ascii="宋体" w:hAnsi="宋体"/>
                <w:sz w:val="18"/>
                <w:szCs w:val="18"/>
              </w:rPr>
            </w:pPr>
          </w:p>
        </w:tc>
        <w:tc>
          <w:tcPr>
            <w:tcW w:w="1689" w:type="dxa"/>
            <w:gridSpan w:val="4"/>
            <w:vAlign w:val="center"/>
          </w:tcPr>
          <w:p w14:paraId="4CA79607">
            <w:pPr>
              <w:ind w:firstLine="360"/>
              <w:jc w:val="center"/>
              <w:rPr>
                <w:rFonts w:ascii="宋体" w:hAnsi="宋体"/>
                <w:sz w:val="18"/>
                <w:szCs w:val="18"/>
              </w:rPr>
            </w:pPr>
          </w:p>
        </w:tc>
        <w:tc>
          <w:tcPr>
            <w:tcW w:w="1985" w:type="dxa"/>
            <w:vAlign w:val="center"/>
          </w:tcPr>
          <w:p w14:paraId="21AC9526">
            <w:pPr>
              <w:ind w:firstLine="360"/>
              <w:jc w:val="center"/>
              <w:rPr>
                <w:rFonts w:ascii="宋体" w:hAnsi="宋体"/>
                <w:sz w:val="18"/>
                <w:szCs w:val="18"/>
              </w:rPr>
            </w:pPr>
          </w:p>
        </w:tc>
      </w:tr>
      <w:tr w14:paraId="2A6F32E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14:paraId="731E7374">
            <w:pPr>
              <w:rPr>
                <w:rFonts w:ascii="宋体" w:hAnsi="宋体"/>
                <w:color w:val="000000" w:themeColor="text1"/>
                <w:sz w:val="18"/>
                <w:szCs w:val="18"/>
                <w14:textFill>
                  <w14:solidFill>
                    <w14:schemeClr w14:val="tx1"/>
                  </w14:solidFill>
                </w14:textFill>
              </w:rPr>
            </w:pPr>
          </w:p>
        </w:tc>
        <w:tc>
          <w:tcPr>
            <w:tcW w:w="1984" w:type="dxa"/>
            <w:gridSpan w:val="2"/>
            <w:tcBorders>
              <w:left w:val="single" w:color="auto" w:sz="4" w:space="0"/>
              <w:right w:val="single" w:color="auto" w:sz="4" w:space="0"/>
            </w:tcBorders>
            <w:vAlign w:val="center"/>
          </w:tcPr>
          <w:p w14:paraId="6F3BD47F">
            <w:pP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5</w:t>
            </w:r>
            <w:r>
              <w:rPr>
                <w:rFonts w:hint="eastAsia" w:ascii="宋体" w:hAnsi="宋体"/>
                <w:color w:val="000000" w:themeColor="text1"/>
                <w:sz w:val="18"/>
                <w:szCs w:val="18"/>
                <w14:textFill>
                  <w14:solidFill>
                    <w14:schemeClr w14:val="tx1"/>
                  </w14:solidFill>
                </w14:textFill>
              </w:rPr>
              <w:t>手动报警按钮</w:t>
            </w:r>
          </w:p>
        </w:tc>
        <w:tc>
          <w:tcPr>
            <w:tcW w:w="1760" w:type="dxa"/>
            <w:gridSpan w:val="2"/>
            <w:tcBorders>
              <w:left w:val="single" w:color="auto" w:sz="4" w:space="0"/>
            </w:tcBorders>
            <w:vAlign w:val="center"/>
          </w:tcPr>
          <w:p w14:paraId="6A1E6E1E">
            <w:pPr>
              <w:ind w:firstLine="360"/>
              <w:jc w:val="center"/>
              <w:rPr>
                <w:rFonts w:ascii="宋体" w:hAnsi="宋体"/>
                <w:sz w:val="18"/>
                <w:szCs w:val="18"/>
              </w:rPr>
            </w:pPr>
          </w:p>
        </w:tc>
        <w:tc>
          <w:tcPr>
            <w:tcW w:w="1796" w:type="dxa"/>
            <w:gridSpan w:val="2"/>
            <w:vAlign w:val="center"/>
          </w:tcPr>
          <w:p w14:paraId="48D49A09">
            <w:pPr>
              <w:ind w:firstLine="360"/>
              <w:jc w:val="center"/>
              <w:rPr>
                <w:rFonts w:ascii="宋体" w:hAnsi="宋体"/>
                <w:sz w:val="18"/>
                <w:szCs w:val="18"/>
              </w:rPr>
            </w:pPr>
          </w:p>
        </w:tc>
        <w:tc>
          <w:tcPr>
            <w:tcW w:w="1689" w:type="dxa"/>
            <w:gridSpan w:val="4"/>
            <w:vAlign w:val="center"/>
          </w:tcPr>
          <w:p w14:paraId="5858BC0F">
            <w:pPr>
              <w:ind w:firstLine="360"/>
              <w:jc w:val="center"/>
              <w:rPr>
                <w:rFonts w:ascii="宋体" w:hAnsi="宋体"/>
                <w:sz w:val="18"/>
                <w:szCs w:val="18"/>
              </w:rPr>
            </w:pPr>
          </w:p>
        </w:tc>
        <w:tc>
          <w:tcPr>
            <w:tcW w:w="1985" w:type="dxa"/>
            <w:vAlign w:val="center"/>
          </w:tcPr>
          <w:p w14:paraId="3A008FEB">
            <w:pPr>
              <w:ind w:firstLine="360"/>
              <w:jc w:val="center"/>
              <w:rPr>
                <w:rFonts w:ascii="宋体" w:hAnsi="宋体"/>
                <w:sz w:val="18"/>
                <w:szCs w:val="18"/>
              </w:rPr>
            </w:pPr>
          </w:p>
        </w:tc>
      </w:tr>
      <w:tr w14:paraId="4778EAC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14:paraId="00EA290B">
            <w:pPr>
              <w:rPr>
                <w:rFonts w:ascii="宋体" w:hAnsi="宋体"/>
                <w:color w:val="000000" w:themeColor="text1"/>
                <w:sz w:val="18"/>
                <w:szCs w:val="18"/>
                <w14:textFill>
                  <w14:solidFill>
                    <w14:schemeClr w14:val="tx1"/>
                  </w14:solidFill>
                </w14:textFill>
              </w:rPr>
            </w:pPr>
          </w:p>
        </w:tc>
        <w:tc>
          <w:tcPr>
            <w:tcW w:w="1984" w:type="dxa"/>
            <w:gridSpan w:val="2"/>
            <w:tcBorders>
              <w:left w:val="single" w:color="auto" w:sz="4" w:space="0"/>
              <w:right w:val="single" w:color="auto" w:sz="4" w:space="0"/>
            </w:tcBorders>
            <w:vAlign w:val="center"/>
          </w:tcPr>
          <w:p w14:paraId="532E5278">
            <w:pP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6</w:t>
            </w:r>
            <w:r>
              <w:rPr>
                <w:rFonts w:hint="eastAsia" w:ascii="宋体" w:hAnsi="宋体"/>
                <w:color w:val="000000" w:themeColor="text1"/>
                <w:sz w:val="18"/>
                <w:szCs w:val="18"/>
                <w14:textFill>
                  <w14:solidFill>
                    <w14:schemeClr w14:val="tx1"/>
                  </w14:solidFill>
                </w14:textFill>
              </w:rPr>
              <w:t>火灾警报装置</w:t>
            </w:r>
          </w:p>
        </w:tc>
        <w:tc>
          <w:tcPr>
            <w:tcW w:w="1760" w:type="dxa"/>
            <w:gridSpan w:val="2"/>
            <w:tcBorders>
              <w:left w:val="single" w:color="auto" w:sz="4" w:space="0"/>
            </w:tcBorders>
            <w:vAlign w:val="center"/>
          </w:tcPr>
          <w:p w14:paraId="401394D1">
            <w:pPr>
              <w:ind w:firstLine="360"/>
              <w:jc w:val="center"/>
              <w:rPr>
                <w:rFonts w:ascii="宋体" w:hAnsi="宋体"/>
                <w:sz w:val="18"/>
                <w:szCs w:val="18"/>
              </w:rPr>
            </w:pPr>
          </w:p>
        </w:tc>
        <w:tc>
          <w:tcPr>
            <w:tcW w:w="1796" w:type="dxa"/>
            <w:gridSpan w:val="2"/>
            <w:vAlign w:val="center"/>
          </w:tcPr>
          <w:p w14:paraId="7E52E91A">
            <w:pPr>
              <w:ind w:firstLine="360"/>
              <w:jc w:val="center"/>
              <w:rPr>
                <w:rFonts w:ascii="宋体" w:hAnsi="宋体"/>
                <w:sz w:val="18"/>
                <w:szCs w:val="18"/>
              </w:rPr>
            </w:pPr>
          </w:p>
        </w:tc>
        <w:tc>
          <w:tcPr>
            <w:tcW w:w="1689" w:type="dxa"/>
            <w:gridSpan w:val="4"/>
            <w:vAlign w:val="center"/>
          </w:tcPr>
          <w:p w14:paraId="0BFEDB00">
            <w:pPr>
              <w:ind w:firstLine="360"/>
              <w:jc w:val="center"/>
              <w:rPr>
                <w:rFonts w:ascii="宋体" w:hAnsi="宋体"/>
                <w:sz w:val="18"/>
                <w:szCs w:val="18"/>
              </w:rPr>
            </w:pPr>
          </w:p>
        </w:tc>
        <w:tc>
          <w:tcPr>
            <w:tcW w:w="1985" w:type="dxa"/>
            <w:vAlign w:val="center"/>
          </w:tcPr>
          <w:p w14:paraId="15D7F9F2">
            <w:pPr>
              <w:ind w:firstLine="360"/>
              <w:jc w:val="center"/>
              <w:rPr>
                <w:rFonts w:ascii="宋体" w:hAnsi="宋体"/>
                <w:sz w:val="18"/>
                <w:szCs w:val="18"/>
              </w:rPr>
            </w:pPr>
          </w:p>
        </w:tc>
      </w:tr>
      <w:tr w14:paraId="3F33A6C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14:paraId="77CE3A6C">
            <w:pPr>
              <w:rPr>
                <w:rFonts w:ascii="宋体" w:hAnsi="宋体"/>
                <w:color w:val="000000" w:themeColor="text1"/>
                <w:sz w:val="18"/>
                <w:szCs w:val="18"/>
                <w14:textFill>
                  <w14:solidFill>
                    <w14:schemeClr w14:val="tx1"/>
                  </w14:solidFill>
                </w14:textFill>
              </w:rPr>
            </w:pPr>
          </w:p>
        </w:tc>
        <w:tc>
          <w:tcPr>
            <w:tcW w:w="1984" w:type="dxa"/>
            <w:gridSpan w:val="2"/>
            <w:tcBorders>
              <w:left w:val="single" w:color="auto" w:sz="4" w:space="0"/>
              <w:right w:val="single" w:color="auto" w:sz="4" w:space="0"/>
            </w:tcBorders>
            <w:vAlign w:val="center"/>
          </w:tcPr>
          <w:p w14:paraId="6E5E0F4D">
            <w:pP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7</w:t>
            </w:r>
            <w:r>
              <w:rPr>
                <w:rFonts w:hint="eastAsia" w:ascii="宋体" w:hAnsi="宋体"/>
                <w:color w:val="000000" w:themeColor="text1"/>
                <w:sz w:val="18"/>
                <w:szCs w:val="18"/>
                <w14:textFill>
                  <w14:solidFill>
                    <w14:schemeClr w14:val="tx1"/>
                  </w14:solidFill>
                </w14:textFill>
              </w:rPr>
              <w:t>火灾自动报警系统线缆</w:t>
            </w:r>
          </w:p>
        </w:tc>
        <w:tc>
          <w:tcPr>
            <w:tcW w:w="1760" w:type="dxa"/>
            <w:gridSpan w:val="2"/>
            <w:tcBorders>
              <w:left w:val="single" w:color="auto" w:sz="4" w:space="0"/>
            </w:tcBorders>
            <w:vAlign w:val="center"/>
          </w:tcPr>
          <w:p w14:paraId="7A6802BC">
            <w:pPr>
              <w:ind w:firstLine="360"/>
              <w:jc w:val="center"/>
              <w:rPr>
                <w:rFonts w:ascii="宋体" w:hAnsi="宋体"/>
                <w:sz w:val="18"/>
                <w:szCs w:val="18"/>
              </w:rPr>
            </w:pPr>
          </w:p>
        </w:tc>
        <w:tc>
          <w:tcPr>
            <w:tcW w:w="1796" w:type="dxa"/>
            <w:gridSpan w:val="2"/>
            <w:vAlign w:val="center"/>
          </w:tcPr>
          <w:p w14:paraId="3B3898E6">
            <w:pPr>
              <w:ind w:firstLine="360"/>
              <w:jc w:val="center"/>
              <w:rPr>
                <w:rFonts w:ascii="宋体" w:hAnsi="宋体"/>
                <w:sz w:val="18"/>
                <w:szCs w:val="18"/>
              </w:rPr>
            </w:pPr>
          </w:p>
        </w:tc>
        <w:tc>
          <w:tcPr>
            <w:tcW w:w="1689" w:type="dxa"/>
            <w:gridSpan w:val="4"/>
            <w:vAlign w:val="center"/>
          </w:tcPr>
          <w:p w14:paraId="5090CA55">
            <w:pPr>
              <w:ind w:firstLine="360"/>
              <w:jc w:val="center"/>
              <w:rPr>
                <w:rFonts w:ascii="宋体" w:hAnsi="宋体"/>
                <w:sz w:val="18"/>
                <w:szCs w:val="18"/>
              </w:rPr>
            </w:pPr>
          </w:p>
        </w:tc>
        <w:tc>
          <w:tcPr>
            <w:tcW w:w="1985" w:type="dxa"/>
            <w:vAlign w:val="center"/>
          </w:tcPr>
          <w:p w14:paraId="050D2DDF">
            <w:pPr>
              <w:ind w:firstLine="360"/>
              <w:jc w:val="center"/>
              <w:rPr>
                <w:rFonts w:ascii="宋体" w:hAnsi="宋体"/>
                <w:sz w:val="18"/>
                <w:szCs w:val="18"/>
              </w:rPr>
            </w:pPr>
          </w:p>
        </w:tc>
      </w:tr>
      <w:tr w14:paraId="10AF9E8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14:paraId="27E31C34">
            <w:pPr>
              <w:rPr>
                <w:rFonts w:ascii="宋体" w:hAnsi="宋体"/>
                <w:color w:val="000000" w:themeColor="text1"/>
                <w:sz w:val="18"/>
                <w:szCs w:val="18"/>
                <w14:textFill>
                  <w14:solidFill>
                    <w14:schemeClr w14:val="tx1"/>
                  </w14:solidFill>
                </w14:textFill>
              </w:rPr>
            </w:pPr>
          </w:p>
        </w:tc>
        <w:tc>
          <w:tcPr>
            <w:tcW w:w="1984" w:type="dxa"/>
            <w:gridSpan w:val="2"/>
            <w:tcBorders>
              <w:left w:val="single" w:color="auto" w:sz="4" w:space="0"/>
              <w:right w:val="single" w:color="auto" w:sz="4" w:space="0"/>
            </w:tcBorders>
            <w:vAlign w:val="center"/>
          </w:tcPr>
          <w:p w14:paraId="0D39A999">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8电气火灾监控系统</w:t>
            </w:r>
          </w:p>
        </w:tc>
        <w:tc>
          <w:tcPr>
            <w:tcW w:w="1760" w:type="dxa"/>
            <w:gridSpan w:val="2"/>
            <w:tcBorders>
              <w:left w:val="single" w:color="auto" w:sz="4" w:space="0"/>
            </w:tcBorders>
            <w:vAlign w:val="center"/>
          </w:tcPr>
          <w:p w14:paraId="153F0CE5">
            <w:pPr>
              <w:ind w:firstLine="360"/>
              <w:jc w:val="center"/>
              <w:rPr>
                <w:rFonts w:ascii="宋体" w:hAnsi="宋体"/>
                <w:sz w:val="18"/>
                <w:szCs w:val="18"/>
              </w:rPr>
            </w:pPr>
          </w:p>
        </w:tc>
        <w:tc>
          <w:tcPr>
            <w:tcW w:w="1796" w:type="dxa"/>
            <w:gridSpan w:val="2"/>
            <w:vAlign w:val="center"/>
          </w:tcPr>
          <w:p w14:paraId="3D5CC526">
            <w:pPr>
              <w:ind w:firstLine="360"/>
              <w:jc w:val="center"/>
              <w:rPr>
                <w:rFonts w:ascii="宋体" w:hAnsi="宋体"/>
                <w:sz w:val="18"/>
                <w:szCs w:val="18"/>
              </w:rPr>
            </w:pPr>
          </w:p>
        </w:tc>
        <w:tc>
          <w:tcPr>
            <w:tcW w:w="1689" w:type="dxa"/>
            <w:gridSpan w:val="4"/>
            <w:vAlign w:val="center"/>
          </w:tcPr>
          <w:p w14:paraId="5D7E6535">
            <w:pPr>
              <w:ind w:firstLine="360"/>
              <w:jc w:val="center"/>
              <w:rPr>
                <w:rFonts w:ascii="宋体" w:hAnsi="宋体"/>
                <w:sz w:val="18"/>
                <w:szCs w:val="18"/>
              </w:rPr>
            </w:pPr>
          </w:p>
        </w:tc>
        <w:tc>
          <w:tcPr>
            <w:tcW w:w="1985" w:type="dxa"/>
            <w:vAlign w:val="center"/>
          </w:tcPr>
          <w:p w14:paraId="001E2B04">
            <w:pPr>
              <w:ind w:firstLine="360"/>
              <w:jc w:val="center"/>
              <w:rPr>
                <w:rFonts w:ascii="宋体" w:hAnsi="宋体"/>
                <w:sz w:val="18"/>
                <w:szCs w:val="18"/>
              </w:rPr>
            </w:pPr>
          </w:p>
        </w:tc>
      </w:tr>
      <w:tr w14:paraId="3BC4C0E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14:paraId="746CF3C7">
            <w:pPr>
              <w:rPr>
                <w:rFonts w:ascii="宋体" w:hAnsi="宋体"/>
                <w:color w:val="000000" w:themeColor="text1"/>
                <w:sz w:val="18"/>
                <w:szCs w:val="18"/>
                <w14:textFill>
                  <w14:solidFill>
                    <w14:schemeClr w14:val="tx1"/>
                  </w14:solidFill>
                </w14:textFill>
              </w:rPr>
            </w:pPr>
          </w:p>
        </w:tc>
        <w:tc>
          <w:tcPr>
            <w:tcW w:w="1984" w:type="dxa"/>
            <w:gridSpan w:val="2"/>
            <w:tcBorders>
              <w:left w:val="single" w:color="auto" w:sz="4" w:space="0"/>
              <w:right w:val="single" w:color="auto" w:sz="4" w:space="0"/>
            </w:tcBorders>
            <w:vAlign w:val="center"/>
          </w:tcPr>
          <w:p w14:paraId="3D5A699F">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9可燃气体探测报警系统</w:t>
            </w:r>
          </w:p>
        </w:tc>
        <w:tc>
          <w:tcPr>
            <w:tcW w:w="1760" w:type="dxa"/>
            <w:gridSpan w:val="2"/>
            <w:tcBorders>
              <w:left w:val="single" w:color="auto" w:sz="4" w:space="0"/>
            </w:tcBorders>
            <w:vAlign w:val="center"/>
          </w:tcPr>
          <w:p w14:paraId="162AF367">
            <w:pPr>
              <w:ind w:firstLine="360"/>
              <w:jc w:val="center"/>
              <w:rPr>
                <w:rFonts w:ascii="宋体" w:hAnsi="宋体"/>
                <w:sz w:val="18"/>
                <w:szCs w:val="18"/>
              </w:rPr>
            </w:pPr>
          </w:p>
        </w:tc>
        <w:tc>
          <w:tcPr>
            <w:tcW w:w="1796" w:type="dxa"/>
            <w:gridSpan w:val="2"/>
            <w:vAlign w:val="center"/>
          </w:tcPr>
          <w:p w14:paraId="538B6FF4">
            <w:pPr>
              <w:ind w:firstLine="360"/>
              <w:jc w:val="center"/>
              <w:rPr>
                <w:rFonts w:ascii="宋体" w:hAnsi="宋体"/>
                <w:sz w:val="18"/>
                <w:szCs w:val="18"/>
              </w:rPr>
            </w:pPr>
          </w:p>
        </w:tc>
        <w:tc>
          <w:tcPr>
            <w:tcW w:w="1689" w:type="dxa"/>
            <w:gridSpan w:val="4"/>
            <w:vAlign w:val="center"/>
          </w:tcPr>
          <w:p w14:paraId="18EA14CC">
            <w:pPr>
              <w:ind w:firstLine="360"/>
              <w:jc w:val="center"/>
              <w:rPr>
                <w:rFonts w:ascii="宋体" w:hAnsi="宋体"/>
                <w:sz w:val="18"/>
                <w:szCs w:val="18"/>
              </w:rPr>
            </w:pPr>
          </w:p>
        </w:tc>
        <w:tc>
          <w:tcPr>
            <w:tcW w:w="1985" w:type="dxa"/>
            <w:vAlign w:val="center"/>
          </w:tcPr>
          <w:p w14:paraId="6E5B8D82">
            <w:pPr>
              <w:ind w:firstLine="360"/>
              <w:jc w:val="center"/>
              <w:rPr>
                <w:rFonts w:ascii="宋体" w:hAnsi="宋体"/>
                <w:sz w:val="18"/>
                <w:szCs w:val="18"/>
              </w:rPr>
            </w:pPr>
          </w:p>
        </w:tc>
      </w:tr>
      <w:tr w14:paraId="2315173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tcBorders>
              <w:right w:val="single" w:color="auto" w:sz="4" w:space="0"/>
            </w:tcBorders>
            <w:vAlign w:val="center"/>
          </w:tcPr>
          <w:p w14:paraId="5C742AEF">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18</w:t>
            </w:r>
          </w:p>
          <w:p w14:paraId="6B49B36D">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消防广播</w:t>
            </w:r>
          </w:p>
        </w:tc>
        <w:tc>
          <w:tcPr>
            <w:tcW w:w="1984" w:type="dxa"/>
            <w:gridSpan w:val="2"/>
            <w:tcBorders>
              <w:left w:val="single" w:color="auto" w:sz="4" w:space="0"/>
              <w:right w:val="single" w:color="auto" w:sz="4" w:space="0"/>
            </w:tcBorders>
            <w:vAlign w:val="center"/>
          </w:tcPr>
          <w:p w14:paraId="5326FDD2">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消防广播系统</w:t>
            </w:r>
          </w:p>
        </w:tc>
        <w:tc>
          <w:tcPr>
            <w:tcW w:w="1760" w:type="dxa"/>
            <w:gridSpan w:val="2"/>
            <w:tcBorders>
              <w:left w:val="single" w:color="auto" w:sz="4" w:space="0"/>
            </w:tcBorders>
            <w:vAlign w:val="center"/>
          </w:tcPr>
          <w:p w14:paraId="59EEADCC">
            <w:pPr>
              <w:ind w:firstLine="360"/>
              <w:jc w:val="center"/>
              <w:rPr>
                <w:rFonts w:ascii="宋体" w:hAnsi="宋体"/>
                <w:sz w:val="18"/>
                <w:szCs w:val="18"/>
              </w:rPr>
            </w:pPr>
          </w:p>
        </w:tc>
        <w:tc>
          <w:tcPr>
            <w:tcW w:w="1796" w:type="dxa"/>
            <w:gridSpan w:val="2"/>
            <w:vAlign w:val="center"/>
          </w:tcPr>
          <w:p w14:paraId="1355FB8B">
            <w:pPr>
              <w:ind w:firstLine="360"/>
              <w:jc w:val="center"/>
              <w:rPr>
                <w:rFonts w:ascii="宋体" w:hAnsi="宋体"/>
                <w:sz w:val="18"/>
                <w:szCs w:val="18"/>
              </w:rPr>
            </w:pPr>
          </w:p>
        </w:tc>
        <w:tc>
          <w:tcPr>
            <w:tcW w:w="1689" w:type="dxa"/>
            <w:gridSpan w:val="4"/>
            <w:vAlign w:val="center"/>
          </w:tcPr>
          <w:p w14:paraId="5588B79F">
            <w:pPr>
              <w:ind w:firstLine="360"/>
              <w:jc w:val="center"/>
              <w:rPr>
                <w:rFonts w:ascii="宋体" w:hAnsi="宋体"/>
                <w:sz w:val="18"/>
                <w:szCs w:val="18"/>
              </w:rPr>
            </w:pPr>
          </w:p>
        </w:tc>
        <w:tc>
          <w:tcPr>
            <w:tcW w:w="1985" w:type="dxa"/>
            <w:vAlign w:val="center"/>
          </w:tcPr>
          <w:p w14:paraId="0B239488">
            <w:pPr>
              <w:ind w:firstLine="360"/>
              <w:jc w:val="center"/>
              <w:rPr>
                <w:rFonts w:ascii="宋体" w:hAnsi="宋体"/>
                <w:sz w:val="18"/>
                <w:szCs w:val="18"/>
              </w:rPr>
            </w:pPr>
          </w:p>
        </w:tc>
      </w:tr>
      <w:tr w14:paraId="205CADF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restart"/>
            <w:tcBorders>
              <w:right w:val="single" w:color="auto" w:sz="4" w:space="0"/>
            </w:tcBorders>
            <w:vAlign w:val="center"/>
          </w:tcPr>
          <w:p w14:paraId="20BBC03C">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19</w:t>
            </w:r>
          </w:p>
          <w:p w14:paraId="06DC0F2B">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消防通讯</w:t>
            </w:r>
          </w:p>
        </w:tc>
        <w:tc>
          <w:tcPr>
            <w:tcW w:w="1984" w:type="dxa"/>
            <w:gridSpan w:val="2"/>
            <w:tcBorders>
              <w:left w:val="single" w:color="auto" w:sz="4" w:space="0"/>
              <w:right w:val="single" w:color="auto" w:sz="4" w:space="0"/>
            </w:tcBorders>
            <w:vAlign w:val="center"/>
          </w:tcPr>
          <w:p w14:paraId="6C9A90BA">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1消防专用电话</w:t>
            </w:r>
          </w:p>
        </w:tc>
        <w:tc>
          <w:tcPr>
            <w:tcW w:w="1760" w:type="dxa"/>
            <w:gridSpan w:val="2"/>
            <w:tcBorders>
              <w:left w:val="single" w:color="auto" w:sz="4" w:space="0"/>
            </w:tcBorders>
            <w:vAlign w:val="center"/>
          </w:tcPr>
          <w:p w14:paraId="37D73E3A">
            <w:pPr>
              <w:ind w:firstLine="360"/>
              <w:jc w:val="center"/>
              <w:rPr>
                <w:rFonts w:ascii="宋体" w:hAnsi="宋体"/>
                <w:sz w:val="18"/>
                <w:szCs w:val="18"/>
              </w:rPr>
            </w:pPr>
          </w:p>
        </w:tc>
        <w:tc>
          <w:tcPr>
            <w:tcW w:w="1796" w:type="dxa"/>
            <w:gridSpan w:val="2"/>
            <w:vAlign w:val="center"/>
          </w:tcPr>
          <w:p w14:paraId="442BCE69">
            <w:pPr>
              <w:ind w:firstLine="360"/>
              <w:jc w:val="center"/>
              <w:rPr>
                <w:rFonts w:ascii="宋体" w:hAnsi="宋体"/>
                <w:sz w:val="18"/>
                <w:szCs w:val="18"/>
              </w:rPr>
            </w:pPr>
          </w:p>
        </w:tc>
        <w:tc>
          <w:tcPr>
            <w:tcW w:w="1689" w:type="dxa"/>
            <w:gridSpan w:val="4"/>
            <w:vAlign w:val="center"/>
          </w:tcPr>
          <w:p w14:paraId="583C2D84">
            <w:pPr>
              <w:ind w:firstLine="360"/>
              <w:jc w:val="center"/>
              <w:rPr>
                <w:rFonts w:ascii="宋体" w:hAnsi="宋体"/>
                <w:sz w:val="18"/>
                <w:szCs w:val="18"/>
              </w:rPr>
            </w:pPr>
          </w:p>
        </w:tc>
        <w:tc>
          <w:tcPr>
            <w:tcW w:w="1985" w:type="dxa"/>
            <w:vAlign w:val="center"/>
          </w:tcPr>
          <w:p w14:paraId="5A77DA65">
            <w:pPr>
              <w:ind w:firstLine="360"/>
              <w:jc w:val="center"/>
              <w:rPr>
                <w:rFonts w:ascii="宋体" w:hAnsi="宋体"/>
                <w:sz w:val="18"/>
                <w:szCs w:val="18"/>
              </w:rPr>
            </w:pPr>
          </w:p>
        </w:tc>
      </w:tr>
      <w:tr w14:paraId="4039342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14:paraId="271F4CCC">
            <w:pPr>
              <w:rPr>
                <w:rFonts w:ascii="宋体" w:hAnsi="宋体"/>
                <w:color w:val="000000" w:themeColor="text1"/>
                <w:sz w:val="18"/>
                <w:szCs w:val="18"/>
                <w14:textFill>
                  <w14:solidFill>
                    <w14:schemeClr w14:val="tx1"/>
                  </w14:solidFill>
                </w14:textFill>
              </w:rPr>
            </w:pPr>
          </w:p>
        </w:tc>
        <w:tc>
          <w:tcPr>
            <w:tcW w:w="1984" w:type="dxa"/>
            <w:gridSpan w:val="2"/>
            <w:tcBorders>
              <w:left w:val="single" w:color="auto" w:sz="4" w:space="0"/>
              <w:right w:val="single" w:color="auto" w:sz="4" w:space="0"/>
            </w:tcBorders>
            <w:vAlign w:val="center"/>
          </w:tcPr>
          <w:p w14:paraId="657F1F50">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2消防电话插孔</w:t>
            </w:r>
          </w:p>
        </w:tc>
        <w:tc>
          <w:tcPr>
            <w:tcW w:w="1760" w:type="dxa"/>
            <w:gridSpan w:val="2"/>
            <w:tcBorders>
              <w:left w:val="single" w:color="auto" w:sz="4" w:space="0"/>
            </w:tcBorders>
            <w:vAlign w:val="center"/>
          </w:tcPr>
          <w:p w14:paraId="6D4972E6">
            <w:pPr>
              <w:ind w:firstLine="360"/>
              <w:jc w:val="center"/>
              <w:rPr>
                <w:rFonts w:ascii="宋体" w:hAnsi="宋体"/>
                <w:sz w:val="18"/>
                <w:szCs w:val="18"/>
              </w:rPr>
            </w:pPr>
          </w:p>
        </w:tc>
        <w:tc>
          <w:tcPr>
            <w:tcW w:w="1796" w:type="dxa"/>
            <w:gridSpan w:val="2"/>
            <w:vAlign w:val="center"/>
          </w:tcPr>
          <w:p w14:paraId="7546CF51">
            <w:pPr>
              <w:ind w:firstLine="360"/>
              <w:jc w:val="center"/>
              <w:rPr>
                <w:rFonts w:ascii="宋体" w:hAnsi="宋体"/>
                <w:sz w:val="18"/>
                <w:szCs w:val="18"/>
              </w:rPr>
            </w:pPr>
          </w:p>
        </w:tc>
        <w:tc>
          <w:tcPr>
            <w:tcW w:w="1689" w:type="dxa"/>
            <w:gridSpan w:val="4"/>
            <w:vAlign w:val="center"/>
          </w:tcPr>
          <w:p w14:paraId="38976096">
            <w:pPr>
              <w:ind w:firstLine="360"/>
              <w:jc w:val="center"/>
              <w:rPr>
                <w:rFonts w:ascii="宋体" w:hAnsi="宋体"/>
                <w:sz w:val="18"/>
                <w:szCs w:val="18"/>
              </w:rPr>
            </w:pPr>
          </w:p>
        </w:tc>
        <w:tc>
          <w:tcPr>
            <w:tcW w:w="1985" w:type="dxa"/>
            <w:vAlign w:val="center"/>
          </w:tcPr>
          <w:p w14:paraId="08DF7F65">
            <w:pPr>
              <w:ind w:firstLine="360"/>
              <w:jc w:val="center"/>
              <w:rPr>
                <w:rFonts w:ascii="宋体" w:hAnsi="宋体"/>
                <w:sz w:val="18"/>
                <w:szCs w:val="18"/>
              </w:rPr>
            </w:pPr>
          </w:p>
        </w:tc>
      </w:tr>
      <w:tr w14:paraId="69F64F9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tcBorders>
              <w:right w:val="single" w:color="auto" w:sz="4" w:space="0"/>
            </w:tcBorders>
            <w:vAlign w:val="center"/>
          </w:tcPr>
          <w:p w14:paraId="3692A23C">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20</w:t>
            </w:r>
          </w:p>
          <w:p w14:paraId="55B3CEDC">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防火门监控</w:t>
            </w:r>
          </w:p>
        </w:tc>
        <w:tc>
          <w:tcPr>
            <w:tcW w:w="1984" w:type="dxa"/>
            <w:gridSpan w:val="2"/>
            <w:tcBorders>
              <w:left w:val="single" w:color="auto" w:sz="4" w:space="0"/>
              <w:right w:val="single" w:color="auto" w:sz="4" w:space="0"/>
            </w:tcBorders>
            <w:vAlign w:val="center"/>
          </w:tcPr>
          <w:p w14:paraId="47CD6DEE">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防火门监控系统</w:t>
            </w:r>
          </w:p>
        </w:tc>
        <w:tc>
          <w:tcPr>
            <w:tcW w:w="1760" w:type="dxa"/>
            <w:gridSpan w:val="2"/>
            <w:tcBorders>
              <w:left w:val="single" w:color="auto" w:sz="4" w:space="0"/>
            </w:tcBorders>
            <w:vAlign w:val="center"/>
          </w:tcPr>
          <w:p w14:paraId="16708073">
            <w:pPr>
              <w:ind w:firstLine="360"/>
              <w:jc w:val="center"/>
              <w:rPr>
                <w:rFonts w:ascii="宋体" w:hAnsi="宋体"/>
                <w:sz w:val="18"/>
                <w:szCs w:val="18"/>
              </w:rPr>
            </w:pPr>
          </w:p>
        </w:tc>
        <w:tc>
          <w:tcPr>
            <w:tcW w:w="1796" w:type="dxa"/>
            <w:gridSpan w:val="2"/>
            <w:vAlign w:val="center"/>
          </w:tcPr>
          <w:p w14:paraId="7CADBFA0">
            <w:pPr>
              <w:ind w:firstLine="360"/>
              <w:jc w:val="center"/>
              <w:rPr>
                <w:rFonts w:ascii="宋体" w:hAnsi="宋体"/>
                <w:sz w:val="18"/>
                <w:szCs w:val="18"/>
              </w:rPr>
            </w:pPr>
          </w:p>
        </w:tc>
        <w:tc>
          <w:tcPr>
            <w:tcW w:w="1689" w:type="dxa"/>
            <w:gridSpan w:val="4"/>
            <w:vAlign w:val="center"/>
          </w:tcPr>
          <w:p w14:paraId="79D42E8E">
            <w:pPr>
              <w:ind w:firstLine="360"/>
              <w:jc w:val="center"/>
              <w:rPr>
                <w:rFonts w:ascii="宋体" w:hAnsi="宋体"/>
                <w:sz w:val="18"/>
                <w:szCs w:val="18"/>
              </w:rPr>
            </w:pPr>
          </w:p>
        </w:tc>
        <w:tc>
          <w:tcPr>
            <w:tcW w:w="1985" w:type="dxa"/>
            <w:vAlign w:val="center"/>
          </w:tcPr>
          <w:p w14:paraId="4B2DDDF6">
            <w:pPr>
              <w:ind w:firstLine="360"/>
              <w:jc w:val="center"/>
              <w:rPr>
                <w:rFonts w:ascii="宋体" w:hAnsi="宋体"/>
                <w:sz w:val="18"/>
                <w:szCs w:val="18"/>
              </w:rPr>
            </w:pPr>
          </w:p>
        </w:tc>
      </w:tr>
      <w:tr w14:paraId="1C1ABD7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tcBorders>
              <w:right w:val="single" w:color="auto" w:sz="4" w:space="0"/>
            </w:tcBorders>
            <w:vAlign w:val="center"/>
          </w:tcPr>
          <w:p w14:paraId="42F93FD7">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21</w:t>
            </w:r>
          </w:p>
          <w:p w14:paraId="2DB13C75">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消防电源监控</w:t>
            </w:r>
          </w:p>
        </w:tc>
        <w:tc>
          <w:tcPr>
            <w:tcW w:w="1984" w:type="dxa"/>
            <w:gridSpan w:val="2"/>
            <w:tcBorders>
              <w:left w:val="single" w:color="auto" w:sz="4" w:space="0"/>
              <w:right w:val="single" w:color="auto" w:sz="4" w:space="0"/>
            </w:tcBorders>
            <w:vAlign w:val="center"/>
          </w:tcPr>
          <w:p w14:paraId="089033ED">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消防电源监控系统</w:t>
            </w:r>
          </w:p>
        </w:tc>
        <w:tc>
          <w:tcPr>
            <w:tcW w:w="1760" w:type="dxa"/>
            <w:gridSpan w:val="2"/>
            <w:tcBorders>
              <w:left w:val="single" w:color="auto" w:sz="4" w:space="0"/>
            </w:tcBorders>
            <w:vAlign w:val="center"/>
          </w:tcPr>
          <w:p w14:paraId="2763D0EA">
            <w:pPr>
              <w:ind w:firstLine="360"/>
              <w:jc w:val="center"/>
              <w:rPr>
                <w:rFonts w:ascii="宋体" w:hAnsi="宋体"/>
                <w:sz w:val="18"/>
                <w:szCs w:val="18"/>
              </w:rPr>
            </w:pPr>
          </w:p>
        </w:tc>
        <w:tc>
          <w:tcPr>
            <w:tcW w:w="1796" w:type="dxa"/>
            <w:gridSpan w:val="2"/>
            <w:vAlign w:val="center"/>
          </w:tcPr>
          <w:p w14:paraId="358672DC">
            <w:pPr>
              <w:ind w:firstLine="360"/>
              <w:jc w:val="center"/>
              <w:rPr>
                <w:rFonts w:ascii="宋体" w:hAnsi="宋体"/>
                <w:sz w:val="18"/>
                <w:szCs w:val="18"/>
              </w:rPr>
            </w:pPr>
          </w:p>
        </w:tc>
        <w:tc>
          <w:tcPr>
            <w:tcW w:w="1689" w:type="dxa"/>
            <w:gridSpan w:val="4"/>
            <w:vAlign w:val="center"/>
          </w:tcPr>
          <w:p w14:paraId="22E3EEA6">
            <w:pPr>
              <w:ind w:firstLine="360"/>
              <w:jc w:val="center"/>
              <w:rPr>
                <w:rFonts w:ascii="宋体" w:hAnsi="宋体"/>
                <w:sz w:val="18"/>
                <w:szCs w:val="18"/>
              </w:rPr>
            </w:pPr>
          </w:p>
        </w:tc>
        <w:tc>
          <w:tcPr>
            <w:tcW w:w="1985" w:type="dxa"/>
            <w:vAlign w:val="center"/>
          </w:tcPr>
          <w:p w14:paraId="4136D930">
            <w:pPr>
              <w:ind w:firstLine="360"/>
              <w:jc w:val="center"/>
              <w:rPr>
                <w:rFonts w:ascii="宋体" w:hAnsi="宋体"/>
                <w:sz w:val="18"/>
                <w:szCs w:val="18"/>
              </w:rPr>
            </w:pPr>
          </w:p>
        </w:tc>
      </w:tr>
      <w:tr w14:paraId="1566EA9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restart"/>
            <w:tcBorders>
              <w:right w:val="single" w:color="auto" w:sz="4" w:space="0"/>
            </w:tcBorders>
            <w:vAlign w:val="center"/>
          </w:tcPr>
          <w:p w14:paraId="3ADD28BF">
            <w:pP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2</w:t>
            </w:r>
            <w:r>
              <w:rPr>
                <w:rFonts w:hint="eastAsia" w:ascii="宋体" w:hAnsi="宋体"/>
                <w:color w:val="000000" w:themeColor="text1"/>
                <w:sz w:val="18"/>
                <w:szCs w:val="18"/>
                <w14:textFill>
                  <w14:solidFill>
                    <w14:schemeClr w14:val="tx1"/>
                  </w14:solidFill>
                </w14:textFill>
              </w:rPr>
              <w:t>2</w:t>
            </w:r>
          </w:p>
          <w:p w14:paraId="0818083F">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消防应急照明和疏散指示系统</w:t>
            </w:r>
          </w:p>
        </w:tc>
        <w:tc>
          <w:tcPr>
            <w:tcW w:w="1984" w:type="dxa"/>
            <w:gridSpan w:val="2"/>
            <w:tcBorders>
              <w:left w:val="single" w:color="auto" w:sz="4" w:space="0"/>
              <w:right w:val="single" w:color="auto" w:sz="4" w:space="0"/>
            </w:tcBorders>
            <w:vAlign w:val="center"/>
          </w:tcPr>
          <w:p w14:paraId="53CD6DF9">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1消防疏散照明</w:t>
            </w:r>
          </w:p>
        </w:tc>
        <w:tc>
          <w:tcPr>
            <w:tcW w:w="1760" w:type="dxa"/>
            <w:gridSpan w:val="2"/>
            <w:tcBorders>
              <w:left w:val="single" w:color="auto" w:sz="4" w:space="0"/>
            </w:tcBorders>
            <w:vAlign w:val="center"/>
          </w:tcPr>
          <w:p w14:paraId="0C6EB1FF">
            <w:pPr>
              <w:ind w:firstLine="360"/>
              <w:jc w:val="center"/>
              <w:rPr>
                <w:rFonts w:ascii="宋体" w:hAnsi="宋体"/>
                <w:sz w:val="18"/>
                <w:szCs w:val="18"/>
              </w:rPr>
            </w:pPr>
          </w:p>
        </w:tc>
        <w:tc>
          <w:tcPr>
            <w:tcW w:w="1796" w:type="dxa"/>
            <w:gridSpan w:val="2"/>
            <w:vAlign w:val="center"/>
          </w:tcPr>
          <w:p w14:paraId="52EBE038">
            <w:pPr>
              <w:ind w:firstLine="360"/>
              <w:jc w:val="center"/>
              <w:rPr>
                <w:rFonts w:ascii="宋体" w:hAnsi="宋体"/>
                <w:sz w:val="18"/>
                <w:szCs w:val="18"/>
              </w:rPr>
            </w:pPr>
          </w:p>
        </w:tc>
        <w:tc>
          <w:tcPr>
            <w:tcW w:w="1689" w:type="dxa"/>
            <w:gridSpan w:val="4"/>
            <w:vAlign w:val="center"/>
          </w:tcPr>
          <w:p w14:paraId="6E297CAD">
            <w:pPr>
              <w:ind w:firstLine="360"/>
              <w:jc w:val="center"/>
              <w:rPr>
                <w:rFonts w:ascii="宋体" w:hAnsi="宋体"/>
                <w:sz w:val="18"/>
                <w:szCs w:val="18"/>
              </w:rPr>
            </w:pPr>
          </w:p>
        </w:tc>
        <w:tc>
          <w:tcPr>
            <w:tcW w:w="1985" w:type="dxa"/>
            <w:vAlign w:val="center"/>
          </w:tcPr>
          <w:p w14:paraId="350C4F6F">
            <w:pPr>
              <w:ind w:firstLine="360"/>
              <w:jc w:val="center"/>
              <w:rPr>
                <w:rFonts w:ascii="宋体" w:hAnsi="宋体"/>
                <w:sz w:val="18"/>
                <w:szCs w:val="18"/>
              </w:rPr>
            </w:pPr>
          </w:p>
        </w:tc>
      </w:tr>
      <w:tr w14:paraId="42CB075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14:paraId="3944FAB2">
            <w:pPr>
              <w:rPr>
                <w:rFonts w:ascii="宋体" w:hAnsi="宋体"/>
                <w:color w:val="000000" w:themeColor="text1"/>
                <w:sz w:val="18"/>
                <w:szCs w:val="18"/>
                <w14:textFill>
                  <w14:solidFill>
                    <w14:schemeClr w14:val="tx1"/>
                  </w14:solidFill>
                </w14:textFill>
              </w:rPr>
            </w:pPr>
          </w:p>
        </w:tc>
        <w:tc>
          <w:tcPr>
            <w:tcW w:w="1984" w:type="dxa"/>
            <w:gridSpan w:val="2"/>
            <w:tcBorders>
              <w:left w:val="single" w:color="auto" w:sz="4" w:space="0"/>
              <w:right w:val="single" w:color="auto" w:sz="4" w:space="0"/>
            </w:tcBorders>
            <w:vAlign w:val="center"/>
          </w:tcPr>
          <w:p w14:paraId="17A98205">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2疏散指示标志</w:t>
            </w:r>
          </w:p>
        </w:tc>
        <w:tc>
          <w:tcPr>
            <w:tcW w:w="1760" w:type="dxa"/>
            <w:gridSpan w:val="2"/>
            <w:tcBorders>
              <w:left w:val="single" w:color="auto" w:sz="4" w:space="0"/>
            </w:tcBorders>
            <w:vAlign w:val="center"/>
          </w:tcPr>
          <w:p w14:paraId="08E59409">
            <w:pPr>
              <w:ind w:firstLine="360"/>
              <w:jc w:val="center"/>
              <w:rPr>
                <w:rFonts w:ascii="宋体" w:hAnsi="宋体"/>
                <w:sz w:val="18"/>
                <w:szCs w:val="18"/>
              </w:rPr>
            </w:pPr>
          </w:p>
        </w:tc>
        <w:tc>
          <w:tcPr>
            <w:tcW w:w="1796" w:type="dxa"/>
            <w:gridSpan w:val="2"/>
            <w:vAlign w:val="center"/>
          </w:tcPr>
          <w:p w14:paraId="742D0EC1">
            <w:pPr>
              <w:ind w:firstLine="360"/>
              <w:jc w:val="center"/>
              <w:rPr>
                <w:rFonts w:ascii="宋体" w:hAnsi="宋体"/>
                <w:sz w:val="18"/>
                <w:szCs w:val="18"/>
              </w:rPr>
            </w:pPr>
          </w:p>
        </w:tc>
        <w:tc>
          <w:tcPr>
            <w:tcW w:w="1689" w:type="dxa"/>
            <w:gridSpan w:val="4"/>
            <w:vAlign w:val="center"/>
          </w:tcPr>
          <w:p w14:paraId="138ECC22">
            <w:pPr>
              <w:ind w:firstLine="360"/>
              <w:jc w:val="center"/>
              <w:rPr>
                <w:rFonts w:ascii="宋体" w:hAnsi="宋体"/>
                <w:sz w:val="18"/>
                <w:szCs w:val="18"/>
              </w:rPr>
            </w:pPr>
          </w:p>
        </w:tc>
        <w:tc>
          <w:tcPr>
            <w:tcW w:w="1985" w:type="dxa"/>
            <w:vAlign w:val="center"/>
          </w:tcPr>
          <w:p w14:paraId="23E22E7B">
            <w:pPr>
              <w:ind w:firstLine="360"/>
              <w:jc w:val="center"/>
              <w:rPr>
                <w:rFonts w:ascii="宋体" w:hAnsi="宋体"/>
                <w:sz w:val="18"/>
                <w:szCs w:val="18"/>
              </w:rPr>
            </w:pPr>
          </w:p>
        </w:tc>
      </w:tr>
      <w:tr w14:paraId="7611C8D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14:paraId="0E53E986">
            <w:pPr>
              <w:rPr>
                <w:rFonts w:ascii="宋体" w:hAnsi="宋体"/>
                <w:color w:val="000000" w:themeColor="text1"/>
                <w:sz w:val="18"/>
                <w:szCs w:val="18"/>
                <w14:textFill>
                  <w14:solidFill>
                    <w14:schemeClr w14:val="tx1"/>
                  </w14:solidFill>
                </w14:textFill>
              </w:rPr>
            </w:pPr>
          </w:p>
        </w:tc>
        <w:tc>
          <w:tcPr>
            <w:tcW w:w="1984" w:type="dxa"/>
            <w:gridSpan w:val="2"/>
            <w:tcBorders>
              <w:left w:val="single" w:color="auto" w:sz="4" w:space="0"/>
              <w:right w:val="single" w:color="auto" w:sz="4" w:space="0"/>
            </w:tcBorders>
            <w:vAlign w:val="center"/>
          </w:tcPr>
          <w:p w14:paraId="03427505">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3消防备用照明</w:t>
            </w:r>
          </w:p>
        </w:tc>
        <w:tc>
          <w:tcPr>
            <w:tcW w:w="1760" w:type="dxa"/>
            <w:gridSpan w:val="2"/>
            <w:tcBorders>
              <w:left w:val="single" w:color="auto" w:sz="4" w:space="0"/>
            </w:tcBorders>
            <w:vAlign w:val="center"/>
          </w:tcPr>
          <w:p w14:paraId="54D07DB2">
            <w:pPr>
              <w:ind w:firstLine="360"/>
              <w:jc w:val="center"/>
              <w:rPr>
                <w:rFonts w:ascii="宋体" w:hAnsi="宋体"/>
                <w:sz w:val="18"/>
                <w:szCs w:val="18"/>
              </w:rPr>
            </w:pPr>
          </w:p>
        </w:tc>
        <w:tc>
          <w:tcPr>
            <w:tcW w:w="1796" w:type="dxa"/>
            <w:gridSpan w:val="2"/>
            <w:vAlign w:val="center"/>
          </w:tcPr>
          <w:p w14:paraId="6E61A33D">
            <w:pPr>
              <w:ind w:firstLine="360"/>
              <w:jc w:val="center"/>
              <w:rPr>
                <w:rFonts w:ascii="宋体" w:hAnsi="宋体"/>
                <w:sz w:val="18"/>
                <w:szCs w:val="18"/>
              </w:rPr>
            </w:pPr>
          </w:p>
        </w:tc>
        <w:tc>
          <w:tcPr>
            <w:tcW w:w="1689" w:type="dxa"/>
            <w:gridSpan w:val="4"/>
            <w:vAlign w:val="center"/>
          </w:tcPr>
          <w:p w14:paraId="6638E0E3">
            <w:pPr>
              <w:ind w:firstLine="360"/>
              <w:jc w:val="center"/>
              <w:rPr>
                <w:rFonts w:ascii="宋体" w:hAnsi="宋体"/>
                <w:sz w:val="18"/>
                <w:szCs w:val="18"/>
              </w:rPr>
            </w:pPr>
          </w:p>
        </w:tc>
        <w:tc>
          <w:tcPr>
            <w:tcW w:w="1985" w:type="dxa"/>
            <w:vAlign w:val="center"/>
          </w:tcPr>
          <w:p w14:paraId="04928547">
            <w:pPr>
              <w:ind w:firstLine="360"/>
              <w:jc w:val="center"/>
              <w:rPr>
                <w:rFonts w:ascii="宋体" w:hAnsi="宋体"/>
                <w:sz w:val="18"/>
                <w:szCs w:val="18"/>
              </w:rPr>
            </w:pPr>
          </w:p>
        </w:tc>
      </w:tr>
      <w:tr w14:paraId="73052FF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14:paraId="43021AA8">
            <w:pPr>
              <w:rPr>
                <w:rFonts w:ascii="宋体" w:hAnsi="宋体"/>
                <w:color w:val="000000" w:themeColor="text1"/>
                <w:sz w:val="18"/>
                <w:szCs w:val="18"/>
                <w14:textFill>
                  <w14:solidFill>
                    <w14:schemeClr w14:val="tx1"/>
                  </w14:solidFill>
                </w14:textFill>
              </w:rPr>
            </w:pPr>
          </w:p>
        </w:tc>
        <w:tc>
          <w:tcPr>
            <w:tcW w:w="1984" w:type="dxa"/>
            <w:gridSpan w:val="2"/>
            <w:tcBorders>
              <w:left w:val="single" w:color="auto" w:sz="4" w:space="0"/>
              <w:right w:val="single" w:color="auto" w:sz="4" w:space="0"/>
            </w:tcBorders>
            <w:vAlign w:val="center"/>
          </w:tcPr>
          <w:p w14:paraId="247D050B">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4消防应急照明和疏散指示系统线缆</w:t>
            </w:r>
          </w:p>
        </w:tc>
        <w:tc>
          <w:tcPr>
            <w:tcW w:w="1760" w:type="dxa"/>
            <w:gridSpan w:val="2"/>
            <w:tcBorders>
              <w:left w:val="single" w:color="auto" w:sz="4" w:space="0"/>
            </w:tcBorders>
            <w:vAlign w:val="center"/>
          </w:tcPr>
          <w:p w14:paraId="556C2EDC">
            <w:pPr>
              <w:ind w:firstLine="360"/>
              <w:jc w:val="center"/>
              <w:rPr>
                <w:rFonts w:ascii="宋体" w:hAnsi="宋体"/>
                <w:sz w:val="18"/>
                <w:szCs w:val="18"/>
              </w:rPr>
            </w:pPr>
          </w:p>
        </w:tc>
        <w:tc>
          <w:tcPr>
            <w:tcW w:w="1796" w:type="dxa"/>
            <w:gridSpan w:val="2"/>
            <w:vAlign w:val="center"/>
          </w:tcPr>
          <w:p w14:paraId="2FDFB667">
            <w:pPr>
              <w:ind w:firstLine="360"/>
              <w:jc w:val="center"/>
              <w:rPr>
                <w:rFonts w:ascii="宋体" w:hAnsi="宋体"/>
                <w:sz w:val="18"/>
                <w:szCs w:val="18"/>
              </w:rPr>
            </w:pPr>
          </w:p>
        </w:tc>
        <w:tc>
          <w:tcPr>
            <w:tcW w:w="1689" w:type="dxa"/>
            <w:gridSpan w:val="4"/>
            <w:vAlign w:val="center"/>
          </w:tcPr>
          <w:p w14:paraId="716BFA94">
            <w:pPr>
              <w:ind w:firstLine="360"/>
              <w:jc w:val="center"/>
              <w:rPr>
                <w:rFonts w:ascii="宋体" w:hAnsi="宋体"/>
                <w:sz w:val="18"/>
                <w:szCs w:val="18"/>
              </w:rPr>
            </w:pPr>
          </w:p>
        </w:tc>
        <w:tc>
          <w:tcPr>
            <w:tcW w:w="1985" w:type="dxa"/>
            <w:vAlign w:val="center"/>
          </w:tcPr>
          <w:p w14:paraId="57828518">
            <w:pPr>
              <w:ind w:firstLine="360"/>
              <w:jc w:val="center"/>
              <w:rPr>
                <w:rFonts w:ascii="宋体" w:hAnsi="宋体"/>
                <w:sz w:val="18"/>
                <w:szCs w:val="18"/>
              </w:rPr>
            </w:pPr>
          </w:p>
        </w:tc>
      </w:tr>
      <w:tr w14:paraId="5B0C983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restart"/>
            <w:tcBorders>
              <w:right w:val="single" w:color="auto" w:sz="4" w:space="0"/>
            </w:tcBorders>
            <w:vAlign w:val="center"/>
          </w:tcPr>
          <w:p w14:paraId="15F7A71C">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23</w:t>
            </w:r>
          </w:p>
          <w:p w14:paraId="12C23FEA">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结构消防</w:t>
            </w:r>
            <w:r>
              <w:rPr>
                <w:rFonts w:ascii="宋体" w:hAnsi="宋体"/>
                <w:color w:val="000000" w:themeColor="text1"/>
                <w:sz w:val="18"/>
                <w:szCs w:val="18"/>
                <w14:textFill>
                  <w14:solidFill>
                    <w14:schemeClr w14:val="tx1"/>
                  </w14:solidFill>
                </w14:textFill>
              </w:rPr>
              <w:t>安全</w:t>
            </w:r>
          </w:p>
        </w:tc>
        <w:tc>
          <w:tcPr>
            <w:tcW w:w="1984" w:type="dxa"/>
            <w:gridSpan w:val="2"/>
            <w:tcBorders>
              <w:left w:val="single" w:color="auto" w:sz="4" w:space="0"/>
              <w:right w:val="single" w:color="auto" w:sz="4" w:space="0"/>
            </w:tcBorders>
            <w:vAlign w:val="center"/>
          </w:tcPr>
          <w:p w14:paraId="475D3FC5">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1钢构件</w:t>
            </w:r>
            <w:r>
              <w:rPr>
                <w:rFonts w:ascii="宋体" w:hAnsi="宋体"/>
                <w:color w:val="000000" w:themeColor="text1"/>
                <w:sz w:val="18"/>
                <w:szCs w:val="18"/>
                <w14:textFill>
                  <w14:solidFill>
                    <w14:schemeClr w14:val="tx1"/>
                  </w14:solidFill>
                </w14:textFill>
              </w:rPr>
              <w:t>的防火涂料</w:t>
            </w:r>
          </w:p>
        </w:tc>
        <w:tc>
          <w:tcPr>
            <w:tcW w:w="1760" w:type="dxa"/>
            <w:gridSpan w:val="2"/>
            <w:tcBorders>
              <w:left w:val="single" w:color="auto" w:sz="4" w:space="0"/>
            </w:tcBorders>
            <w:vAlign w:val="center"/>
          </w:tcPr>
          <w:p w14:paraId="5A3AE984">
            <w:pPr>
              <w:ind w:firstLine="360"/>
              <w:jc w:val="center"/>
              <w:rPr>
                <w:rFonts w:ascii="宋体" w:hAnsi="宋体"/>
                <w:sz w:val="18"/>
                <w:szCs w:val="18"/>
              </w:rPr>
            </w:pPr>
          </w:p>
        </w:tc>
        <w:tc>
          <w:tcPr>
            <w:tcW w:w="1796" w:type="dxa"/>
            <w:gridSpan w:val="2"/>
            <w:vAlign w:val="center"/>
          </w:tcPr>
          <w:p w14:paraId="3355FB17">
            <w:pPr>
              <w:ind w:firstLine="360"/>
              <w:jc w:val="center"/>
              <w:rPr>
                <w:rFonts w:ascii="宋体" w:hAnsi="宋体"/>
                <w:sz w:val="18"/>
                <w:szCs w:val="18"/>
              </w:rPr>
            </w:pPr>
          </w:p>
        </w:tc>
        <w:tc>
          <w:tcPr>
            <w:tcW w:w="1689" w:type="dxa"/>
            <w:gridSpan w:val="4"/>
            <w:vAlign w:val="center"/>
          </w:tcPr>
          <w:p w14:paraId="346D8902">
            <w:pPr>
              <w:ind w:firstLine="360"/>
              <w:jc w:val="center"/>
              <w:rPr>
                <w:rFonts w:ascii="宋体" w:hAnsi="宋体"/>
                <w:sz w:val="18"/>
                <w:szCs w:val="18"/>
              </w:rPr>
            </w:pPr>
          </w:p>
        </w:tc>
        <w:tc>
          <w:tcPr>
            <w:tcW w:w="1985" w:type="dxa"/>
            <w:vAlign w:val="center"/>
          </w:tcPr>
          <w:p w14:paraId="2F615E78">
            <w:pPr>
              <w:ind w:firstLine="360"/>
              <w:jc w:val="center"/>
              <w:rPr>
                <w:rFonts w:ascii="宋体" w:hAnsi="宋体"/>
                <w:sz w:val="18"/>
                <w:szCs w:val="18"/>
              </w:rPr>
            </w:pPr>
          </w:p>
        </w:tc>
      </w:tr>
      <w:tr w14:paraId="387E00C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14:paraId="2E0DC2D8">
            <w:pPr>
              <w:rPr>
                <w:rFonts w:ascii="宋体" w:hAnsi="宋体"/>
                <w:color w:val="000000" w:themeColor="text1"/>
                <w:sz w:val="18"/>
                <w:szCs w:val="18"/>
                <w14:textFill>
                  <w14:solidFill>
                    <w14:schemeClr w14:val="tx1"/>
                  </w14:solidFill>
                </w14:textFill>
              </w:rPr>
            </w:pPr>
          </w:p>
        </w:tc>
        <w:tc>
          <w:tcPr>
            <w:tcW w:w="1984" w:type="dxa"/>
            <w:gridSpan w:val="2"/>
            <w:tcBorders>
              <w:left w:val="single" w:color="auto" w:sz="4" w:space="0"/>
              <w:right w:val="single" w:color="auto" w:sz="4" w:space="0"/>
            </w:tcBorders>
            <w:vAlign w:val="center"/>
          </w:tcPr>
          <w:p w14:paraId="191FA998">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2混凝土</w:t>
            </w:r>
            <w:r>
              <w:rPr>
                <w:rFonts w:ascii="宋体" w:hAnsi="宋体"/>
                <w:color w:val="000000" w:themeColor="text1"/>
                <w:sz w:val="18"/>
                <w:szCs w:val="18"/>
                <w14:textFill>
                  <w14:solidFill>
                    <w14:schemeClr w14:val="tx1"/>
                  </w14:solidFill>
                </w14:textFill>
              </w:rPr>
              <w:t>构</w:t>
            </w:r>
            <w:r>
              <w:rPr>
                <w:rFonts w:hint="eastAsia" w:ascii="宋体" w:hAnsi="宋体"/>
                <w:color w:val="000000" w:themeColor="text1"/>
                <w:sz w:val="18"/>
                <w:szCs w:val="18"/>
                <w14:textFill>
                  <w14:solidFill>
                    <w14:schemeClr w14:val="tx1"/>
                  </w14:solidFill>
                </w14:textFill>
              </w:rPr>
              <w:t>件</w:t>
            </w:r>
            <w:r>
              <w:rPr>
                <w:rFonts w:ascii="宋体" w:hAnsi="宋体"/>
                <w:color w:val="000000" w:themeColor="text1"/>
                <w:sz w:val="18"/>
                <w:szCs w:val="18"/>
                <w14:textFill>
                  <w14:solidFill>
                    <w14:schemeClr w14:val="tx1"/>
                  </w14:solidFill>
                </w14:textFill>
              </w:rPr>
              <w:t>保护层</w:t>
            </w:r>
          </w:p>
        </w:tc>
        <w:tc>
          <w:tcPr>
            <w:tcW w:w="1760" w:type="dxa"/>
            <w:gridSpan w:val="2"/>
            <w:tcBorders>
              <w:left w:val="single" w:color="auto" w:sz="4" w:space="0"/>
            </w:tcBorders>
            <w:vAlign w:val="center"/>
          </w:tcPr>
          <w:p w14:paraId="43D40BEB">
            <w:pPr>
              <w:ind w:firstLine="360"/>
              <w:jc w:val="center"/>
              <w:rPr>
                <w:rFonts w:ascii="宋体" w:hAnsi="宋体"/>
                <w:sz w:val="18"/>
                <w:szCs w:val="18"/>
              </w:rPr>
            </w:pPr>
          </w:p>
        </w:tc>
        <w:tc>
          <w:tcPr>
            <w:tcW w:w="1796" w:type="dxa"/>
            <w:gridSpan w:val="2"/>
            <w:vAlign w:val="center"/>
          </w:tcPr>
          <w:p w14:paraId="6198F2A0">
            <w:pPr>
              <w:ind w:firstLine="360"/>
              <w:jc w:val="center"/>
              <w:rPr>
                <w:rFonts w:ascii="宋体" w:hAnsi="宋体"/>
                <w:sz w:val="18"/>
                <w:szCs w:val="18"/>
              </w:rPr>
            </w:pPr>
          </w:p>
        </w:tc>
        <w:tc>
          <w:tcPr>
            <w:tcW w:w="1689" w:type="dxa"/>
            <w:gridSpan w:val="4"/>
            <w:vAlign w:val="center"/>
          </w:tcPr>
          <w:p w14:paraId="1F4B8DC3">
            <w:pPr>
              <w:ind w:firstLine="360"/>
              <w:jc w:val="center"/>
              <w:rPr>
                <w:rFonts w:ascii="宋体" w:hAnsi="宋体"/>
                <w:sz w:val="18"/>
                <w:szCs w:val="18"/>
              </w:rPr>
            </w:pPr>
          </w:p>
        </w:tc>
        <w:tc>
          <w:tcPr>
            <w:tcW w:w="1985" w:type="dxa"/>
            <w:vAlign w:val="center"/>
          </w:tcPr>
          <w:p w14:paraId="3CA7735B">
            <w:pPr>
              <w:ind w:firstLine="360"/>
              <w:jc w:val="center"/>
              <w:rPr>
                <w:rFonts w:ascii="宋体" w:hAnsi="宋体"/>
                <w:sz w:val="18"/>
                <w:szCs w:val="18"/>
              </w:rPr>
            </w:pPr>
          </w:p>
        </w:tc>
      </w:tr>
      <w:tr w14:paraId="278F1FE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14:paraId="21B86D7D">
            <w:pPr>
              <w:rPr>
                <w:rFonts w:ascii="宋体" w:hAnsi="宋体"/>
                <w:color w:val="000000" w:themeColor="text1"/>
                <w:sz w:val="18"/>
                <w:szCs w:val="18"/>
                <w14:textFill>
                  <w14:solidFill>
                    <w14:schemeClr w14:val="tx1"/>
                  </w14:solidFill>
                </w14:textFill>
              </w:rPr>
            </w:pPr>
          </w:p>
        </w:tc>
        <w:tc>
          <w:tcPr>
            <w:tcW w:w="1984" w:type="dxa"/>
            <w:gridSpan w:val="2"/>
            <w:tcBorders>
              <w:left w:val="single" w:color="auto" w:sz="4" w:space="0"/>
              <w:right w:val="single" w:color="auto" w:sz="4" w:space="0"/>
            </w:tcBorders>
            <w:vAlign w:val="center"/>
          </w:tcPr>
          <w:p w14:paraId="3C0370D8">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3木构件防火处理措施</w:t>
            </w:r>
          </w:p>
        </w:tc>
        <w:tc>
          <w:tcPr>
            <w:tcW w:w="1760" w:type="dxa"/>
            <w:gridSpan w:val="2"/>
            <w:tcBorders>
              <w:left w:val="single" w:color="auto" w:sz="4" w:space="0"/>
            </w:tcBorders>
            <w:vAlign w:val="center"/>
          </w:tcPr>
          <w:p w14:paraId="1A378258">
            <w:pPr>
              <w:ind w:firstLine="360"/>
              <w:jc w:val="center"/>
              <w:rPr>
                <w:rFonts w:ascii="宋体" w:hAnsi="宋体"/>
                <w:sz w:val="18"/>
                <w:szCs w:val="18"/>
              </w:rPr>
            </w:pPr>
          </w:p>
        </w:tc>
        <w:tc>
          <w:tcPr>
            <w:tcW w:w="1796" w:type="dxa"/>
            <w:gridSpan w:val="2"/>
            <w:vAlign w:val="center"/>
          </w:tcPr>
          <w:p w14:paraId="1B3DFD12">
            <w:pPr>
              <w:ind w:firstLine="360"/>
              <w:jc w:val="center"/>
              <w:rPr>
                <w:rFonts w:ascii="宋体" w:hAnsi="宋体"/>
                <w:sz w:val="18"/>
                <w:szCs w:val="18"/>
              </w:rPr>
            </w:pPr>
          </w:p>
        </w:tc>
        <w:tc>
          <w:tcPr>
            <w:tcW w:w="1689" w:type="dxa"/>
            <w:gridSpan w:val="4"/>
            <w:vAlign w:val="center"/>
          </w:tcPr>
          <w:p w14:paraId="76C10887">
            <w:pPr>
              <w:ind w:firstLine="360"/>
              <w:jc w:val="center"/>
              <w:rPr>
                <w:rFonts w:ascii="宋体" w:hAnsi="宋体"/>
                <w:sz w:val="18"/>
                <w:szCs w:val="18"/>
              </w:rPr>
            </w:pPr>
          </w:p>
        </w:tc>
        <w:tc>
          <w:tcPr>
            <w:tcW w:w="1985" w:type="dxa"/>
            <w:vAlign w:val="center"/>
          </w:tcPr>
          <w:p w14:paraId="21B300F1">
            <w:pPr>
              <w:ind w:firstLine="360"/>
              <w:jc w:val="center"/>
              <w:rPr>
                <w:rFonts w:ascii="宋体" w:hAnsi="宋体"/>
                <w:sz w:val="18"/>
                <w:szCs w:val="18"/>
              </w:rPr>
            </w:pPr>
          </w:p>
        </w:tc>
      </w:tr>
      <w:tr w14:paraId="0FDDEBB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14:paraId="0226CE9B">
            <w:pPr>
              <w:rPr>
                <w:rFonts w:ascii="宋体" w:hAnsi="宋体"/>
                <w:color w:val="000000" w:themeColor="text1"/>
                <w:sz w:val="18"/>
                <w:szCs w:val="18"/>
                <w14:textFill>
                  <w14:solidFill>
                    <w14:schemeClr w14:val="tx1"/>
                  </w14:solidFill>
                </w14:textFill>
              </w:rPr>
            </w:pPr>
          </w:p>
        </w:tc>
        <w:tc>
          <w:tcPr>
            <w:tcW w:w="9214" w:type="dxa"/>
            <w:gridSpan w:val="11"/>
            <w:tcBorders>
              <w:left w:val="single" w:color="auto" w:sz="4" w:space="0"/>
            </w:tcBorders>
            <w:vAlign w:val="center"/>
          </w:tcPr>
          <w:p w14:paraId="162DA40A">
            <w:pPr>
              <w:rPr>
                <w:rFonts w:ascii="宋体" w:hAnsi="宋体"/>
                <w:sz w:val="18"/>
                <w:szCs w:val="18"/>
              </w:rPr>
            </w:pPr>
            <w:r>
              <w:rPr>
                <w:rFonts w:hint="eastAsia" w:ascii="宋体" w:hAnsi="宋体"/>
                <w:sz w:val="18"/>
                <w:szCs w:val="18"/>
              </w:rPr>
              <w:t>4、是否需要进</w:t>
            </w:r>
            <w:r>
              <w:rPr>
                <w:rFonts w:hint="eastAsia" w:ascii="宋体" w:hAnsi="宋体"/>
                <w:color w:val="000000" w:themeColor="text1"/>
                <w:sz w:val="18"/>
                <w:szCs w:val="18"/>
                <w14:textFill>
                  <w14:solidFill>
                    <w14:schemeClr w14:val="tx1"/>
                  </w14:solidFill>
                </w14:textFill>
              </w:rPr>
              <w:t>行与消防相关</w:t>
            </w:r>
            <w:r>
              <w:rPr>
                <w:rFonts w:ascii="宋体" w:hAnsi="宋体"/>
                <w:color w:val="000000" w:themeColor="text1"/>
                <w:sz w:val="18"/>
                <w:szCs w:val="18"/>
                <w14:textFill>
                  <w14:solidFill>
                    <w14:schemeClr w14:val="tx1"/>
                  </w14:solidFill>
                </w14:textFill>
              </w:rPr>
              <w:t>的</w:t>
            </w:r>
            <w:r>
              <w:rPr>
                <w:rFonts w:hint="eastAsia" w:ascii="宋体" w:hAnsi="宋体"/>
                <w:color w:val="000000" w:themeColor="text1"/>
                <w:sz w:val="18"/>
                <w:szCs w:val="18"/>
                <w14:textFill>
                  <w14:solidFill>
                    <w14:schemeClr w14:val="tx1"/>
                  </w14:solidFill>
                </w14:textFill>
              </w:rPr>
              <w:t>专项</w:t>
            </w:r>
            <w:r>
              <w:rPr>
                <w:rFonts w:ascii="宋体" w:hAnsi="宋体"/>
                <w:color w:val="000000" w:themeColor="text1"/>
                <w:sz w:val="18"/>
                <w:szCs w:val="18"/>
                <w14:textFill>
                  <w14:solidFill>
                    <w14:schemeClr w14:val="tx1"/>
                  </w14:solidFill>
                </w14:textFill>
              </w:rPr>
              <w:t>结构鉴定</w:t>
            </w:r>
            <w:r>
              <w:rPr>
                <w:rFonts w:hint="eastAsia" w:ascii="宋体" w:hAnsi="宋体"/>
                <w:color w:val="000000" w:themeColor="text1"/>
                <w:sz w:val="18"/>
                <w:szCs w:val="18"/>
                <w14:textFill>
                  <w14:solidFill>
                    <w14:schemeClr w14:val="tx1"/>
                  </w14:solidFill>
                </w14:textFill>
              </w:rPr>
              <w:t xml:space="preserve">：       </w:t>
            </w:r>
            <w:r>
              <w:rPr>
                <w:rFonts w:hint="eastAsia" w:ascii="宋体" w:hAnsi="宋体"/>
                <w:sz w:val="18"/>
                <w:szCs w:val="18"/>
              </w:rPr>
              <w:t xml:space="preserve">□是  </w:t>
            </w:r>
            <w:r>
              <w:rPr>
                <w:rFonts w:ascii="宋体" w:hAnsi="宋体"/>
                <w:sz w:val="18"/>
                <w:szCs w:val="18"/>
              </w:rPr>
              <w:t xml:space="preserve">       </w:t>
            </w:r>
            <w:r>
              <w:rPr>
                <w:rFonts w:hint="eastAsia" w:ascii="宋体" w:hAnsi="宋体"/>
                <w:sz w:val="18"/>
                <w:szCs w:val="18"/>
              </w:rPr>
              <w:t>□否</w:t>
            </w:r>
          </w:p>
        </w:tc>
      </w:tr>
      <w:tr w14:paraId="34D7544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94" w:hRule="atLeast"/>
          <w:jc w:val="center"/>
        </w:trPr>
        <w:tc>
          <w:tcPr>
            <w:tcW w:w="10055" w:type="dxa"/>
            <w:gridSpan w:val="12"/>
            <w:shd w:val="clear" w:color="auto" w:fill="auto"/>
            <w:vAlign w:val="center"/>
          </w:tcPr>
          <w:p w14:paraId="09C83FFA">
            <w:pPr>
              <w:jc w:val="center"/>
              <w:rPr>
                <w:rFonts w:ascii="宋体" w:hAnsi="宋体"/>
                <w:b/>
                <w:kern w:val="0"/>
                <w:sz w:val="24"/>
              </w:rPr>
            </w:pPr>
            <w:r>
              <w:rPr>
                <w:rFonts w:hint="eastAsia" w:ascii="宋体" w:hAnsi="宋体"/>
                <w:b/>
                <w:kern w:val="0"/>
                <w:sz w:val="24"/>
              </w:rPr>
              <w:t>三、评价结论</w:t>
            </w:r>
          </w:p>
        </w:tc>
      </w:tr>
      <w:tr w14:paraId="11C017D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10055" w:type="dxa"/>
            <w:gridSpan w:val="12"/>
            <w:vAlign w:val="center"/>
          </w:tcPr>
          <w:p w14:paraId="621EDB91">
            <w:pPr>
              <w:ind w:firstLine="420"/>
              <w:jc w:val="left"/>
              <w:rPr>
                <w:rFonts w:ascii="宋体" w:hAnsi="宋体"/>
                <w:szCs w:val="21"/>
              </w:rPr>
            </w:pPr>
          </w:p>
          <w:p w14:paraId="787D200F">
            <w:pPr>
              <w:ind w:firstLine="420"/>
              <w:jc w:val="left"/>
              <w:rPr>
                <w:rFonts w:ascii="宋体" w:hAnsi="宋体"/>
                <w:szCs w:val="21"/>
              </w:rPr>
            </w:pPr>
            <w:r>
              <w:rPr>
                <w:rFonts w:hint="eastAsia" w:ascii="宋体" w:hAnsi="宋体"/>
                <w:szCs w:val="21"/>
              </w:rPr>
              <w:t>根据消防安全评价的要求和程序，结合现行消防技术标准和北京市《既有建筑改造防火设计标准》，对消防评价内容进行分析，通过改造前情况（是否符合标准）和改造后需执行的标准进行对照、针对改造的难度提出改造后拟采取的消防技术措施，该建筑改造评价报告提出的解决对策、措施和建议可以满足消防安全的技术要求。</w:t>
            </w:r>
          </w:p>
          <w:p w14:paraId="33F0EEAF">
            <w:pPr>
              <w:ind w:firstLine="420"/>
              <w:jc w:val="left"/>
              <w:rPr>
                <w:rFonts w:ascii="宋体" w:hAnsi="宋体"/>
                <w:szCs w:val="21"/>
              </w:rPr>
            </w:pPr>
          </w:p>
          <w:p w14:paraId="325C44A4">
            <w:pPr>
              <w:ind w:firstLine="420"/>
              <w:jc w:val="left"/>
              <w:rPr>
                <w:rFonts w:ascii="宋体" w:hAnsi="宋体"/>
                <w:szCs w:val="21"/>
              </w:rPr>
            </w:pPr>
            <w:r>
              <w:rPr>
                <w:rFonts w:hint="eastAsia" w:ascii="宋体" w:hAnsi="宋体"/>
                <w:szCs w:val="21"/>
              </w:rPr>
              <w:t>评价负责人：                                        评价单位：</w:t>
            </w:r>
          </w:p>
          <w:p w14:paraId="72FD5A6A">
            <w:pPr>
              <w:ind w:firstLine="420"/>
              <w:jc w:val="left"/>
              <w:rPr>
                <w:rFonts w:ascii="宋体" w:hAnsi="宋体"/>
                <w:szCs w:val="21"/>
              </w:rPr>
            </w:pPr>
          </w:p>
          <w:p w14:paraId="6768D495">
            <w:pPr>
              <w:ind w:firstLine="366" w:firstLineChars="176"/>
              <w:jc w:val="right"/>
              <w:rPr>
                <w:rFonts w:ascii="宋体" w:hAnsi="宋体"/>
                <w:szCs w:val="21"/>
              </w:rPr>
            </w:pPr>
            <w:r>
              <w:rPr>
                <w:rFonts w:hint="eastAsia" w:ascii="宋体" w:hAnsi="宋体"/>
                <w:szCs w:val="21"/>
              </w:rPr>
              <w:t>年   月   日</w:t>
            </w:r>
          </w:p>
        </w:tc>
      </w:tr>
    </w:tbl>
    <w:p w14:paraId="779209A7">
      <w:pPr>
        <w:ind w:left="-420" w:leftChars="-202" w:right="-478" w:rightChars="-230" w:firstLine="377" w:firstLineChars="201"/>
        <w:jc w:val="left"/>
        <w:rPr>
          <w:sz w:val="18"/>
          <w:szCs w:val="18"/>
        </w:rPr>
      </w:pPr>
      <w:r>
        <w:rPr>
          <w:rFonts w:hint="eastAsia"/>
          <w:sz w:val="18"/>
          <w:szCs w:val="18"/>
        </w:rPr>
        <w:t>填表说明：</w:t>
      </w:r>
    </w:p>
    <w:p w14:paraId="05270024">
      <w:pPr>
        <w:ind w:left="-420" w:leftChars="-202" w:right="-478" w:rightChars="-230" w:firstLine="377" w:firstLineChars="201"/>
        <w:jc w:val="left"/>
        <w:rPr>
          <w:sz w:val="18"/>
          <w:szCs w:val="18"/>
        </w:rPr>
      </w:pPr>
      <w:r>
        <w:rPr>
          <w:rFonts w:hint="eastAsia"/>
          <w:sz w:val="18"/>
          <w:szCs w:val="18"/>
        </w:rPr>
        <w:t>1</w:t>
      </w:r>
      <w:r>
        <w:rPr>
          <w:sz w:val="18"/>
          <w:szCs w:val="18"/>
        </w:rPr>
        <w:t xml:space="preserve"> </w:t>
      </w:r>
      <w:r>
        <w:rPr>
          <w:rFonts w:hint="eastAsia"/>
          <w:sz w:val="18"/>
          <w:szCs w:val="18"/>
        </w:rPr>
        <w:t>本评价表格形式及其中的评价内容和标准要求仅供参考，评价单位应根据评价对象的具体情况，自行增删评价内容，确保评价的内容全面，没有遗漏。</w:t>
      </w:r>
    </w:p>
    <w:p w14:paraId="7B1D40DB">
      <w:pPr>
        <w:ind w:left="-420" w:leftChars="-202" w:right="-478" w:rightChars="-230" w:firstLine="377" w:firstLineChars="201"/>
        <w:jc w:val="left"/>
        <w:rPr>
          <w:sz w:val="18"/>
          <w:szCs w:val="18"/>
        </w:rPr>
      </w:pPr>
      <w:r>
        <w:rPr>
          <w:sz w:val="18"/>
          <w:szCs w:val="18"/>
        </w:rPr>
        <w:t xml:space="preserve">2 </w:t>
      </w:r>
      <w:r>
        <w:rPr>
          <w:rFonts w:hint="eastAsia"/>
          <w:sz w:val="18"/>
          <w:szCs w:val="18"/>
        </w:rPr>
        <w:t>评价人应当如实填写，内容准确、完整，涂改无效。表格材料均使用A4型纸打印或复印。</w:t>
      </w:r>
    </w:p>
    <w:p w14:paraId="1A90D764">
      <w:pPr>
        <w:ind w:left="-420" w:leftChars="-202" w:right="-478" w:rightChars="-230" w:firstLine="377" w:firstLineChars="201"/>
        <w:jc w:val="left"/>
        <w:rPr>
          <w:sz w:val="18"/>
          <w:szCs w:val="18"/>
        </w:rPr>
      </w:pPr>
      <w:r>
        <w:rPr>
          <w:sz w:val="18"/>
          <w:szCs w:val="18"/>
        </w:rPr>
        <w:t xml:space="preserve">3 </w:t>
      </w:r>
      <w:r>
        <w:rPr>
          <w:rFonts w:hint="eastAsia"/>
          <w:sz w:val="18"/>
          <w:szCs w:val="18"/>
        </w:rPr>
        <w:t>评价表应由评价单位加盖印章，没有单位印章的，须有</w:t>
      </w:r>
      <w:r>
        <w:rPr>
          <w:rFonts w:hint="eastAsia"/>
          <w:color w:val="000000" w:themeColor="text1"/>
          <w:sz w:val="18"/>
          <w:szCs w:val="18"/>
          <w14:textFill>
            <w14:solidFill>
              <w14:schemeClr w14:val="tx1"/>
            </w14:solidFill>
          </w14:textFill>
        </w:rPr>
        <w:t>评价单位</w:t>
      </w:r>
      <w:r>
        <w:rPr>
          <w:rFonts w:hint="eastAsia"/>
          <w:sz w:val="18"/>
          <w:szCs w:val="18"/>
        </w:rPr>
        <w:t>的法定代表人或主要负责人签名。</w:t>
      </w:r>
    </w:p>
    <w:p w14:paraId="757E5929">
      <w:pPr>
        <w:ind w:left="-420" w:leftChars="-202" w:right="-478" w:rightChars="-230" w:firstLine="377" w:firstLineChars="201"/>
        <w:jc w:val="left"/>
        <w:rPr>
          <w:sz w:val="18"/>
          <w:szCs w:val="18"/>
        </w:rPr>
      </w:pPr>
      <w:r>
        <w:rPr>
          <w:sz w:val="18"/>
          <w:szCs w:val="18"/>
        </w:rPr>
        <w:t xml:space="preserve">4 </w:t>
      </w:r>
      <w:r>
        <w:rPr>
          <w:rFonts w:hint="eastAsia"/>
          <w:sz w:val="18"/>
          <w:szCs w:val="18"/>
        </w:rPr>
        <w:t>文书中的“□”，表示有多个内容可供选择，在选中内容前的“□”内画√。</w:t>
      </w:r>
    </w:p>
    <w:p w14:paraId="55BB05FD">
      <w:pPr>
        <w:ind w:left="-420" w:leftChars="-202" w:right="-478" w:rightChars="-230" w:firstLine="377" w:firstLineChars="201"/>
        <w:jc w:val="left"/>
        <w:rPr>
          <w:sz w:val="18"/>
          <w:szCs w:val="18"/>
        </w:rPr>
      </w:pPr>
      <w:r>
        <w:rPr>
          <w:sz w:val="18"/>
          <w:szCs w:val="18"/>
        </w:rPr>
        <w:t>5</w:t>
      </w:r>
      <w:r>
        <w:rPr>
          <w:rFonts w:hint="eastAsia"/>
          <w:sz w:val="18"/>
          <w:szCs w:val="18"/>
        </w:rPr>
        <w:t>“建筑概况”填写多栋建筑的，需要分开逐一填写。</w:t>
      </w:r>
    </w:p>
    <w:p w14:paraId="569EEC2F">
      <w:pPr>
        <w:ind w:left="-420" w:leftChars="-202" w:right="-478" w:rightChars="-230" w:firstLine="377" w:firstLineChars="201"/>
        <w:jc w:val="left"/>
        <w:rPr>
          <w:sz w:val="18"/>
          <w:szCs w:val="18"/>
        </w:rPr>
      </w:pPr>
      <w:r>
        <w:rPr>
          <w:sz w:val="18"/>
          <w:szCs w:val="18"/>
        </w:rPr>
        <w:t>6</w:t>
      </w:r>
      <w:r>
        <w:rPr>
          <w:rFonts w:hint="eastAsia"/>
          <w:sz w:val="18"/>
          <w:szCs w:val="18"/>
        </w:rPr>
        <w:t xml:space="preserve"> 表格设定的栏目，应逐项填写。无法提供的或无法填写的，应在栏内说明情况。</w:t>
      </w:r>
    </w:p>
    <w:p w14:paraId="76FA11F2">
      <w:pPr>
        <w:widowControl/>
        <w:snapToGrid w:val="0"/>
        <w:spacing w:line="300" w:lineRule="auto"/>
        <w:jc w:val="left"/>
        <w:rPr>
          <w:rFonts w:ascii="宋体" w:hAnsi="宋体"/>
          <w:color w:val="FF0000"/>
          <w:sz w:val="28"/>
          <w:szCs w:val="28"/>
        </w:rPr>
      </w:pPr>
    </w:p>
    <w:p w14:paraId="0BAD4FDE">
      <w:pPr>
        <w:widowControl/>
        <w:jc w:val="center"/>
        <w:rPr>
          <w:rFonts w:eastAsia="黑体"/>
          <w:sz w:val="44"/>
          <w:szCs w:val="44"/>
        </w:rPr>
      </w:pPr>
      <w:bookmarkStart w:id="137" w:name="_Toc511660205"/>
    </w:p>
    <w:p w14:paraId="5AC4A99E">
      <w:pPr>
        <w:widowControl/>
        <w:jc w:val="center"/>
        <w:rPr>
          <w:rFonts w:eastAsia="黑体"/>
          <w:sz w:val="44"/>
          <w:szCs w:val="44"/>
        </w:rPr>
      </w:pPr>
    </w:p>
    <w:p w14:paraId="221B9D0C">
      <w:pPr>
        <w:widowControl/>
        <w:jc w:val="center"/>
        <w:rPr>
          <w:rFonts w:eastAsia="黑体"/>
          <w:sz w:val="44"/>
          <w:szCs w:val="44"/>
        </w:rPr>
      </w:pPr>
    </w:p>
    <w:p w14:paraId="236C9C7B">
      <w:pPr>
        <w:widowControl/>
        <w:jc w:val="center"/>
        <w:rPr>
          <w:rFonts w:eastAsia="黑体"/>
          <w:sz w:val="44"/>
          <w:szCs w:val="44"/>
        </w:rPr>
      </w:pPr>
    </w:p>
    <w:p w14:paraId="165F97B8">
      <w:pPr>
        <w:widowControl/>
        <w:jc w:val="center"/>
        <w:rPr>
          <w:rFonts w:eastAsia="黑体"/>
          <w:sz w:val="44"/>
          <w:szCs w:val="44"/>
        </w:rPr>
      </w:pPr>
    </w:p>
    <w:p w14:paraId="78458944">
      <w:pPr>
        <w:widowControl/>
        <w:jc w:val="center"/>
        <w:rPr>
          <w:rFonts w:eastAsia="黑体"/>
          <w:sz w:val="44"/>
          <w:szCs w:val="44"/>
        </w:rPr>
      </w:pPr>
    </w:p>
    <w:p w14:paraId="42BC04C4">
      <w:pPr>
        <w:widowControl/>
        <w:jc w:val="center"/>
        <w:rPr>
          <w:rFonts w:eastAsia="黑体"/>
          <w:sz w:val="44"/>
          <w:szCs w:val="44"/>
        </w:rPr>
      </w:pPr>
    </w:p>
    <w:p w14:paraId="2997F2CA">
      <w:pPr>
        <w:widowControl/>
        <w:jc w:val="center"/>
        <w:rPr>
          <w:rFonts w:eastAsia="黑体"/>
          <w:sz w:val="44"/>
          <w:szCs w:val="44"/>
        </w:rPr>
      </w:pPr>
    </w:p>
    <w:p w14:paraId="1547B76A">
      <w:pPr>
        <w:widowControl/>
        <w:jc w:val="center"/>
        <w:rPr>
          <w:rFonts w:eastAsia="黑体"/>
          <w:sz w:val="44"/>
          <w:szCs w:val="44"/>
        </w:rPr>
      </w:pPr>
    </w:p>
    <w:p w14:paraId="0924607D">
      <w:pPr>
        <w:widowControl/>
        <w:jc w:val="center"/>
        <w:rPr>
          <w:rFonts w:eastAsia="黑体"/>
          <w:sz w:val="44"/>
          <w:szCs w:val="44"/>
        </w:rPr>
      </w:pPr>
    </w:p>
    <w:p w14:paraId="58876FD1">
      <w:pPr>
        <w:widowControl/>
        <w:jc w:val="center"/>
        <w:rPr>
          <w:rFonts w:eastAsia="黑体"/>
          <w:sz w:val="44"/>
          <w:szCs w:val="44"/>
        </w:rPr>
      </w:pPr>
    </w:p>
    <w:p w14:paraId="1F6E1466">
      <w:pPr>
        <w:pStyle w:val="3"/>
        <w:spacing w:line="360" w:lineRule="auto"/>
        <w:rPr>
          <w:rFonts w:ascii="宋体" w:hAnsi="宋体"/>
          <w:color w:val="FF0000"/>
          <w:sz w:val="28"/>
          <w:szCs w:val="28"/>
        </w:rPr>
      </w:pPr>
      <w:bookmarkStart w:id="138" w:name="_Toc151062999"/>
      <w:bookmarkStart w:id="139" w:name="_Toc151063136"/>
      <w:bookmarkStart w:id="140" w:name="_Toc151062668"/>
      <w:r>
        <w:rPr>
          <w:rFonts w:hint="eastAsia"/>
          <w:sz w:val="44"/>
          <w:szCs w:val="44"/>
        </w:rPr>
        <w:t>本规范用词说明</w:t>
      </w:r>
      <w:bookmarkEnd w:id="137"/>
      <w:bookmarkEnd w:id="138"/>
      <w:bookmarkEnd w:id="139"/>
      <w:bookmarkEnd w:id="140"/>
    </w:p>
    <w:p w14:paraId="07ADF241">
      <w:pPr>
        <w:widowControl/>
        <w:snapToGrid w:val="0"/>
        <w:spacing w:line="300" w:lineRule="auto"/>
        <w:ind w:firstLine="576" w:firstLineChars="200"/>
        <w:jc w:val="left"/>
        <w:rPr>
          <w:rFonts w:ascii="宋体" w:hAnsi="宋体"/>
          <w:sz w:val="28"/>
          <w:szCs w:val="28"/>
        </w:rPr>
      </w:pPr>
      <w:r>
        <w:rPr>
          <w:rFonts w:ascii="宋体" w:hAnsi="宋体"/>
          <w:sz w:val="28"/>
          <w:szCs w:val="28"/>
        </w:rPr>
        <w:t xml:space="preserve">1 </w:t>
      </w:r>
      <w:r>
        <w:rPr>
          <w:rFonts w:hint="eastAsia" w:ascii="宋体" w:hAnsi="宋体"/>
          <w:sz w:val="28"/>
          <w:szCs w:val="28"/>
        </w:rPr>
        <w:t xml:space="preserve"> 为便于在执行本规范条文时区别对待，对要求严格程度不同的用词说明如下：</w:t>
      </w:r>
    </w:p>
    <w:p w14:paraId="3403FA1F">
      <w:pPr>
        <w:widowControl/>
        <w:snapToGrid w:val="0"/>
        <w:spacing w:line="300" w:lineRule="auto"/>
        <w:ind w:left="566" w:leftChars="272"/>
        <w:jc w:val="left"/>
        <w:rPr>
          <w:rFonts w:ascii="宋体" w:hAnsi="宋体"/>
          <w:sz w:val="28"/>
          <w:szCs w:val="28"/>
        </w:rPr>
      </w:pPr>
      <w:r>
        <w:rPr>
          <w:rFonts w:hint="eastAsia" w:ascii="宋体" w:hAnsi="宋体"/>
          <w:sz w:val="28"/>
          <w:szCs w:val="28"/>
        </w:rPr>
        <w:t>1）表示很严格，非这样做不可的用词：</w:t>
      </w:r>
    </w:p>
    <w:p w14:paraId="36CFF34A">
      <w:pPr>
        <w:widowControl/>
        <w:snapToGrid w:val="0"/>
        <w:spacing w:line="300" w:lineRule="auto"/>
        <w:ind w:left="566" w:leftChars="272" w:firstLine="576" w:firstLineChars="200"/>
        <w:jc w:val="left"/>
        <w:rPr>
          <w:rFonts w:ascii="宋体" w:hAnsi="宋体"/>
          <w:sz w:val="28"/>
          <w:szCs w:val="28"/>
        </w:rPr>
      </w:pPr>
      <w:r>
        <w:rPr>
          <w:rFonts w:hint="eastAsia" w:ascii="宋体" w:hAnsi="宋体"/>
          <w:sz w:val="28"/>
          <w:szCs w:val="28"/>
        </w:rPr>
        <w:t>正面词采用“必须”，反面词采用“严禁”；</w:t>
      </w:r>
    </w:p>
    <w:p w14:paraId="366DDBE7">
      <w:pPr>
        <w:widowControl/>
        <w:snapToGrid w:val="0"/>
        <w:spacing w:line="300" w:lineRule="auto"/>
        <w:ind w:left="566" w:leftChars="272"/>
        <w:jc w:val="left"/>
        <w:rPr>
          <w:rFonts w:ascii="宋体" w:hAnsi="宋体"/>
          <w:sz w:val="28"/>
          <w:szCs w:val="28"/>
        </w:rPr>
      </w:pPr>
      <w:r>
        <w:rPr>
          <w:rFonts w:hint="eastAsia" w:ascii="宋体" w:hAnsi="宋体"/>
          <w:sz w:val="28"/>
          <w:szCs w:val="28"/>
        </w:rPr>
        <w:t>2）表示严格，在正常情况下均应这样做的用词：</w:t>
      </w:r>
    </w:p>
    <w:p w14:paraId="627ACE41">
      <w:pPr>
        <w:widowControl/>
        <w:snapToGrid w:val="0"/>
        <w:spacing w:line="300" w:lineRule="auto"/>
        <w:ind w:left="566" w:leftChars="272" w:firstLine="576" w:firstLineChars="200"/>
        <w:jc w:val="left"/>
        <w:rPr>
          <w:rFonts w:ascii="宋体" w:hAnsi="宋体"/>
          <w:sz w:val="28"/>
          <w:szCs w:val="28"/>
        </w:rPr>
      </w:pPr>
      <w:r>
        <w:rPr>
          <w:rFonts w:hint="eastAsia" w:ascii="宋体" w:hAnsi="宋体"/>
          <w:sz w:val="28"/>
          <w:szCs w:val="28"/>
        </w:rPr>
        <w:t>正面词采用“应”，反面词采用“不应”或“不得”；</w:t>
      </w:r>
    </w:p>
    <w:p w14:paraId="08F8C922">
      <w:pPr>
        <w:widowControl/>
        <w:snapToGrid w:val="0"/>
        <w:spacing w:line="300" w:lineRule="auto"/>
        <w:ind w:left="566" w:leftChars="272"/>
        <w:jc w:val="left"/>
        <w:rPr>
          <w:rFonts w:ascii="宋体" w:hAnsi="宋体"/>
          <w:sz w:val="28"/>
          <w:szCs w:val="28"/>
        </w:rPr>
      </w:pPr>
      <w:r>
        <w:rPr>
          <w:rFonts w:hint="eastAsia" w:ascii="宋体" w:hAnsi="宋体"/>
          <w:sz w:val="28"/>
          <w:szCs w:val="28"/>
        </w:rPr>
        <w:t>3）表示允许稍有选择，在条件许可时首先应这样做的用词：</w:t>
      </w:r>
    </w:p>
    <w:p w14:paraId="68B0004D">
      <w:pPr>
        <w:widowControl/>
        <w:snapToGrid w:val="0"/>
        <w:spacing w:line="300" w:lineRule="auto"/>
        <w:ind w:left="566" w:leftChars="272" w:firstLine="576" w:firstLineChars="200"/>
        <w:jc w:val="left"/>
        <w:rPr>
          <w:rFonts w:ascii="宋体" w:hAnsi="宋体"/>
          <w:sz w:val="28"/>
          <w:szCs w:val="28"/>
        </w:rPr>
      </w:pPr>
      <w:r>
        <w:rPr>
          <w:rFonts w:hint="eastAsia" w:ascii="宋体" w:hAnsi="宋体"/>
          <w:sz w:val="28"/>
          <w:szCs w:val="28"/>
        </w:rPr>
        <w:t>正面词采用“宜”，反面词采用“不宜”；</w:t>
      </w:r>
    </w:p>
    <w:p w14:paraId="393E1AC9">
      <w:pPr>
        <w:widowControl/>
        <w:snapToGrid w:val="0"/>
        <w:spacing w:line="300" w:lineRule="auto"/>
        <w:ind w:left="566" w:leftChars="272"/>
        <w:jc w:val="left"/>
        <w:rPr>
          <w:rFonts w:ascii="宋体" w:hAnsi="宋体"/>
          <w:sz w:val="28"/>
          <w:szCs w:val="28"/>
        </w:rPr>
      </w:pPr>
      <w:r>
        <w:rPr>
          <w:rFonts w:hint="eastAsia" w:ascii="宋体" w:hAnsi="宋体"/>
          <w:sz w:val="28"/>
          <w:szCs w:val="28"/>
        </w:rPr>
        <w:t>4）表示有选择，在一定条件下可以这样做的用词，采用“可”。</w:t>
      </w:r>
    </w:p>
    <w:p w14:paraId="67F670F8">
      <w:pPr>
        <w:widowControl/>
        <w:snapToGrid w:val="0"/>
        <w:spacing w:line="300" w:lineRule="auto"/>
        <w:ind w:firstLine="576" w:firstLineChars="200"/>
        <w:jc w:val="left"/>
        <w:rPr>
          <w:rFonts w:ascii="宋体" w:hAnsi="宋体"/>
          <w:color w:val="FF0000"/>
          <w:sz w:val="28"/>
          <w:szCs w:val="28"/>
        </w:rPr>
      </w:pPr>
      <w:r>
        <w:rPr>
          <w:rFonts w:hint="eastAsia" w:ascii="宋体" w:hAnsi="宋体"/>
          <w:sz w:val="28"/>
          <w:szCs w:val="28"/>
        </w:rPr>
        <w:t>2  本规范中指明应按其他有关标准执行的写法为“应符合……的规定”或“应按……执行”</w:t>
      </w:r>
      <w:r>
        <w:rPr>
          <w:rFonts w:ascii="宋体" w:hAnsi="宋体"/>
          <w:sz w:val="28"/>
          <w:szCs w:val="28"/>
        </w:rPr>
        <w:t>。</w:t>
      </w:r>
    </w:p>
    <w:p w14:paraId="4A6A724F">
      <w:pPr>
        <w:widowControl/>
        <w:snapToGrid w:val="0"/>
        <w:spacing w:line="300" w:lineRule="auto"/>
        <w:jc w:val="left"/>
        <w:rPr>
          <w:rFonts w:ascii="宋体" w:hAnsi="宋体"/>
          <w:color w:val="FF0000"/>
          <w:sz w:val="28"/>
          <w:szCs w:val="28"/>
        </w:rPr>
      </w:pPr>
    </w:p>
    <w:p w14:paraId="15FCC7E0">
      <w:pPr>
        <w:widowControl/>
        <w:jc w:val="left"/>
        <w:rPr>
          <w:rFonts w:ascii="宋体" w:hAnsi="宋体"/>
          <w:color w:val="FF0000"/>
          <w:sz w:val="28"/>
          <w:szCs w:val="28"/>
        </w:rPr>
      </w:pPr>
      <w:r>
        <w:rPr>
          <w:rFonts w:ascii="宋体" w:hAnsi="宋体"/>
          <w:color w:val="FF0000"/>
          <w:sz w:val="28"/>
          <w:szCs w:val="28"/>
        </w:rPr>
        <w:br w:type="page"/>
      </w:r>
    </w:p>
    <w:p w14:paraId="3550403E">
      <w:pPr>
        <w:pStyle w:val="3"/>
        <w:spacing w:line="360" w:lineRule="auto"/>
        <w:rPr>
          <w:sz w:val="44"/>
          <w:szCs w:val="44"/>
        </w:rPr>
      </w:pPr>
      <w:bookmarkStart w:id="141" w:name="_Toc151063000"/>
      <w:bookmarkStart w:id="142" w:name="_Toc151062669"/>
      <w:bookmarkStart w:id="143" w:name="_Toc151063137"/>
      <w:r>
        <w:rPr>
          <w:rFonts w:hint="eastAsia"/>
          <w:sz w:val="44"/>
          <w:szCs w:val="44"/>
        </w:rPr>
        <w:t>引用标准名录</w:t>
      </w:r>
      <w:bookmarkEnd w:id="141"/>
      <w:bookmarkEnd w:id="142"/>
      <w:bookmarkEnd w:id="143"/>
    </w:p>
    <w:p w14:paraId="2D2F4CF8">
      <w:pPr>
        <w:pStyle w:val="110"/>
        <w:widowControl/>
        <w:numPr>
          <w:ilvl w:val="0"/>
          <w:numId w:val="13"/>
        </w:numPr>
        <w:snapToGrid w:val="0"/>
        <w:spacing w:line="300" w:lineRule="auto"/>
        <w:ind w:firstLineChars="0"/>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《建筑防火通用规范》GB55037</w:t>
      </w:r>
    </w:p>
    <w:p w14:paraId="49AC57F0">
      <w:pPr>
        <w:pStyle w:val="110"/>
        <w:widowControl/>
        <w:numPr>
          <w:ilvl w:val="0"/>
          <w:numId w:val="13"/>
        </w:numPr>
        <w:snapToGrid w:val="0"/>
        <w:spacing w:line="300" w:lineRule="auto"/>
        <w:ind w:firstLineChars="0"/>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《消防设施通用规范》GB55036</w:t>
      </w:r>
    </w:p>
    <w:p w14:paraId="57964DA4">
      <w:pPr>
        <w:pStyle w:val="110"/>
        <w:widowControl/>
        <w:numPr>
          <w:ilvl w:val="0"/>
          <w:numId w:val="13"/>
        </w:numPr>
        <w:snapToGrid w:val="0"/>
        <w:spacing w:line="300" w:lineRule="auto"/>
        <w:ind w:firstLineChars="0"/>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《建筑设计防火规范》GB50016</w:t>
      </w:r>
    </w:p>
    <w:p w14:paraId="01CB8A7E">
      <w:pPr>
        <w:pStyle w:val="110"/>
        <w:widowControl/>
        <w:numPr>
          <w:ilvl w:val="0"/>
          <w:numId w:val="13"/>
        </w:numPr>
        <w:snapToGrid w:val="0"/>
        <w:spacing w:line="300" w:lineRule="auto"/>
        <w:ind w:firstLineChars="0"/>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《汽车库、修车库、停车场设计防火规范》GB50067</w:t>
      </w:r>
    </w:p>
    <w:p w14:paraId="77B8FBD9">
      <w:pPr>
        <w:pStyle w:val="110"/>
        <w:widowControl/>
        <w:numPr>
          <w:ilvl w:val="0"/>
          <w:numId w:val="13"/>
        </w:numPr>
        <w:snapToGrid w:val="0"/>
        <w:spacing w:line="300" w:lineRule="auto"/>
        <w:ind w:firstLineChars="0"/>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《建筑防烟排烟系统技术标准》GB51251</w:t>
      </w:r>
    </w:p>
    <w:p w14:paraId="300E196D">
      <w:pPr>
        <w:pStyle w:val="110"/>
        <w:widowControl/>
        <w:numPr>
          <w:ilvl w:val="0"/>
          <w:numId w:val="13"/>
        </w:numPr>
        <w:snapToGrid w:val="0"/>
        <w:spacing w:line="300" w:lineRule="auto"/>
        <w:ind w:firstLineChars="0"/>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《建筑内部装修设计防火规范》GB50222</w:t>
      </w:r>
    </w:p>
    <w:p w14:paraId="3465CBCE">
      <w:pPr>
        <w:pStyle w:val="110"/>
        <w:widowControl/>
        <w:numPr>
          <w:ilvl w:val="0"/>
          <w:numId w:val="13"/>
        </w:numPr>
        <w:snapToGrid w:val="0"/>
        <w:spacing w:line="300" w:lineRule="auto"/>
        <w:ind w:firstLineChars="0"/>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《人民防空工程设计防火规范》GB50098</w:t>
      </w:r>
    </w:p>
    <w:p w14:paraId="7D90F00B">
      <w:pPr>
        <w:pStyle w:val="110"/>
        <w:widowControl/>
        <w:numPr>
          <w:ilvl w:val="0"/>
          <w:numId w:val="13"/>
        </w:numPr>
        <w:snapToGrid w:val="0"/>
        <w:spacing w:line="300" w:lineRule="auto"/>
        <w:ind w:firstLineChars="0"/>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《自然排烟系统设计、施工及验收规范》DB11/1025</w:t>
      </w:r>
    </w:p>
    <w:p w14:paraId="7F9B8D6C">
      <w:pPr>
        <w:pStyle w:val="110"/>
        <w:widowControl/>
        <w:numPr>
          <w:ilvl w:val="0"/>
          <w:numId w:val="13"/>
        </w:numPr>
        <w:snapToGrid w:val="0"/>
        <w:spacing w:line="300" w:lineRule="auto"/>
        <w:ind w:firstLineChars="0"/>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《消防安全疏散标志设置标准》DB11∕1024</w:t>
      </w:r>
    </w:p>
    <w:p w14:paraId="672E3BB0">
      <w:pPr>
        <w:widowControl/>
        <w:snapToGrid w:val="0"/>
        <w:spacing w:line="300" w:lineRule="auto"/>
        <w:jc w:val="left"/>
        <w:rPr>
          <w:rFonts w:ascii="宋体" w:hAnsi="宋体"/>
          <w:color w:val="FF0000"/>
          <w:sz w:val="28"/>
          <w:szCs w:val="28"/>
        </w:rPr>
      </w:pPr>
    </w:p>
    <w:p w14:paraId="292CAC3E">
      <w:pPr>
        <w:widowControl/>
        <w:jc w:val="left"/>
        <w:rPr>
          <w:rFonts w:ascii="宋体" w:hAnsi="宋体"/>
          <w:color w:val="FF0000"/>
          <w:sz w:val="28"/>
          <w:szCs w:val="28"/>
        </w:rPr>
      </w:pPr>
    </w:p>
    <w:p w14:paraId="7712D4D4">
      <w:pPr>
        <w:widowControl/>
        <w:jc w:val="left"/>
        <w:rPr>
          <w:rFonts w:ascii="宋体" w:hAnsi="宋体"/>
          <w:color w:val="FF0000"/>
          <w:sz w:val="28"/>
          <w:szCs w:val="28"/>
        </w:rPr>
        <w:sectPr>
          <w:pgSz w:w="11907" w:h="16840"/>
          <w:pgMar w:top="1418" w:right="1276" w:bottom="1134" w:left="1276" w:header="1418" w:footer="851" w:gutter="0"/>
          <w:cols w:space="425" w:num="1"/>
          <w:docGrid w:type="lines" w:linePitch="324" w:charSpace="0"/>
        </w:sectPr>
      </w:pPr>
    </w:p>
    <w:p w14:paraId="43632526">
      <w:pPr>
        <w:widowControl/>
        <w:jc w:val="left"/>
        <w:rPr>
          <w:rFonts w:eastAsia="黑体"/>
          <w:sz w:val="32"/>
        </w:rPr>
      </w:pPr>
    </w:p>
    <w:p w14:paraId="13BE3745">
      <w:pPr>
        <w:widowControl/>
        <w:jc w:val="left"/>
        <w:rPr>
          <w:rFonts w:eastAsia="黑体"/>
          <w:sz w:val="32"/>
        </w:rPr>
      </w:pPr>
    </w:p>
    <w:p w14:paraId="4A8C28D5">
      <w:pPr>
        <w:widowControl/>
        <w:jc w:val="left"/>
        <w:rPr>
          <w:rFonts w:eastAsia="黑体"/>
          <w:sz w:val="32"/>
        </w:rPr>
      </w:pPr>
    </w:p>
    <w:p w14:paraId="481B2410">
      <w:pPr>
        <w:widowControl/>
        <w:jc w:val="left"/>
        <w:rPr>
          <w:rFonts w:eastAsia="黑体"/>
          <w:sz w:val="32"/>
        </w:rPr>
      </w:pPr>
    </w:p>
    <w:p w14:paraId="1835A0AA">
      <w:pPr>
        <w:widowControl/>
        <w:jc w:val="center"/>
        <w:rPr>
          <w:rFonts w:eastAsia="黑体"/>
          <w:sz w:val="32"/>
        </w:rPr>
      </w:pPr>
      <w:r>
        <w:rPr>
          <w:rFonts w:hint="eastAsia" w:eastAsia="黑体"/>
          <w:sz w:val="32"/>
        </w:rPr>
        <w:t>北 京 市 地 方 标 准</w:t>
      </w:r>
    </w:p>
    <w:p w14:paraId="3FBBFE82">
      <w:pPr>
        <w:widowControl/>
        <w:jc w:val="left"/>
        <w:rPr>
          <w:rFonts w:eastAsia="黑体"/>
          <w:sz w:val="32"/>
        </w:rPr>
      </w:pPr>
    </w:p>
    <w:p w14:paraId="22DE3B92">
      <w:pPr>
        <w:widowControl/>
        <w:jc w:val="left"/>
        <w:rPr>
          <w:rFonts w:eastAsia="黑体"/>
          <w:sz w:val="32"/>
        </w:rPr>
      </w:pPr>
    </w:p>
    <w:p w14:paraId="325FBE25">
      <w:pPr>
        <w:widowControl/>
        <w:jc w:val="center"/>
        <w:rPr>
          <w:rFonts w:eastAsia="黑体"/>
          <w:sz w:val="44"/>
          <w:szCs w:val="44"/>
        </w:rPr>
      </w:pPr>
      <w:r>
        <w:rPr>
          <w:rFonts w:hint="eastAsia" w:eastAsia="黑体"/>
          <w:sz w:val="44"/>
          <w:szCs w:val="44"/>
        </w:rPr>
        <w:t>既有建筑改造防火设计标准</w:t>
      </w:r>
    </w:p>
    <w:p w14:paraId="35C6A047">
      <w:pPr>
        <w:widowControl/>
        <w:jc w:val="center"/>
        <w:rPr>
          <w:color w:val="FF0000"/>
          <w:kern w:val="0"/>
          <w:sz w:val="30"/>
          <w:szCs w:val="30"/>
        </w:rPr>
      </w:pPr>
      <w:r>
        <w:rPr>
          <w:color w:val="000000" w:themeColor="text1"/>
          <w:kern w:val="0"/>
          <w:sz w:val="30"/>
          <w:szCs w:val="30"/>
          <w14:textFill>
            <w14:solidFill>
              <w14:schemeClr w14:val="tx1"/>
            </w14:solidFill>
          </w14:textFill>
        </w:rPr>
        <w:t xml:space="preserve">Standard for </w:t>
      </w:r>
      <w:r>
        <w:rPr>
          <w:rFonts w:hint="eastAsia"/>
          <w:color w:val="000000" w:themeColor="text1"/>
          <w:kern w:val="0"/>
          <w:sz w:val="30"/>
          <w:szCs w:val="30"/>
          <w14:textFill>
            <w14:solidFill>
              <w14:schemeClr w14:val="tx1"/>
            </w14:solidFill>
          </w14:textFill>
        </w:rPr>
        <w:t>f</w:t>
      </w:r>
      <w:r>
        <w:rPr>
          <w:color w:val="000000" w:themeColor="text1"/>
          <w:kern w:val="0"/>
          <w:sz w:val="30"/>
          <w:szCs w:val="30"/>
          <w14:textFill>
            <w14:solidFill>
              <w14:schemeClr w14:val="tx1"/>
            </w14:solidFill>
          </w14:textFill>
        </w:rPr>
        <w:t xml:space="preserve">ire </w:t>
      </w:r>
      <w:r>
        <w:rPr>
          <w:rFonts w:hint="eastAsia"/>
          <w:color w:val="000000" w:themeColor="text1"/>
          <w:kern w:val="0"/>
          <w:sz w:val="30"/>
          <w:szCs w:val="30"/>
          <w14:textFill>
            <w14:solidFill>
              <w14:schemeClr w14:val="tx1"/>
            </w14:solidFill>
          </w14:textFill>
        </w:rPr>
        <w:t>p</w:t>
      </w:r>
      <w:r>
        <w:rPr>
          <w:color w:val="000000" w:themeColor="text1"/>
          <w:kern w:val="0"/>
          <w:sz w:val="30"/>
          <w:szCs w:val="30"/>
          <w14:textFill>
            <w14:solidFill>
              <w14:schemeClr w14:val="tx1"/>
            </w14:solidFill>
          </w14:textFill>
        </w:rPr>
        <w:t xml:space="preserve">rotection </w:t>
      </w:r>
      <w:r>
        <w:rPr>
          <w:rFonts w:hint="eastAsia"/>
          <w:color w:val="000000" w:themeColor="text1"/>
          <w:kern w:val="0"/>
          <w:sz w:val="30"/>
          <w:szCs w:val="30"/>
          <w14:textFill>
            <w14:solidFill>
              <w14:schemeClr w14:val="tx1"/>
            </w14:solidFill>
          </w14:textFill>
        </w:rPr>
        <w:t>d</w:t>
      </w:r>
      <w:r>
        <w:rPr>
          <w:color w:val="000000" w:themeColor="text1"/>
          <w:kern w:val="0"/>
          <w:sz w:val="30"/>
          <w:szCs w:val="30"/>
          <w14:textFill>
            <w14:solidFill>
              <w14:schemeClr w14:val="tx1"/>
            </w14:solidFill>
          </w14:textFill>
        </w:rPr>
        <w:t xml:space="preserve">esign of </w:t>
      </w:r>
      <w:r>
        <w:rPr>
          <w:rFonts w:hint="eastAsia"/>
          <w:color w:val="000000" w:themeColor="text1"/>
          <w:kern w:val="0"/>
          <w:sz w:val="30"/>
          <w:szCs w:val="30"/>
          <w14:textFill>
            <w14:solidFill>
              <w14:schemeClr w14:val="tx1"/>
            </w14:solidFill>
          </w14:textFill>
        </w:rPr>
        <w:t>e</w:t>
      </w:r>
      <w:r>
        <w:rPr>
          <w:color w:val="000000" w:themeColor="text1"/>
          <w:kern w:val="0"/>
          <w:sz w:val="30"/>
          <w:szCs w:val="30"/>
          <w14:textFill>
            <w14:solidFill>
              <w14:schemeClr w14:val="tx1"/>
            </w14:solidFill>
          </w14:textFill>
        </w:rPr>
        <w:t xml:space="preserve">xisting </w:t>
      </w:r>
      <w:r>
        <w:rPr>
          <w:rFonts w:hint="eastAsia"/>
          <w:color w:val="000000" w:themeColor="text1"/>
          <w:kern w:val="0"/>
          <w:sz w:val="30"/>
          <w:szCs w:val="30"/>
          <w14:textFill>
            <w14:solidFill>
              <w14:schemeClr w14:val="tx1"/>
            </w14:solidFill>
          </w14:textFill>
        </w:rPr>
        <w:t>b</w:t>
      </w:r>
      <w:r>
        <w:rPr>
          <w:color w:val="000000" w:themeColor="text1"/>
          <w:kern w:val="0"/>
          <w:sz w:val="30"/>
          <w:szCs w:val="30"/>
          <w14:textFill>
            <w14:solidFill>
              <w14:schemeClr w14:val="tx1"/>
            </w14:solidFill>
          </w14:textFill>
        </w:rPr>
        <w:t xml:space="preserve">uilding </w:t>
      </w:r>
      <w:r>
        <w:rPr>
          <w:rFonts w:hint="eastAsia"/>
          <w:color w:val="000000" w:themeColor="text1"/>
          <w:kern w:val="0"/>
          <w:sz w:val="30"/>
          <w:szCs w:val="30"/>
          <w14:textFill>
            <w14:solidFill>
              <w14:schemeClr w14:val="tx1"/>
            </w14:solidFill>
          </w14:textFill>
        </w:rPr>
        <w:t>r</w:t>
      </w:r>
      <w:r>
        <w:rPr>
          <w:color w:val="000000" w:themeColor="text1"/>
          <w:kern w:val="0"/>
          <w:sz w:val="30"/>
          <w:szCs w:val="30"/>
          <w14:textFill>
            <w14:solidFill>
              <w14:schemeClr w14:val="tx1"/>
            </w14:solidFill>
          </w14:textFill>
        </w:rPr>
        <w:t xml:space="preserve">enovation </w:t>
      </w:r>
      <w:r>
        <w:rPr>
          <w:rFonts w:hint="eastAsia"/>
          <w:color w:val="000000" w:themeColor="text1"/>
          <w:kern w:val="0"/>
          <w:sz w:val="30"/>
          <w:szCs w:val="30"/>
          <w14:textFill>
            <w14:solidFill>
              <w14:schemeClr w14:val="tx1"/>
            </w14:solidFill>
          </w14:textFill>
        </w:rPr>
        <w:t>p</w:t>
      </w:r>
      <w:r>
        <w:rPr>
          <w:color w:val="000000" w:themeColor="text1"/>
          <w:kern w:val="0"/>
          <w:sz w:val="30"/>
          <w:szCs w:val="30"/>
          <w14:textFill>
            <w14:solidFill>
              <w14:schemeClr w14:val="tx1"/>
            </w14:solidFill>
          </w14:textFill>
        </w:rPr>
        <w:t>rojects</w:t>
      </w:r>
    </w:p>
    <w:p w14:paraId="669A12F0">
      <w:pPr>
        <w:widowControl/>
        <w:jc w:val="left"/>
        <w:rPr>
          <w:rFonts w:eastAsia="黑体"/>
          <w:sz w:val="32"/>
        </w:rPr>
      </w:pPr>
    </w:p>
    <w:p w14:paraId="609EBB69">
      <w:pPr>
        <w:widowControl/>
        <w:jc w:val="center"/>
        <w:rPr>
          <w:rFonts w:eastAsia="黑体"/>
          <w:color w:val="000000" w:themeColor="text1"/>
          <w:sz w:val="32"/>
          <w14:textFill>
            <w14:solidFill>
              <w14:schemeClr w14:val="tx1"/>
            </w14:solidFill>
          </w14:textFill>
        </w:rPr>
      </w:pPr>
      <w:r>
        <w:rPr>
          <w:rFonts w:hint="eastAsia" w:eastAsia="黑体"/>
          <w:color w:val="000000" w:themeColor="text1"/>
          <w:sz w:val="32"/>
          <w14:textFill>
            <w14:solidFill>
              <w14:schemeClr w14:val="tx1"/>
            </w14:solidFill>
          </w14:textFill>
        </w:rPr>
        <w:t>DB11/T  xxxx—20xx</w:t>
      </w:r>
    </w:p>
    <w:p w14:paraId="63B640D3">
      <w:pPr>
        <w:widowControl/>
        <w:jc w:val="left"/>
        <w:rPr>
          <w:rFonts w:eastAsia="黑体"/>
          <w:sz w:val="32"/>
        </w:rPr>
      </w:pPr>
    </w:p>
    <w:p w14:paraId="1E05DAD9">
      <w:pPr>
        <w:pStyle w:val="3"/>
        <w:spacing w:line="360" w:lineRule="auto"/>
        <w:rPr>
          <w:sz w:val="28"/>
          <w:szCs w:val="28"/>
        </w:rPr>
      </w:pPr>
      <w:bookmarkStart w:id="144" w:name="_Toc151063138"/>
      <w:bookmarkStart w:id="145" w:name="_Toc151063001"/>
      <w:bookmarkStart w:id="146" w:name="_Toc151062670"/>
      <w:r>
        <w:rPr>
          <w:rFonts w:hint="eastAsia"/>
          <w:sz w:val="28"/>
          <w:szCs w:val="28"/>
        </w:rPr>
        <w:t>条文说明</w:t>
      </w:r>
      <w:bookmarkEnd w:id="144"/>
      <w:bookmarkEnd w:id="145"/>
      <w:bookmarkEnd w:id="146"/>
    </w:p>
    <w:p w14:paraId="57CBD682">
      <w:pPr>
        <w:widowControl/>
        <w:jc w:val="left"/>
        <w:rPr>
          <w:rFonts w:asciiTheme="minorEastAsia" w:hAnsiTheme="minorEastAsia" w:eastAsiaTheme="minorEastAsia"/>
          <w:color w:val="FF0000"/>
          <w:sz w:val="28"/>
          <w:szCs w:val="28"/>
        </w:rPr>
      </w:pPr>
    </w:p>
    <w:p w14:paraId="4083BF07">
      <w:pPr>
        <w:widowControl/>
        <w:jc w:val="left"/>
        <w:rPr>
          <w:rFonts w:asciiTheme="minorEastAsia" w:hAnsiTheme="minorEastAsia" w:eastAsiaTheme="minorEastAsia"/>
          <w:color w:val="FF0000"/>
          <w:sz w:val="28"/>
          <w:szCs w:val="28"/>
        </w:rPr>
      </w:pPr>
    </w:p>
    <w:p w14:paraId="0439A580">
      <w:pPr>
        <w:widowControl/>
        <w:jc w:val="left"/>
        <w:rPr>
          <w:rFonts w:eastAsia="黑体"/>
          <w:sz w:val="32"/>
        </w:rPr>
      </w:pPr>
    </w:p>
    <w:p w14:paraId="41A96315">
      <w:pPr>
        <w:widowControl/>
        <w:jc w:val="left"/>
        <w:rPr>
          <w:rFonts w:eastAsia="黑体"/>
          <w:sz w:val="32"/>
        </w:rPr>
      </w:pPr>
    </w:p>
    <w:p w14:paraId="19386E7A">
      <w:pPr>
        <w:widowControl/>
        <w:jc w:val="left"/>
        <w:rPr>
          <w:rFonts w:eastAsia="黑体"/>
          <w:sz w:val="32"/>
        </w:rPr>
      </w:pPr>
    </w:p>
    <w:p w14:paraId="7BB5C642">
      <w:pPr>
        <w:widowControl/>
        <w:jc w:val="left"/>
        <w:rPr>
          <w:rFonts w:eastAsia="黑体"/>
          <w:sz w:val="32"/>
        </w:rPr>
      </w:pPr>
    </w:p>
    <w:p w14:paraId="0FA37CC9">
      <w:pPr>
        <w:widowControl/>
        <w:jc w:val="center"/>
        <w:rPr>
          <w:rFonts w:eastAsia="黑体"/>
          <w:sz w:val="32"/>
        </w:rPr>
      </w:pPr>
      <w:r>
        <w:rPr>
          <w:rFonts w:hint="eastAsia" w:eastAsia="黑体"/>
          <w:sz w:val="32"/>
        </w:rPr>
        <w:t>20xx  北京</w:t>
      </w:r>
    </w:p>
    <w:p w14:paraId="36558D53">
      <w:pPr>
        <w:widowControl/>
        <w:rPr>
          <w:rFonts w:ascii="宋体" w:hAnsi="宋体"/>
          <w:color w:val="FF0000"/>
          <w:sz w:val="28"/>
          <w:szCs w:val="28"/>
        </w:rPr>
      </w:pPr>
    </w:p>
    <w:p w14:paraId="70DA924F">
      <w:pPr>
        <w:widowControl/>
        <w:jc w:val="left"/>
        <w:rPr>
          <w:rFonts w:ascii="宋体" w:hAnsi="宋体"/>
          <w:color w:val="FF0000"/>
          <w:sz w:val="28"/>
          <w:szCs w:val="28"/>
        </w:rPr>
        <w:sectPr>
          <w:footerReference r:id="rId6" w:type="default"/>
          <w:pgSz w:w="11907" w:h="16840"/>
          <w:pgMar w:top="1418" w:right="1276" w:bottom="1134" w:left="1276" w:header="1418" w:footer="851" w:gutter="0"/>
          <w:pgNumType w:start="1"/>
          <w:cols w:space="425" w:num="1"/>
          <w:docGrid w:type="lines" w:linePitch="324" w:charSpace="0"/>
        </w:sectPr>
      </w:pPr>
    </w:p>
    <w:p w14:paraId="3BB5F32B">
      <w:pPr>
        <w:widowControl/>
        <w:jc w:val="center"/>
        <w:rPr>
          <w:rFonts w:eastAsia="黑体"/>
          <w:sz w:val="36"/>
          <w:szCs w:val="36"/>
        </w:rPr>
      </w:pPr>
      <w:r>
        <w:rPr>
          <w:rFonts w:hint="eastAsia" w:eastAsia="黑体"/>
          <w:sz w:val="36"/>
          <w:szCs w:val="36"/>
        </w:rPr>
        <w:t>目  次</w:t>
      </w:r>
    </w:p>
    <w:p w14:paraId="06E50E3B">
      <w:pPr>
        <w:pStyle w:val="28"/>
        <w:rPr>
          <w:rFonts w:asciiTheme="minorEastAsia" w:hAnsiTheme="minorEastAsia" w:eastAsiaTheme="minorEastAsia" w:cstheme="minorBidi"/>
          <w:spacing w:val="0"/>
          <w:sz w:val="24"/>
        </w:rPr>
      </w:pPr>
      <w:r>
        <w:rPr>
          <w:rStyle w:val="39"/>
          <w:rFonts w:asciiTheme="minorEastAsia" w:hAnsiTheme="minorEastAsia" w:eastAsiaTheme="minorEastAsia"/>
          <w:color w:val="000000" w:themeColor="text1"/>
          <w:sz w:val="24"/>
          <w:u w:val="none"/>
          <w14:textFill>
            <w14:solidFill>
              <w14:schemeClr w14:val="tx1"/>
            </w14:solidFill>
          </w14:textFill>
        </w:rPr>
        <w:t xml:space="preserve">1  </w:t>
      </w:r>
      <w:r>
        <w:rPr>
          <w:rStyle w:val="39"/>
          <w:rFonts w:hint="eastAsia" w:asciiTheme="minorEastAsia" w:hAnsiTheme="minorEastAsia" w:eastAsiaTheme="minorEastAsia"/>
          <w:color w:val="000000" w:themeColor="text1"/>
          <w:sz w:val="24"/>
          <w:u w:val="none"/>
          <w14:textFill>
            <w14:solidFill>
              <w14:schemeClr w14:val="tx1"/>
            </w14:solidFill>
          </w14:textFill>
        </w:rPr>
        <w:t>总</w:t>
      </w:r>
      <w:r>
        <w:rPr>
          <w:rStyle w:val="39"/>
          <w:rFonts w:asciiTheme="minorEastAsia" w:hAnsiTheme="minorEastAsia" w:eastAsiaTheme="minorEastAsia"/>
          <w:color w:val="000000" w:themeColor="text1"/>
          <w:sz w:val="24"/>
          <w:u w:val="none"/>
          <w14:textFill>
            <w14:solidFill>
              <w14:schemeClr w14:val="tx1"/>
            </w14:solidFill>
          </w14:textFill>
        </w:rPr>
        <w:t xml:space="preserve">  </w:t>
      </w:r>
      <w:r>
        <w:rPr>
          <w:rStyle w:val="39"/>
          <w:rFonts w:hint="eastAsia" w:asciiTheme="minorEastAsia" w:hAnsiTheme="minorEastAsia" w:eastAsiaTheme="minorEastAsia"/>
          <w:color w:val="000000" w:themeColor="text1"/>
          <w:sz w:val="24"/>
          <w:u w:val="none"/>
          <w14:textFill>
            <w14:solidFill>
              <w14:schemeClr w14:val="tx1"/>
            </w14:solidFill>
          </w14:textFill>
        </w:rPr>
        <w:t xml:space="preserve"> </w:t>
      </w:r>
      <w:r>
        <w:rPr>
          <w:rStyle w:val="39"/>
          <w:rFonts w:asciiTheme="minorEastAsia" w:hAnsiTheme="minorEastAsia" w:eastAsiaTheme="minorEastAsia"/>
          <w:color w:val="000000" w:themeColor="text1"/>
          <w:sz w:val="24"/>
          <w:u w:val="none"/>
          <w14:textFill>
            <w14:solidFill>
              <w14:schemeClr w14:val="tx1"/>
            </w14:solidFill>
          </w14:textFill>
        </w:rPr>
        <w:t xml:space="preserve"> </w:t>
      </w:r>
      <w:r>
        <w:rPr>
          <w:rStyle w:val="39"/>
          <w:rFonts w:hint="eastAsia" w:asciiTheme="minorEastAsia" w:hAnsiTheme="minorEastAsia" w:eastAsiaTheme="minorEastAsia"/>
          <w:color w:val="000000" w:themeColor="text1"/>
          <w:sz w:val="24"/>
          <w:u w:val="none"/>
          <w14:textFill>
            <w14:solidFill>
              <w14:schemeClr w14:val="tx1"/>
            </w14:solidFill>
          </w14:textFill>
        </w:rPr>
        <w:t>则</w:t>
      </w:r>
      <w:r>
        <w:rPr>
          <w:rStyle w:val="39"/>
          <w:rFonts w:asciiTheme="minorEastAsia" w:hAnsiTheme="minorEastAsia" w:eastAsiaTheme="minorEastAsia"/>
          <w:color w:val="000000" w:themeColor="text1"/>
          <w:sz w:val="24"/>
          <w:u w:val="none"/>
          <w14:textFill>
            <w14:solidFill>
              <w14:schemeClr w14:val="tx1"/>
            </w14:solidFill>
          </w14:textFill>
        </w:rPr>
        <w:tab/>
      </w:r>
      <w:r>
        <w:rPr>
          <w:rStyle w:val="39"/>
          <w:rFonts w:hint="eastAsia" w:asciiTheme="minorEastAsia" w:hAnsiTheme="minorEastAsia" w:eastAsiaTheme="minorEastAsia"/>
          <w:color w:val="000000" w:themeColor="text1"/>
          <w:sz w:val="24"/>
          <w:u w:val="none"/>
          <w14:textFill>
            <w14:solidFill>
              <w14:schemeClr w14:val="tx1"/>
            </w14:solidFill>
          </w14:textFill>
        </w:rPr>
        <w:t>2</w:t>
      </w:r>
    </w:p>
    <w:p w14:paraId="5142C44A">
      <w:pPr>
        <w:pStyle w:val="28"/>
        <w:rPr>
          <w:rStyle w:val="39"/>
          <w:rFonts w:asciiTheme="minorEastAsia" w:hAnsiTheme="minorEastAsia" w:eastAsiaTheme="minorEastAsia"/>
          <w:color w:val="000000" w:themeColor="text1"/>
          <w:sz w:val="24"/>
          <w:u w:val="none"/>
          <w14:textFill>
            <w14:solidFill>
              <w14:schemeClr w14:val="tx1"/>
            </w14:solidFill>
          </w14:textFill>
        </w:rPr>
      </w:pPr>
      <w:r>
        <w:fldChar w:fldCharType="begin"/>
      </w:r>
      <w:r>
        <w:instrText xml:space="preserve"> HYPERLINK \l "_Toc151063395" </w:instrText>
      </w:r>
      <w:r>
        <w:fldChar w:fldCharType="separate"/>
      </w:r>
      <w:r>
        <w:rPr>
          <w:rStyle w:val="39"/>
          <w:rFonts w:asciiTheme="minorEastAsia" w:hAnsiTheme="minorEastAsia" w:eastAsiaTheme="minorEastAsia"/>
          <w:color w:val="000000" w:themeColor="text1"/>
          <w:sz w:val="24"/>
          <w:u w:val="none"/>
          <w14:textFill>
            <w14:solidFill>
              <w14:schemeClr w14:val="tx1"/>
            </w14:solidFill>
          </w14:textFill>
        </w:rPr>
        <w:t xml:space="preserve">2  </w:t>
      </w:r>
      <w:r>
        <w:rPr>
          <w:rStyle w:val="39"/>
          <w:rFonts w:hint="eastAsia" w:asciiTheme="minorEastAsia" w:hAnsiTheme="minorEastAsia" w:eastAsiaTheme="minorEastAsia"/>
          <w:color w:val="000000" w:themeColor="text1"/>
          <w:sz w:val="24"/>
          <w:u w:val="none"/>
          <w14:textFill>
            <w14:solidFill>
              <w14:schemeClr w14:val="tx1"/>
            </w14:solidFill>
          </w14:textFill>
        </w:rPr>
        <w:t>术</w:t>
      </w:r>
      <w:r>
        <w:rPr>
          <w:rStyle w:val="39"/>
          <w:rFonts w:asciiTheme="minorEastAsia" w:hAnsiTheme="minorEastAsia" w:eastAsiaTheme="minorEastAsia"/>
          <w:color w:val="000000" w:themeColor="text1"/>
          <w:sz w:val="24"/>
          <w:u w:val="none"/>
          <w14:textFill>
            <w14:solidFill>
              <w14:schemeClr w14:val="tx1"/>
            </w14:solidFill>
          </w14:textFill>
        </w:rPr>
        <w:t xml:space="preserve">   </w:t>
      </w:r>
      <w:r>
        <w:rPr>
          <w:rStyle w:val="39"/>
          <w:rFonts w:hint="eastAsia" w:asciiTheme="minorEastAsia" w:hAnsiTheme="minorEastAsia" w:eastAsiaTheme="minorEastAsia"/>
          <w:color w:val="000000" w:themeColor="text1"/>
          <w:sz w:val="24"/>
          <w:u w:val="none"/>
          <w14:textFill>
            <w14:solidFill>
              <w14:schemeClr w14:val="tx1"/>
            </w14:solidFill>
          </w14:textFill>
        </w:rPr>
        <w:t xml:space="preserve"> 语</w:t>
      </w:r>
      <w:r>
        <w:rPr>
          <w:rStyle w:val="39"/>
          <w:rFonts w:asciiTheme="minorEastAsia" w:hAnsiTheme="minorEastAsia" w:eastAsiaTheme="minorEastAsia"/>
          <w:color w:val="000000" w:themeColor="text1"/>
          <w:sz w:val="24"/>
          <w:u w:val="none"/>
          <w14:textFill>
            <w14:solidFill>
              <w14:schemeClr w14:val="tx1"/>
            </w14:solidFill>
          </w14:textFill>
        </w:rPr>
        <w:tab/>
      </w:r>
      <w:r>
        <w:rPr>
          <w:rStyle w:val="39"/>
          <w:rFonts w:hint="eastAsia" w:asciiTheme="minorEastAsia" w:hAnsiTheme="minorEastAsia" w:eastAsiaTheme="minorEastAsia"/>
          <w:color w:val="000000" w:themeColor="text1"/>
          <w:sz w:val="24"/>
          <w:u w:val="none"/>
          <w14:textFill>
            <w14:solidFill>
              <w14:schemeClr w14:val="tx1"/>
            </w14:solidFill>
          </w14:textFill>
        </w:rPr>
        <w:t>4</w:t>
      </w:r>
      <w:r>
        <w:rPr>
          <w:rStyle w:val="39"/>
          <w:rFonts w:hint="eastAsia" w:asciiTheme="minorEastAsia" w:hAnsiTheme="minorEastAsia" w:eastAsiaTheme="minorEastAsia"/>
          <w:color w:val="000000" w:themeColor="text1"/>
          <w:sz w:val="24"/>
          <w:u w:val="none"/>
          <w14:textFill>
            <w14:solidFill>
              <w14:schemeClr w14:val="tx1"/>
            </w14:solidFill>
          </w14:textFill>
        </w:rPr>
        <w:fldChar w:fldCharType="end"/>
      </w:r>
    </w:p>
    <w:p w14:paraId="6703AC5D">
      <w:pPr>
        <w:pStyle w:val="28"/>
        <w:rPr>
          <w:rStyle w:val="39"/>
          <w:rFonts w:asciiTheme="minorEastAsia" w:hAnsiTheme="minorEastAsia" w:eastAsiaTheme="minorEastAsia"/>
          <w:color w:val="000000" w:themeColor="text1"/>
          <w:sz w:val="24"/>
          <w:u w:val="none"/>
          <w14:textFill>
            <w14:solidFill>
              <w14:schemeClr w14:val="tx1"/>
            </w14:solidFill>
          </w14:textFill>
        </w:rPr>
      </w:pPr>
      <w:r>
        <w:fldChar w:fldCharType="begin"/>
      </w:r>
      <w:r>
        <w:instrText xml:space="preserve"> HYPERLINK \l "_Toc151063396" </w:instrText>
      </w:r>
      <w:r>
        <w:fldChar w:fldCharType="separate"/>
      </w:r>
      <w:r>
        <w:rPr>
          <w:rStyle w:val="39"/>
          <w:rFonts w:asciiTheme="minorEastAsia" w:hAnsiTheme="minorEastAsia" w:eastAsiaTheme="minorEastAsia"/>
          <w:color w:val="000000" w:themeColor="text1"/>
          <w:sz w:val="24"/>
          <w:u w:val="none"/>
          <w14:textFill>
            <w14:solidFill>
              <w14:schemeClr w14:val="tx1"/>
            </w14:solidFill>
          </w14:textFill>
        </w:rPr>
        <w:t xml:space="preserve">3  </w:t>
      </w:r>
      <w:r>
        <w:rPr>
          <w:rStyle w:val="39"/>
          <w:rFonts w:hint="eastAsia" w:asciiTheme="minorEastAsia" w:hAnsiTheme="minorEastAsia" w:eastAsiaTheme="minorEastAsia"/>
          <w:color w:val="000000" w:themeColor="text1"/>
          <w:sz w:val="24"/>
          <w:u w:val="none"/>
          <w14:textFill>
            <w14:solidFill>
              <w14:schemeClr w14:val="tx1"/>
            </w14:solidFill>
          </w14:textFill>
        </w:rPr>
        <w:t>基本规定</w:t>
      </w:r>
      <w:r>
        <w:rPr>
          <w:rStyle w:val="39"/>
          <w:rFonts w:asciiTheme="minorEastAsia" w:hAnsiTheme="minorEastAsia" w:eastAsiaTheme="minorEastAsia"/>
          <w:color w:val="000000" w:themeColor="text1"/>
          <w:sz w:val="24"/>
          <w:u w:val="none"/>
          <w14:textFill>
            <w14:solidFill>
              <w14:schemeClr w14:val="tx1"/>
            </w14:solidFill>
          </w14:textFill>
        </w:rPr>
        <w:tab/>
      </w:r>
      <w:r>
        <w:rPr>
          <w:rStyle w:val="39"/>
          <w:rFonts w:hint="eastAsia" w:asciiTheme="minorEastAsia" w:hAnsiTheme="minorEastAsia" w:eastAsiaTheme="minorEastAsia"/>
          <w:color w:val="000000" w:themeColor="text1"/>
          <w:sz w:val="24"/>
          <w:u w:val="none"/>
          <w14:textFill>
            <w14:solidFill>
              <w14:schemeClr w14:val="tx1"/>
            </w14:solidFill>
          </w14:textFill>
        </w:rPr>
        <w:t>6</w:t>
      </w:r>
      <w:r>
        <w:rPr>
          <w:rStyle w:val="39"/>
          <w:rFonts w:hint="eastAsia" w:asciiTheme="minorEastAsia" w:hAnsiTheme="minorEastAsia" w:eastAsiaTheme="minorEastAsia"/>
          <w:color w:val="000000" w:themeColor="text1"/>
          <w:sz w:val="24"/>
          <w:u w:val="none"/>
          <w14:textFill>
            <w14:solidFill>
              <w14:schemeClr w14:val="tx1"/>
            </w14:solidFill>
          </w14:textFill>
        </w:rPr>
        <w:fldChar w:fldCharType="end"/>
      </w:r>
    </w:p>
    <w:p w14:paraId="14A68F42">
      <w:pPr>
        <w:pStyle w:val="28"/>
        <w:rPr>
          <w:rStyle w:val="39"/>
          <w:rFonts w:asciiTheme="minorEastAsia" w:hAnsiTheme="minorEastAsia" w:eastAsiaTheme="minorEastAsia"/>
          <w:color w:val="000000" w:themeColor="text1"/>
          <w:sz w:val="24"/>
          <w:u w:val="none"/>
          <w14:textFill>
            <w14:solidFill>
              <w14:schemeClr w14:val="tx1"/>
            </w14:solidFill>
          </w14:textFill>
        </w:rPr>
      </w:pPr>
      <w:r>
        <w:fldChar w:fldCharType="begin"/>
      </w:r>
      <w:r>
        <w:instrText xml:space="preserve"> HYPERLINK \l "_Toc151063397" </w:instrText>
      </w:r>
      <w:r>
        <w:fldChar w:fldCharType="separate"/>
      </w:r>
      <w:r>
        <w:rPr>
          <w:rStyle w:val="39"/>
          <w:rFonts w:asciiTheme="minorEastAsia" w:hAnsiTheme="minorEastAsia" w:eastAsiaTheme="minorEastAsia"/>
          <w:color w:val="000000" w:themeColor="text1"/>
          <w:sz w:val="24"/>
          <w:u w:val="none"/>
          <w14:textFill>
            <w14:solidFill>
              <w14:schemeClr w14:val="tx1"/>
            </w14:solidFill>
          </w14:textFill>
        </w:rPr>
        <w:t xml:space="preserve">3.1  </w:t>
      </w:r>
      <w:r>
        <w:rPr>
          <w:rStyle w:val="39"/>
          <w:rFonts w:hint="eastAsia" w:asciiTheme="minorEastAsia" w:hAnsiTheme="minorEastAsia" w:eastAsiaTheme="minorEastAsia"/>
          <w:color w:val="000000" w:themeColor="text1"/>
          <w:sz w:val="24"/>
          <w:u w:val="none"/>
          <w14:textFill>
            <w14:solidFill>
              <w14:schemeClr w14:val="tx1"/>
            </w14:solidFill>
          </w14:textFill>
        </w:rPr>
        <w:t>分类和分类设计标准</w:t>
      </w:r>
      <w:r>
        <w:rPr>
          <w:rStyle w:val="39"/>
          <w:rFonts w:asciiTheme="minorEastAsia" w:hAnsiTheme="minorEastAsia" w:eastAsiaTheme="minorEastAsia"/>
          <w:color w:val="000000" w:themeColor="text1"/>
          <w:sz w:val="24"/>
          <w:u w:val="none"/>
          <w14:textFill>
            <w14:solidFill>
              <w14:schemeClr w14:val="tx1"/>
            </w14:solidFill>
          </w14:textFill>
        </w:rPr>
        <w:tab/>
      </w:r>
      <w:r>
        <w:rPr>
          <w:rStyle w:val="39"/>
          <w:rFonts w:hint="eastAsia" w:asciiTheme="minorEastAsia" w:hAnsiTheme="minorEastAsia" w:eastAsiaTheme="minorEastAsia"/>
          <w:color w:val="000000" w:themeColor="text1"/>
          <w:sz w:val="24"/>
          <w:u w:val="none"/>
          <w14:textFill>
            <w14:solidFill>
              <w14:schemeClr w14:val="tx1"/>
            </w14:solidFill>
          </w14:textFill>
        </w:rPr>
        <w:t>6</w:t>
      </w:r>
      <w:r>
        <w:rPr>
          <w:rStyle w:val="39"/>
          <w:rFonts w:hint="eastAsia" w:asciiTheme="minorEastAsia" w:hAnsiTheme="minorEastAsia" w:eastAsiaTheme="minorEastAsia"/>
          <w:color w:val="000000" w:themeColor="text1"/>
          <w:sz w:val="24"/>
          <w:u w:val="none"/>
          <w14:textFill>
            <w14:solidFill>
              <w14:schemeClr w14:val="tx1"/>
            </w14:solidFill>
          </w14:textFill>
        </w:rPr>
        <w:fldChar w:fldCharType="end"/>
      </w:r>
    </w:p>
    <w:p w14:paraId="58ECCDC5">
      <w:pPr>
        <w:pStyle w:val="28"/>
        <w:rPr>
          <w:rStyle w:val="39"/>
          <w:rFonts w:asciiTheme="minorEastAsia" w:hAnsiTheme="minorEastAsia" w:eastAsiaTheme="minorEastAsia"/>
          <w:color w:val="000000" w:themeColor="text1"/>
          <w:sz w:val="24"/>
          <w:u w:val="none"/>
          <w14:textFill>
            <w14:solidFill>
              <w14:schemeClr w14:val="tx1"/>
            </w14:solidFill>
          </w14:textFill>
        </w:rPr>
      </w:pPr>
      <w:r>
        <w:fldChar w:fldCharType="begin"/>
      </w:r>
      <w:r>
        <w:instrText xml:space="preserve"> HYPERLINK \l "_Toc151063398" </w:instrText>
      </w:r>
      <w:r>
        <w:fldChar w:fldCharType="separate"/>
      </w:r>
      <w:r>
        <w:rPr>
          <w:rStyle w:val="39"/>
          <w:rFonts w:asciiTheme="minorEastAsia" w:hAnsiTheme="minorEastAsia" w:eastAsiaTheme="minorEastAsia"/>
          <w:color w:val="000000" w:themeColor="text1"/>
          <w:sz w:val="24"/>
          <w:u w:val="none"/>
          <w14:textFill>
            <w14:solidFill>
              <w14:schemeClr w14:val="tx1"/>
            </w14:solidFill>
          </w14:textFill>
        </w:rPr>
        <w:t xml:space="preserve">3.2  </w:t>
      </w:r>
      <w:r>
        <w:rPr>
          <w:rStyle w:val="39"/>
          <w:rFonts w:hint="eastAsia" w:asciiTheme="minorEastAsia" w:hAnsiTheme="minorEastAsia" w:eastAsiaTheme="minorEastAsia"/>
          <w:color w:val="000000" w:themeColor="text1"/>
          <w:sz w:val="24"/>
          <w:u w:val="none"/>
          <w14:textFill>
            <w14:solidFill>
              <w14:schemeClr w14:val="tx1"/>
            </w14:solidFill>
          </w14:textFill>
        </w:rPr>
        <w:t>消防安全评价</w:t>
      </w:r>
      <w:r>
        <w:rPr>
          <w:rStyle w:val="39"/>
          <w:rFonts w:asciiTheme="minorEastAsia" w:hAnsiTheme="minorEastAsia" w:eastAsiaTheme="minorEastAsia"/>
          <w:color w:val="000000" w:themeColor="text1"/>
          <w:sz w:val="24"/>
          <w:u w:val="none"/>
          <w14:textFill>
            <w14:solidFill>
              <w14:schemeClr w14:val="tx1"/>
            </w14:solidFill>
          </w14:textFill>
        </w:rPr>
        <w:tab/>
      </w:r>
      <w:r>
        <w:rPr>
          <w:rStyle w:val="39"/>
          <w:rFonts w:hint="eastAsia" w:asciiTheme="minorEastAsia" w:hAnsiTheme="minorEastAsia" w:eastAsiaTheme="minorEastAsia"/>
          <w:color w:val="000000" w:themeColor="text1"/>
          <w:sz w:val="24"/>
          <w:u w:val="none"/>
          <w14:textFill>
            <w14:solidFill>
              <w14:schemeClr w14:val="tx1"/>
            </w14:solidFill>
          </w14:textFill>
        </w:rPr>
        <w:t>10</w:t>
      </w:r>
      <w:r>
        <w:rPr>
          <w:rStyle w:val="39"/>
          <w:rFonts w:hint="eastAsia" w:asciiTheme="minorEastAsia" w:hAnsiTheme="minorEastAsia" w:eastAsiaTheme="minorEastAsia"/>
          <w:color w:val="000000" w:themeColor="text1"/>
          <w:sz w:val="24"/>
          <w:u w:val="none"/>
          <w14:textFill>
            <w14:solidFill>
              <w14:schemeClr w14:val="tx1"/>
            </w14:solidFill>
          </w14:textFill>
        </w:rPr>
        <w:fldChar w:fldCharType="end"/>
      </w:r>
    </w:p>
    <w:p w14:paraId="1F89394D">
      <w:pPr>
        <w:pStyle w:val="28"/>
        <w:rPr>
          <w:rStyle w:val="39"/>
          <w:rFonts w:asciiTheme="minorEastAsia" w:hAnsiTheme="minorEastAsia" w:eastAsiaTheme="minorEastAsia"/>
          <w:color w:val="000000" w:themeColor="text1"/>
          <w:sz w:val="24"/>
          <w:u w:val="none"/>
          <w14:textFill>
            <w14:solidFill>
              <w14:schemeClr w14:val="tx1"/>
            </w14:solidFill>
          </w14:textFill>
        </w:rPr>
      </w:pPr>
      <w:r>
        <w:fldChar w:fldCharType="begin"/>
      </w:r>
      <w:r>
        <w:instrText xml:space="preserve"> HYPERLINK \l "_Toc151063399" </w:instrText>
      </w:r>
      <w:r>
        <w:fldChar w:fldCharType="separate"/>
      </w:r>
      <w:r>
        <w:rPr>
          <w:rStyle w:val="39"/>
          <w:rFonts w:asciiTheme="minorEastAsia" w:hAnsiTheme="minorEastAsia" w:eastAsiaTheme="minorEastAsia"/>
          <w:color w:val="000000" w:themeColor="text1"/>
          <w:sz w:val="24"/>
          <w:u w:val="none"/>
          <w14:textFill>
            <w14:solidFill>
              <w14:schemeClr w14:val="tx1"/>
            </w14:solidFill>
          </w14:textFill>
        </w:rPr>
        <w:t xml:space="preserve">4  </w:t>
      </w:r>
      <w:r>
        <w:rPr>
          <w:rStyle w:val="39"/>
          <w:rFonts w:hint="eastAsia" w:asciiTheme="minorEastAsia" w:hAnsiTheme="minorEastAsia" w:eastAsiaTheme="minorEastAsia"/>
          <w:color w:val="000000" w:themeColor="text1"/>
          <w:sz w:val="24"/>
          <w:u w:val="none"/>
          <w14:textFill>
            <w14:solidFill>
              <w14:schemeClr w14:val="tx1"/>
            </w14:solidFill>
          </w14:textFill>
        </w:rPr>
        <w:t>建筑设计</w:t>
      </w:r>
      <w:r>
        <w:rPr>
          <w:rStyle w:val="39"/>
          <w:rFonts w:asciiTheme="minorEastAsia" w:hAnsiTheme="minorEastAsia" w:eastAsiaTheme="minorEastAsia"/>
          <w:color w:val="000000" w:themeColor="text1"/>
          <w:sz w:val="24"/>
          <w:u w:val="none"/>
          <w14:textFill>
            <w14:solidFill>
              <w14:schemeClr w14:val="tx1"/>
            </w14:solidFill>
          </w14:textFill>
        </w:rPr>
        <w:tab/>
      </w:r>
      <w:r>
        <w:rPr>
          <w:rStyle w:val="39"/>
          <w:rFonts w:hint="eastAsia" w:asciiTheme="minorEastAsia" w:hAnsiTheme="minorEastAsia" w:eastAsiaTheme="minorEastAsia"/>
          <w:color w:val="000000" w:themeColor="text1"/>
          <w:sz w:val="24"/>
          <w:u w:val="none"/>
          <w14:textFill>
            <w14:solidFill>
              <w14:schemeClr w14:val="tx1"/>
            </w14:solidFill>
          </w14:textFill>
        </w:rPr>
        <w:t>11</w:t>
      </w:r>
      <w:r>
        <w:rPr>
          <w:rStyle w:val="39"/>
          <w:rFonts w:hint="eastAsia" w:asciiTheme="minorEastAsia" w:hAnsiTheme="minorEastAsia" w:eastAsiaTheme="minorEastAsia"/>
          <w:color w:val="000000" w:themeColor="text1"/>
          <w:sz w:val="24"/>
          <w:u w:val="none"/>
          <w14:textFill>
            <w14:solidFill>
              <w14:schemeClr w14:val="tx1"/>
            </w14:solidFill>
          </w14:textFill>
        </w:rPr>
        <w:fldChar w:fldCharType="end"/>
      </w:r>
    </w:p>
    <w:p w14:paraId="5F22DEA4">
      <w:pPr>
        <w:pStyle w:val="28"/>
        <w:rPr>
          <w:rStyle w:val="39"/>
          <w:rFonts w:asciiTheme="minorEastAsia" w:hAnsiTheme="minorEastAsia" w:eastAsiaTheme="minorEastAsia"/>
          <w:color w:val="000000" w:themeColor="text1"/>
          <w:sz w:val="24"/>
          <w:u w:val="none"/>
          <w14:textFill>
            <w14:solidFill>
              <w14:schemeClr w14:val="tx1"/>
            </w14:solidFill>
          </w14:textFill>
        </w:rPr>
      </w:pPr>
      <w:r>
        <w:fldChar w:fldCharType="begin"/>
      </w:r>
      <w:r>
        <w:instrText xml:space="preserve"> HYPERLINK \l "_Toc151063400" </w:instrText>
      </w:r>
      <w:r>
        <w:fldChar w:fldCharType="separate"/>
      </w:r>
      <w:r>
        <w:rPr>
          <w:rStyle w:val="39"/>
          <w:rFonts w:asciiTheme="minorEastAsia" w:hAnsiTheme="minorEastAsia" w:eastAsiaTheme="minorEastAsia"/>
          <w:color w:val="000000" w:themeColor="text1"/>
          <w:sz w:val="24"/>
          <w:u w:val="none"/>
          <w14:textFill>
            <w14:solidFill>
              <w14:schemeClr w14:val="tx1"/>
            </w14:solidFill>
          </w14:textFill>
        </w:rPr>
        <w:t xml:space="preserve">4.1  </w:t>
      </w:r>
      <w:r>
        <w:rPr>
          <w:rStyle w:val="39"/>
          <w:rFonts w:hint="eastAsia" w:asciiTheme="minorEastAsia" w:hAnsiTheme="minorEastAsia" w:eastAsiaTheme="minorEastAsia"/>
          <w:color w:val="000000" w:themeColor="text1"/>
          <w:sz w:val="24"/>
          <w:u w:val="none"/>
          <w14:textFill>
            <w14:solidFill>
              <w14:schemeClr w14:val="tx1"/>
            </w14:solidFill>
          </w14:textFill>
        </w:rPr>
        <w:t>总平面布局</w:t>
      </w:r>
      <w:r>
        <w:rPr>
          <w:rStyle w:val="39"/>
          <w:rFonts w:asciiTheme="minorEastAsia" w:hAnsiTheme="minorEastAsia" w:eastAsiaTheme="minorEastAsia"/>
          <w:color w:val="000000" w:themeColor="text1"/>
          <w:sz w:val="24"/>
          <w:u w:val="none"/>
          <w14:textFill>
            <w14:solidFill>
              <w14:schemeClr w14:val="tx1"/>
            </w14:solidFill>
          </w14:textFill>
        </w:rPr>
        <w:tab/>
      </w:r>
      <w:r>
        <w:rPr>
          <w:rStyle w:val="39"/>
          <w:rFonts w:hint="eastAsia" w:asciiTheme="minorEastAsia" w:hAnsiTheme="minorEastAsia" w:eastAsiaTheme="minorEastAsia"/>
          <w:color w:val="000000" w:themeColor="text1"/>
          <w:sz w:val="24"/>
          <w:u w:val="none"/>
          <w14:textFill>
            <w14:solidFill>
              <w14:schemeClr w14:val="tx1"/>
            </w14:solidFill>
          </w14:textFill>
        </w:rPr>
        <w:t>11</w:t>
      </w:r>
      <w:r>
        <w:rPr>
          <w:rStyle w:val="39"/>
          <w:rFonts w:hint="eastAsia" w:asciiTheme="minorEastAsia" w:hAnsiTheme="minorEastAsia" w:eastAsiaTheme="minorEastAsia"/>
          <w:color w:val="000000" w:themeColor="text1"/>
          <w:sz w:val="24"/>
          <w:u w:val="none"/>
          <w14:textFill>
            <w14:solidFill>
              <w14:schemeClr w14:val="tx1"/>
            </w14:solidFill>
          </w14:textFill>
        </w:rPr>
        <w:fldChar w:fldCharType="end"/>
      </w:r>
    </w:p>
    <w:p w14:paraId="63D1ADB3">
      <w:pPr>
        <w:pStyle w:val="28"/>
        <w:rPr>
          <w:rStyle w:val="39"/>
          <w:rFonts w:asciiTheme="minorEastAsia" w:hAnsiTheme="minorEastAsia" w:eastAsiaTheme="minorEastAsia"/>
          <w:color w:val="000000" w:themeColor="text1"/>
          <w:sz w:val="24"/>
          <w:u w:val="none"/>
          <w14:textFill>
            <w14:solidFill>
              <w14:schemeClr w14:val="tx1"/>
            </w14:solidFill>
          </w14:textFill>
        </w:rPr>
      </w:pPr>
      <w:r>
        <w:fldChar w:fldCharType="begin"/>
      </w:r>
      <w:r>
        <w:instrText xml:space="preserve"> HYPERLINK \l "_Toc151063401" </w:instrText>
      </w:r>
      <w:r>
        <w:fldChar w:fldCharType="separate"/>
      </w:r>
      <w:r>
        <w:rPr>
          <w:rStyle w:val="39"/>
          <w:rFonts w:asciiTheme="minorEastAsia" w:hAnsiTheme="minorEastAsia" w:eastAsiaTheme="minorEastAsia"/>
          <w:color w:val="000000" w:themeColor="text1"/>
          <w:sz w:val="24"/>
          <w:u w:val="none"/>
          <w14:textFill>
            <w14:solidFill>
              <w14:schemeClr w14:val="tx1"/>
            </w14:solidFill>
          </w14:textFill>
        </w:rPr>
        <w:t xml:space="preserve">4.2  </w:t>
      </w:r>
      <w:r>
        <w:rPr>
          <w:rStyle w:val="39"/>
          <w:rFonts w:hint="eastAsia" w:asciiTheme="minorEastAsia" w:hAnsiTheme="minorEastAsia" w:eastAsiaTheme="minorEastAsia"/>
          <w:color w:val="000000" w:themeColor="text1"/>
          <w:sz w:val="24"/>
          <w:u w:val="none"/>
          <w14:textFill>
            <w14:solidFill>
              <w14:schemeClr w14:val="tx1"/>
            </w14:solidFill>
          </w14:textFill>
        </w:rPr>
        <w:t>防火分区和平面布置</w:t>
      </w:r>
      <w:r>
        <w:rPr>
          <w:rStyle w:val="39"/>
          <w:rFonts w:asciiTheme="minorEastAsia" w:hAnsiTheme="minorEastAsia" w:eastAsiaTheme="minorEastAsia"/>
          <w:color w:val="000000" w:themeColor="text1"/>
          <w:sz w:val="24"/>
          <w:u w:val="none"/>
          <w14:textFill>
            <w14:solidFill>
              <w14:schemeClr w14:val="tx1"/>
            </w14:solidFill>
          </w14:textFill>
        </w:rPr>
        <w:tab/>
      </w:r>
      <w:r>
        <w:rPr>
          <w:rStyle w:val="39"/>
          <w:rFonts w:hint="eastAsia" w:asciiTheme="minorEastAsia" w:hAnsiTheme="minorEastAsia" w:eastAsiaTheme="minorEastAsia"/>
          <w:color w:val="000000" w:themeColor="text1"/>
          <w:sz w:val="24"/>
          <w:u w:val="none"/>
          <w14:textFill>
            <w14:solidFill>
              <w14:schemeClr w14:val="tx1"/>
            </w14:solidFill>
          </w14:textFill>
        </w:rPr>
        <w:t>11</w:t>
      </w:r>
      <w:r>
        <w:rPr>
          <w:rStyle w:val="39"/>
          <w:rFonts w:hint="eastAsia" w:asciiTheme="minorEastAsia" w:hAnsiTheme="minorEastAsia" w:eastAsiaTheme="minorEastAsia"/>
          <w:color w:val="000000" w:themeColor="text1"/>
          <w:sz w:val="24"/>
          <w:u w:val="none"/>
          <w14:textFill>
            <w14:solidFill>
              <w14:schemeClr w14:val="tx1"/>
            </w14:solidFill>
          </w14:textFill>
        </w:rPr>
        <w:fldChar w:fldCharType="end"/>
      </w:r>
    </w:p>
    <w:p w14:paraId="3BA0B648">
      <w:pPr>
        <w:pStyle w:val="28"/>
        <w:rPr>
          <w:rStyle w:val="39"/>
          <w:rFonts w:asciiTheme="minorEastAsia" w:hAnsiTheme="minorEastAsia" w:eastAsiaTheme="minorEastAsia"/>
          <w:color w:val="000000" w:themeColor="text1"/>
          <w:sz w:val="24"/>
          <w:u w:val="none"/>
          <w14:textFill>
            <w14:solidFill>
              <w14:schemeClr w14:val="tx1"/>
            </w14:solidFill>
          </w14:textFill>
        </w:rPr>
      </w:pPr>
      <w:r>
        <w:fldChar w:fldCharType="begin"/>
      </w:r>
      <w:r>
        <w:instrText xml:space="preserve"> HYPERLINK \l "_Toc151063402" </w:instrText>
      </w:r>
      <w:r>
        <w:fldChar w:fldCharType="separate"/>
      </w:r>
      <w:r>
        <w:rPr>
          <w:rStyle w:val="39"/>
          <w:rFonts w:asciiTheme="minorEastAsia" w:hAnsiTheme="minorEastAsia" w:eastAsiaTheme="minorEastAsia"/>
          <w:color w:val="000000" w:themeColor="text1"/>
          <w:sz w:val="24"/>
          <w:u w:val="none"/>
          <w14:textFill>
            <w14:solidFill>
              <w14:schemeClr w14:val="tx1"/>
            </w14:solidFill>
          </w14:textFill>
        </w:rPr>
        <w:t xml:space="preserve">4.3  </w:t>
      </w:r>
      <w:r>
        <w:rPr>
          <w:rStyle w:val="39"/>
          <w:rFonts w:hint="eastAsia" w:asciiTheme="minorEastAsia" w:hAnsiTheme="minorEastAsia" w:eastAsiaTheme="minorEastAsia"/>
          <w:color w:val="000000" w:themeColor="text1"/>
          <w:sz w:val="24"/>
          <w:u w:val="none"/>
          <w14:textFill>
            <w14:solidFill>
              <w14:schemeClr w14:val="tx1"/>
            </w14:solidFill>
          </w14:textFill>
        </w:rPr>
        <w:t>安全疏散和避难</w:t>
      </w:r>
      <w:r>
        <w:rPr>
          <w:rStyle w:val="39"/>
          <w:rFonts w:asciiTheme="minorEastAsia" w:hAnsiTheme="minorEastAsia" w:eastAsiaTheme="minorEastAsia"/>
          <w:color w:val="000000" w:themeColor="text1"/>
          <w:sz w:val="24"/>
          <w:u w:val="none"/>
          <w14:textFill>
            <w14:solidFill>
              <w14:schemeClr w14:val="tx1"/>
            </w14:solidFill>
          </w14:textFill>
        </w:rPr>
        <w:tab/>
      </w:r>
      <w:r>
        <w:rPr>
          <w:rStyle w:val="39"/>
          <w:rFonts w:hint="eastAsia" w:asciiTheme="minorEastAsia" w:hAnsiTheme="minorEastAsia" w:eastAsiaTheme="minorEastAsia"/>
          <w:color w:val="000000" w:themeColor="text1"/>
          <w:sz w:val="24"/>
          <w:u w:val="none"/>
          <w14:textFill>
            <w14:solidFill>
              <w14:schemeClr w14:val="tx1"/>
            </w14:solidFill>
          </w14:textFill>
        </w:rPr>
        <w:t>13</w:t>
      </w:r>
      <w:r>
        <w:rPr>
          <w:rStyle w:val="39"/>
          <w:rFonts w:hint="eastAsia" w:asciiTheme="minorEastAsia" w:hAnsiTheme="minorEastAsia" w:eastAsiaTheme="minorEastAsia"/>
          <w:color w:val="000000" w:themeColor="text1"/>
          <w:sz w:val="24"/>
          <w:u w:val="none"/>
          <w14:textFill>
            <w14:solidFill>
              <w14:schemeClr w14:val="tx1"/>
            </w14:solidFill>
          </w14:textFill>
        </w:rPr>
        <w:fldChar w:fldCharType="end"/>
      </w:r>
    </w:p>
    <w:p w14:paraId="7300EA70">
      <w:pPr>
        <w:pStyle w:val="28"/>
        <w:rPr>
          <w:rStyle w:val="39"/>
          <w:rFonts w:asciiTheme="minorEastAsia" w:hAnsiTheme="minorEastAsia" w:eastAsiaTheme="minorEastAsia"/>
          <w:color w:val="000000" w:themeColor="text1"/>
          <w:sz w:val="24"/>
          <w:u w:val="none"/>
          <w14:textFill>
            <w14:solidFill>
              <w14:schemeClr w14:val="tx1"/>
            </w14:solidFill>
          </w14:textFill>
        </w:rPr>
      </w:pPr>
      <w:r>
        <w:fldChar w:fldCharType="begin"/>
      </w:r>
      <w:r>
        <w:instrText xml:space="preserve"> HYPERLINK \l "_Toc151063403" </w:instrText>
      </w:r>
      <w:r>
        <w:fldChar w:fldCharType="separate"/>
      </w:r>
      <w:r>
        <w:rPr>
          <w:rStyle w:val="39"/>
          <w:rFonts w:asciiTheme="minorEastAsia" w:hAnsiTheme="minorEastAsia" w:eastAsiaTheme="minorEastAsia"/>
          <w:color w:val="000000" w:themeColor="text1"/>
          <w:sz w:val="24"/>
          <w:u w:val="none"/>
          <w14:textFill>
            <w14:solidFill>
              <w14:schemeClr w14:val="tx1"/>
            </w14:solidFill>
          </w14:textFill>
        </w:rPr>
        <w:t xml:space="preserve">4.4  </w:t>
      </w:r>
      <w:r>
        <w:rPr>
          <w:rStyle w:val="39"/>
          <w:rFonts w:hint="eastAsia" w:asciiTheme="minorEastAsia" w:hAnsiTheme="minorEastAsia" w:eastAsiaTheme="minorEastAsia"/>
          <w:color w:val="000000" w:themeColor="text1"/>
          <w:sz w:val="24"/>
          <w:u w:val="none"/>
          <w14:textFill>
            <w14:solidFill>
              <w14:schemeClr w14:val="tx1"/>
            </w14:solidFill>
          </w14:textFill>
        </w:rPr>
        <w:t>建筑结构防火保护与构造</w:t>
      </w:r>
      <w:r>
        <w:rPr>
          <w:rStyle w:val="39"/>
          <w:rFonts w:asciiTheme="minorEastAsia" w:hAnsiTheme="minorEastAsia" w:eastAsiaTheme="minorEastAsia"/>
          <w:color w:val="000000" w:themeColor="text1"/>
          <w:sz w:val="24"/>
          <w:u w:val="none"/>
          <w14:textFill>
            <w14:solidFill>
              <w14:schemeClr w14:val="tx1"/>
            </w14:solidFill>
          </w14:textFill>
        </w:rPr>
        <w:tab/>
      </w:r>
      <w:r>
        <w:rPr>
          <w:rStyle w:val="39"/>
          <w:rFonts w:hint="eastAsia" w:asciiTheme="minorEastAsia" w:hAnsiTheme="minorEastAsia" w:eastAsiaTheme="minorEastAsia"/>
          <w:color w:val="000000" w:themeColor="text1"/>
          <w:sz w:val="24"/>
          <w:u w:val="none"/>
          <w14:textFill>
            <w14:solidFill>
              <w14:schemeClr w14:val="tx1"/>
            </w14:solidFill>
          </w14:textFill>
        </w:rPr>
        <w:t>17</w:t>
      </w:r>
      <w:r>
        <w:rPr>
          <w:rStyle w:val="39"/>
          <w:rFonts w:hint="eastAsia" w:asciiTheme="minorEastAsia" w:hAnsiTheme="minorEastAsia" w:eastAsiaTheme="minorEastAsia"/>
          <w:color w:val="000000" w:themeColor="text1"/>
          <w:sz w:val="24"/>
          <w:u w:val="none"/>
          <w14:textFill>
            <w14:solidFill>
              <w14:schemeClr w14:val="tx1"/>
            </w14:solidFill>
          </w14:textFill>
        </w:rPr>
        <w:fldChar w:fldCharType="end"/>
      </w:r>
    </w:p>
    <w:p w14:paraId="5AF948B1">
      <w:pPr>
        <w:pStyle w:val="28"/>
        <w:rPr>
          <w:rStyle w:val="39"/>
          <w:rFonts w:asciiTheme="minorEastAsia" w:hAnsiTheme="minorEastAsia" w:eastAsiaTheme="minorEastAsia"/>
          <w:color w:val="000000" w:themeColor="text1"/>
          <w:sz w:val="24"/>
          <w:u w:val="none"/>
          <w14:textFill>
            <w14:solidFill>
              <w14:schemeClr w14:val="tx1"/>
            </w14:solidFill>
          </w14:textFill>
        </w:rPr>
      </w:pPr>
      <w:r>
        <w:fldChar w:fldCharType="begin"/>
      </w:r>
      <w:r>
        <w:instrText xml:space="preserve"> HYPERLINK \l "_Toc151063404" </w:instrText>
      </w:r>
      <w:r>
        <w:fldChar w:fldCharType="separate"/>
      </w:r>
      <w:r>
        <w:rPr>
          <w:rStyle w:val="39"/>
          <w:rFonts w:asciiTheme="minorEastAsia" w:hAnsiTheme="minorEastAsia" w:eastAsiaTheme="minorEastAsia"/>
          <w:color w:val="000000" w:themeColor="text1"/>
          <w:sz w:val="24"/>
          <w:u w:val="none"/>
          <w14:textFill>
            <w14:solidFill>
              <w14:schemeClr w14:val="tx1"/>
            </w14:solidFill>
          </w14:textFill>
        </w:rPr>
        <w:t xml:space="preserve">4.5  </w:t>
      </w:r>
      <w:r>
        <w:rPr>
          <w:rStyle w:val="39"/>
          <w:rFonts w:hint="eastAsia" w:asciiTheme="minorEastAsia" w:hAnsiTheme="minorEastAsia" w:eastAsiaTheme="minorEastAsia"/>
          <w:color w:val="000000" w:themeColor="text1"/>
          <w:sz w:val="24"/>
          <w:u w:val="none"/>
          <w14:textFill>
            <w14:solidFill>
              <w14:schemeClr w14:val="tx1"/>
            </w14:solidFill>
          </w14:textFill>
        </w:rPr>
        <w:t>灭火救援设施</w:t>
      </w:r>
      <w:r>
        <w:rPr>
          <w:rStyle w:val="39"/>
          <w:rFonts w:asciiTheme="minorEastAsia" w:hAnsiTheme="minorEastAsia" w:eastAsiaTheme="minorEastAsia"/>
          <w:color w:val="000000" w:themeColor="text1"/>
          <w:sz w:val="24"/>
          <w:u w:val="none"/>
          <w14:textFill>
            <w14:solidFill>
              <w14:schemeClr w14:val="tx1"/>
            </w14:solidFill>
          </w14:textFill>
        </w:rPr>
        <w:tab/>
      </w:r>
      <w:r>
        <w:rPr>
          <w:rStyle w:val="39"/>
          <w:rFonts w:hint="eastAsia" w:asciiTheme="minorEastAsia" w:hAnsiTheme="minorEastAsia" w:eastAsiaTheme="minorEastAsia"/>
          <w:color w:val="000000" w:themeColor="text1"/>
          <w:sz w:val="24"/>
          <w:u w:val="none"/>
          <w14:textFill>
            <w14:solidFill>
              <w14:schemeClr w14:val="tx1"/>
            </w14:solidFill>
          </w14:textFill>
        </w:rPr>
        <w:t>18</w:t>
      </w:r>
      <w:r>
        <w:rPr>
          <w:rStyle w:val="39"/>
          <w:rFonts w:hint="eastAsia" w:asciiTheme="minorEastAsia" w:hAnsiTheme="minorEastAsia" w:eastAsiaTheme="minorEastAsia"/>
          <w:color w:val="000000" w:themeColor="text1"/>
          <w:sz w:val="24"/>
          <w:u w:val="none"/>
          <w14:textFill>
            <w14:solidFill>
              <w14:schemeClr w14:val="tx1"/>
            </w14:solidFill>
          </w14:textFill>
        </w:rPr>
        <w:fldChar w:fldCharType="end"/>
      </w:r>
    </w:p>
    <w:p w14:paraId="0E89E8ED">
      <w:pPr>
        <w:pStyle w:val="28"/>
        <w:rPr>
          <w:rStyle w:val="39"/>
          <w:rFonts w:asciiTheme="minorEastAsia" w:hAnsiTheme="minorEastAsia" w:eastAsiaTheme="minorEastAsia"/>
          <w:color w:val="000000" w:themeColor="text1"/>
          <w:sz w:val="24"/>
          <w:u w:val="none"/>
          <w14:textFill>
            <w14:solidFill>
              <w14:schemeClr w14:val="tx1"/>
            </w14:solidFill>
          </w14:textFill>
        </w:rPr>
      </w:pPr>
      <w:r>
        <w:fldChar w:fldCharType="begin"/>
      </w:r>
      <w:r>
        <w:instrText xml:space="preserve"> HYPERLINK \l "_Toc151063405" </w:instrText>
      </w:r>
      <w:r>
        <w:fldChar w:fldCharType="separate"/>
      </w:r>
      <w:r>
        <w:rPr>
          <w:rStyle w:val="39"/>
          <w:rFonts w:asciiTheme="minorEastAsia" w:hAnsiTheme="minorEastAsia" w:eastAsiaTheme="minorEastAsia"/>
          <w:color w:val="000000" w:themeColor="text1"/>
          <w:sz w:val="24"/>
          <w:u w:val="none"/>
          <w14:textFill>
            <w14:solidFill>
              <w14:schemeClr w14:val="tx1"/>
            </w14:solidFill>
          </w14:textFill>
        </w:rPr>
        <w:t xml:space="preserve">5  </w:t>
      </w:r>
      <w:r>
        <w:rPr>
          <w:rStyle w:val="39"/>
          <w:rFonts w:hint="eastAsia" w:asciiTheme="minorEastAsia" w:hAnsiTheme="minorEastAsia" w:eastAsiaTheme="minorEastAsia"/>
          <w:color w:val="000000" w:themeColor="text1"/>
          <w:sz w:val="24"/>
          <w:u w:val="none"/>
          <w14:textFill>
            <w14:solidFill>
              <w14:schemeClr w14:val="tx1"/>
            </w14:solidFill>
          </w14:textFill>
        </w:rPr>
        <w:t>消防设施</w:t>
      </w:r>
      <w:r>
        <w:rPr>
          <w:rStyle w:val="39"/>
          <w:rFonts w:asciiTheme="minorEastAsia" w:hAnsiTheme="minorEastAsia" w:eastAsiaTheme="minorEastAsia"/>
          <w:color w:val="000000" w:themeColor="text1"/>
          <w:sz w:val="24"/>
          <w:u w:val="none"/>
          <w14:textFill>
            <w14:solidFill>
              <w14:schemeClr w14:val="tx1"/>
            </w14:solidFill>
          </w14:textFill>
        </w:rPr>
        <w:tab/>
      </w:r>
      <w:r>
        <w:rPr>
          <w:rStyle w:val="39"/>
          <w:rFonts w:hint="eastAsia" w:asciiTheme="minorEastAsia" w:hAnsiTheme="minorEastAsia" w:eastAsiaTheme="minorEastAsia"/>
          <w:color w:val="000000" w:themeColor="text1"/>
          <w:sz w:val="24"/>
          <w:u w:val="none"/>
          <w14:textFill>
            <w14:solidFill>
              <w14:schemeClr w14:val="tx1"/>
            </w14:solidFill>
          </w14:textFill>
        </w:rPr>
        <w:t>20</w:t>
      </w:r>
      <w:r>
        <w:rPr>
          <w:rStyle w:val="39"/>
          <w:rFonts w:hint="eastAsia" w:asciiTheme="minorEastAsia" w:hAnsiTheme="minorEastAsia" w:eastAsiaTheme="minorEastAsia"/>
          <w:color w:val="000000" w:themeColor="text1"/>
          <w:sz w:val="24"/>
          <w:u w:val="none"/>
          <w14:textFill>
            <w14:solidFill>
              <w14:schemeClr w14:val="tx1"/>
            </w14:solidFill>
          </w14:textFill>
        </w:rPr>
        <w:fldChar w:fldCharType="end"/>
      </w:r>
    </w:p>
    <w:p w14:paraId="68A3B7DE">
      <w:pPr>
        <w:pStyle w:val="28"/>
        <w:rPr>
          <w:rStyle w:val="39"/>
          <w:rFonts w:asciiTheme="minorEastAsia" w:hAnsiTheme="minorEastAsia" w:eastAsiaTheme="minorEastAsia"/>
          <w:color w:val="000000" w:themeColor="text1"/>
          <w:sz w:val="24"/>
          <w:u w:val="none"/>
          <w14:textFill>
            <w14:solidFill>
              <w14:schemeClr w14:val="tx1"/>
            </w14:solidFill>
          </w14:textFill>
        </w:rPr>
      </w:pPr>
      <w:r>
        <w:fldChar w:fldCharType="begin"/>
      </w:r>
      <w:r>
        <w:instrText xml:space="preserve"> HYPERLINK \l "_Toc151063406" </w:instrText>
      </w:r>
      <w:r>
        <w:fldChar w:fldCharType="separate"/>
      </w:r>
      <w:r>
        <w:rPr>
          <w:rStyle w:val="39"/>
          <w:rFonts w:asciiTheme="minorEastAsia" w:hAnsiTheme="minorEastAsia" w:eastAsiaTheme="minorEastAsia"/>
          <w:color w:val="000000" w:themeColor="text1"/>
          <w:sz w:val="24"/>
          <w:u w:val="none"/>
          <w14:textFill>
            <w14:solidFill>
              <w14:schemeClr w14:val="tx1"/>
            </w14:solidFill>
          </w14:textFill>
        </w:rPr>
        <w:t xml:space="preserve">5.1  </w:t>
      </w:r>
      <w:r>
        <w:rPr>
          <w:rStyle w:val="39"/>
          <w:rFonts w:hint="eastAsia" w:asciiTheme="minorEastAsia" w:hAnsiTheme="minorEastAsia" w:eastAsiaTheme="minorEastAsia"/>
          <w:color w:val="000000" w:themeColor="text1"/>
          <w:sz w:val="24"/>
          <w:u w:val="none"/>
          <w14:textFill>
            <w14:solidFill>
              <w14:schemeClr w14:val="tx1"/>
            </w14:solidFill>
          </w14:textFill>
        </w:rPr>
        <w:t>消防水量和消防水池</w:t>
      </w:r>
      <w:r>
        <w:rPr>
          <w:rStyle w:val="39"/>
          <w:rFonts w:asciiTheme="minorEastAsia" w:hAnsiTheme="minorEastAsia" w:eastAsiaTheme="minorEastAsia"/>
          <w:color w:val="000000" w:themeColor="text1"/>
          <w:sz w:val="24"/>
          <w:u w:val="none"/>
          <w14:textFill>
            <w14:solidFill>
              <w14:schemeClr w14:val="tx1"/>
            </w14:solidFill>
          </w14:textFill>
        </w:rPr>
        <w:tab/>
      </w:r>
      <w:r>
        <w:rPr>
          <w:rStyle w:val="39"/>
          <w:rFonts w:hint="eastAsia" w:asciiTheme="minorEastAsia" w:hAnsiTheme="minorEastAsia" w:eastAsiaTheme="minorEastAsia"/>
          <w:color w:val="000000" w:themeColor="text1"/>
          <w:sz w:val="24"/>
          <w:u w:val="none"/>
          <w14:textFill>
            <w14:solidFill>
              <w14:schemeClr w14:val="tx1"/>
            </w14:solidFill>
          </w14:textFill>
        </w:rPr>
        <w:t>20</w:t>
      </w:r>
      <w:r>
        <w:rPr>
          <w:rStyle w:val="39"/>
          <w:rFonts w:hint="eastAsia" w:asciiTheme="minorEastAsia" w:hAnsiTheme="minorEastAsia" w:eastAsiaTheme="minorEastAsia"/>
          <w:color w:val="000000" w:themeColor="text1"/>
          <w:sz w:val="24"/>
          <w:u w:val="none"/>
          <w14:textFill>
            <w14:solidFill>
              <w14:schemeClr w14:val="tx1"/>
            </w14:solidFill>
          </w14:textFill>
        </w:rPr>
        <w:fldChar w:fldCharType="end"/>
      </w:r>
    </w:p>
    <w:p w14:paraId="6175D090">
      <w:pPr>
        <w:pStyle w:val="28"/>
        <w:rPr>
          <w:rStyle w:val="39"/>
          <w:rFonts w:asciiTheme="minorEastAsia" w:hAnsiTheme="minorEastAsia" w:eastAsiaTheme="minorEastAsia"/>
          <w:color w:val="000000" w:themeColor="text1"/>
          <w:sz w:val="24"/>
          <w:u w:val="none"/>
          <w14:textFill>
            <w14:solidFill>
              <w14:schemeClr w14:val="tx1"/>
            </w14:solidFill>
          </w14:textFill>
        </w:rPr>
      </w:pPr>
      <w:r>
        <w:fldChar w:fldCharType="begin"/>
      </w:r>
      <w:r>
        <w:instrText xml:space="preserve"> HYPERLINK \l "_Toc151063407" </w:instrText>
      </w:r>
      <w:r>
        <w:fldChar w:fldCharType="separate"/>
      </w:r>
      <w:r>
        <w:rPr>
          <w:rStyle w:val="39"/>
          <w:rFonts w:asciiTheme="minorEastAsia" w:hAnsiTheme="minorEastAsia" w:eastAsiaTheme="minorEastAsia"/>
          <w:color w:val="000000" w:themeColor="text1"/>
          <w:sz w:val="24"/>
          <w:u w:val="none"/>
          <w14:textFill>
            <w14:solidFill>
              <w14:schemeClr w14:val="tx1"/>
            </w14:solidFill>
          </w14:textFill>
        </w:rPr>
        <w:t xml:space="preserve">5.2  </w:t>
      </w:r>
      <w:r>
        <w:rPr>
          <w:rStyle w:val="39"/>
          <w:rFonts w:hint="eastAsia" w:asciiTheme="minorEastAsia" w:hAnsiTheme="minorEastAsia" w:eastAsiaTheme="minorEastAsia"/>
          <w:color w:val="000000" w:themeColor="text1"/>
          <w:sz w:val="24"/>
          <w:u w:val="none"/>
          <w14:textFill>
            <w14:solidFill>
              <w14:schemeClr w14:val="tx1"/>
            </w14:solidFill>
          </w14:textFill>
        </w:rPr>
        <w:t>消防供水设施</w:t>
      </w:r>
      <w:r>
        <w:rPr>
          <w:rStyle w:val="39"/>
          <w:rFonts w:asciiTheme="minorEastAsia" w:hAnsiTheme="minorEastAsia" w:eastAsiaTheme="minorEastAsia"/>
          <w:color w:val="000000" w:themeColor="text1"/>
          <w:sz w:val="24"/>
          <w:u w:val="none"/>
          <w14:textFill>
            <w14:solidFill>
              <w14:schemeClr w14:val="tx1"/>
            </w14:solidFill>
          </w14:textFill>
        </w:rPr>
        <w:tab/>
      </w:r>
      <w:r>
        <w:rPr>
          <w:rStyle w:val="39"/>
          <w:rFonts w:hint="eastAsia" w:asciiTheme="minorEastAsia" w:hAnsiTheme="minorEastAsia" w:eastAsiaTheme="minorEastAsia"/>
          <w:color w:val="000000" w:themeColor="text1"/>
          <w:sz w:val="24"/>
          <w:u w:val="none"/>
          <w14:textFill>
            <w14:solidFill>
              <w14:schemeClr w14:val="tx1"/>
            </w14:solidFill>
          </w14:textFill>
        </w:rPr>
        <w:t>21</w:t>
      </w:r>
      <w:r>
        <w:rPr>
          <w:rStyle w:val="39"/>
          <w:rFonts w:hint="eastAsia" w:asciiTheme="minorEastAsia" w:hAnsiTheme="minorEastAsia" w:eastAsiaTheme="minorEastAsia"/>
          <w:color w:val="000000" w:themeColor="text1"/>
          <w:sz w:val="24"/>
          <w:u w:val="none"/>
          <w14:textFill>
            <w14:solidFill>
              <w14:schemeClr w14:val="tx1"/>
            </w14:solidFill>
          </w14:textFill>
        </w:rPr>
        <w:fldChar w:fldCharType="end"/>
      </w:r>
    </w:p>
    <w:p w14:paraId="1A5DC62F">
      <w:pPr>
        <w:pStyle w:val="28"/>
        <w:rPr>
          <w:rStyle w:val="39"/>
          <w:rFonts w:asciiTheme="minorEastAsia" w:hAnsiTheme="minorEastAsia" w:eastAsiaTheme="minorEastAsia"/>
          <w:color w:val="000000" w:themeColor="text1"/>
          <w:sz w:val="24"/>
          <w:u w:val="none"/>
          <w14:textFill>
            <w14:solidFill>
              <w14:schemeClr w14:val="tx1"/>
            </w14:solidFill>
          </w14:textFill>
        </w:rPr>
      </w:pPr>
      <w:r>
        <w:fldChar w:fldCharType="begin"/>
      </w:r>
      <w:r>
        <w:instrText xml:space="preserve"> HYPERLINK \l "_Toc151063408" </w:instrText>
      </w:r>
      <w:r>
        <w:fldChar w:fldCharType="separate"/>
      </w:r>
      <w:r>
        <w:rPr>
          <w:rStyle w:val="39"/>
          <w:rFonts w:asciiTheme="minorEastAsia" w:hAnsiTheme="minorEastAsia" w:eastAsiaTheme="minorEastAsia"/>
          <w:color w:val="000000" w:themeColor="text1"/>
          <w:sz w:val="24"/>
          <w:u w:val="none"/>
          <w14:textFill>
            <w14:solidFill>
              <w14:schemeClr w14:val="tx1"/>
            </w14:solidFill>
          </w14:textFill>
        </w:rPr>
        <w:t xml:space="preserve">5.3  </w:t>
      </w:r>
      <w:r>
        <w:rPr>
          <w:rStyle w:val="39"/>
          <w:rFonts w:hint="eastAsia" w:asciiTheme="minorEastAsia" w:hAnsiTheme="minorEastAsia" w:eastAsiaTheme="minorEastAsia"/>
          <w:color w:val="000000" w:themeColor="text1"/>
          <w:sz w:val="24"/>
          <w:u w:val="none"/>
          <w14:textFill>
            <w14:solidFill>
              <w14:schemeClr w14:val="tx1"/>
            </w14:solidFill>
          </w14:textFill>
        </w:rPr>
        <w:t>室内消火栓系统</w:t>
      </w:r>
      <w:r>
        <w:rPr>
          <w:rStyle w:val="39"/>
          <w:rFonts w:asciiTheme="minorEastAsia" w:hAnsiTheme="minorEastAsia" w:eastAsiaTheme="minorEastAsia"/>
          <w:color w:val="000000" w:themeColor="text1"/>
          <w:sz w:val="24"/>
          <w:u w:val="none"/>
          <w14:textFill>
            <w14:solidFill>
              <w14:schemeClr w14:val="tx1"/>
            </w14:solidFill>
          </w14:textFill>
        </w:rPr>
        <w:tab/>
      </w:r>
      <w:r>
        <w:rPr>
          <w:rStyle w:val="39"/>
          <w:rFonts w:hint="eastAsia" w:asciiTheme="minorEastAsia" w:hAnsiTheme="minorEastAsia" w:eastAsiaTheme="minorEastAsia"/>
          <w:color w:val="000000" w:themeColor="text1"/>
          <w:sz w:val="24"/>
          <w:u w:val="none"/>
          <w14:textFill>
            <w14:solidFill>
              <w14:schemeClr w14:val="tx1"/>
            </w14:solidFill>
          </w14:textFill>
        </w:rPr>
        <w:t>23</w:t>
      </w:r>
      <w:r>
        <w:rPr>
          <w:rStyle w:val="39"/>
          <w:rFonts w:hint="eastAsia" w:asciiTheme="minorEastAsia" w:hAnsiTheme="minorEastAsia" w:eastAsiaTheme="minorEastAsia"/>
          <w:color w:val="000000" w:themeColor="text1"/>
          <w:sz w:val="24"/>
          <w:u w:val="none"/>
          <w14:textFill>
            <w14:solidFill>
              <w14:schemeClr w14:val="tx1"/>
            </w14:solidFill>
          </w14:textFill>
        </w:rPr>
        <w:fldChar w:fldCharType="end"/>
      </w:r>
    </w:p>
    <w:p w14:paraId="5D33D352">
      <w:pPr>
        <w:pStyle w:val="28"/>
        <w:rPr>
          <w:rStyle w:val="39"/>
          <w:rFonts w:asciiTheme="minorEastAsia" w:hAnsiTheme="minorEastAsia" w:eastAsiaTheme="minorEastAsia"/>
          <w:color w:val="000000" w:themeColor="text1"/>
          <w:sz w:val="24"/>
          <w:u w:val="none"/>
          <w14:textFill>
            <w14:solidFill>
              <w14:schemeClr w14:val="tx1"/>
            </w14:solidFill>
          </w14:textFill>
        </w:rPr>
      </w:pPr>
      <w:r>
        <w:fldChar w:fldCharType="begin"/>
      </w:r>
      <w:r>
        <w:instrText xml:space="preserve"> HYPERLINK \l "_Toc151063409" </w:instrText>
      </w:r>
      <w:r>
        <w:fldChar w:fldCharType="separate"/>
      </w:r>
      <w:r>
        <w:rPr>
          <w:rStyle w:val="39"/>
          <w:rFonts w:asciiTheme="minorEastAsia" w:hAnsiTheme="minorEastAsia" w:eastAsiaTheme="minorEastAsia"/>
          <w:color w:val="000000" w:themeColor="text1"/>
          <w:sz w:val="24"/>
          <w:u w:val="none"/>
          <w14:textFill>
            <w14:solidFill>
              <w14:schemeClr w14:val="tx1"/>
            </w14:solidFill>
          </w14:textFill>
        </w:rPr>
        <w:t xml:space="preserve">5.4  </w:t>
      </w:r>
      <w:r>
        <w:rPr>
          <w:rStyle w:val="39"/>
          <w:rFonts w:hint="eastAsia" w:asciiTheme="minorEastAsia" w:hAnsiTheme="minorEastAsia" w:eastAsiaTheme="minorEastAsia"/>
          <w:color w:val="000000" w:themeColor="text1"/>
          <w:sz w:val="24"/>
          <w:u w:val="none"/>
          <w14:textFill>
            <w14:solidFill>
              <w14:schemeClr w14:val="tx1"/>
            </w14:solidFill>
          </w14:textFill>
        </w:rPr>
        <w:t>自动灭火系统</w:t>
      </w:r>
      <w:r>
        <w:rPr>
          <w:rStyle w:val="39"/>
          <w:rFonts w:asciiTheme="minorEastAsia" w:hAnsiTheme="minorEastAsia" w:eastAsiaTheme="minorEastAsia"/>
          <w:color w:val="000000" w:themeColor="text1"/>
          <w:sz w:val="24"/>
          <w:u w:val="none"/>
          <w14:textFill>
            <w14:solidFill>
              <w14:schemeClr w14:val="tx1"/>
            </w14:solidFill>
          </w14:textFill>
        </w:rPr>
        <w:tab/>
      </w:r>
      <w:r>
        <w:rPr>
          <w:rStyle w:val="39"/>
          <w:rFonts w:hint="eastAsia" w:asciiTheme="minorEastAsia" w:hAnsiTheme="minorEastAsia" w:eastAsiaTheme="minorEastAsia"/>
          <w:color w:val="000000" w:themeColor="text1"/>
          <w:sz w:val="24"/>
          <w:u w:val="none"/>
          <w14:textFill>
            <w14:solidFill>
              <w14:schemeClr w14:val="tx1"/>
            </w14:solidFill>
          </w14:textFill>
        </w:rPr>
        <w:t>23</w:t>
      </w:r>
      <w:r>
        <w:rPr>
          <w:rStyle w:val="39"/>
          <w:rFonts w:hint="eastAsia" w:asciiTheme="minorEastAsia" w:hAnsiTheme="minorEastAsia" w:eastAsiaTheme="minorEastAsia"/>
          <w:color w:val="000000" w:themeColor="text1"/>
          <w:sz w:val="24"/>
          <w:u w:val="none"/>
          <w14:textFill>
            <w14:solidFill>
              <w14:schemeClr w14:val="tx1"/>
            </w14:solidFill>
          </w14:textFill>
        </w:rPr>
        <w:fldChar w:fldCharType="end"/>
      </w:r>
    </w:p>
    <w:p w14:paraId="3D1FA4C7">
      <w:pPr>
        <w:pStyle w:val="28"/>
        <w:rPr>
          <w:rStyle w:val="39"/>
          <w:rFonts w:asciiTheme="minorEastAsia" w:hAnsiTheme="minorEastAsia" w:eastAsiaTheme="minorEastAsia"/>
          <w:color w:val="000000" w:themeColor="text1"/>
          <w:sz w:val="24"/>
          <w:u w:val="none"/>
          <w14:textFill>
            <w14:solidFill>
              <w14:schemeClr w14:val="tx1"/>
            </w14:solidFill>
          </w14:textFill>
        </w:rPr>
      </w:pPr>
      <w:r>
        <w:fldChar w:fldCharType="begin"/>
      </w:r>
      <w:r>
        <w:instrText xml:space="preserve"> HYPERLINK \l "_Toc151063410" </w:instrText>
      </w:r>
      <w:r>
        <w:fldChar w:fldCharType="separate"/>
      </w:r>
      <w:r>
        <w:rPr>
          <w:rStyle w:val="39"/>
          <w:rFonts w:asciiTheme="minorEastAsia" w:hAnsiTheme="minorEastAsia" w:eastAsiaTheme="minorEastAsia"/>
          <w:color w:val="000000" w:themeColor="text1"/>
          <w:sz w:val="24"/>
          <w:u w:val="none"/>
          <w14:textFill>
            <w14:solidFill>
              <w14:schemeClr w14:val="tx1"/>
            </w14:solidFill>
          </w14:textFill>
        </w:rPr>
        <w:t xml:space="preserve">5.5  </w:t>
      </w:r>
      <w:r>
        <w:rPr>
          <w:rStyle w:val="39"/>
          <w:rFonts w:hint="eastAsia" w:asciiTheme="minorEastAsia" w:hAnsiTheme="minorEastAsia" w:eastAsiaTheme="minorEastAsia"/>
          <w:color w:val="000000" w:themeColor="text1"/>
          <w:sz w:val="24"/>
          <w:u w:val="none"/>
          <w14:textFill>
            <w14:solidFill>
              <w14:schemeClr w14:val="tx1"/>
            </w14:solidFill>
          </w14:textFill>
        </w:rPr>
        <w:t>防烟与排烟系统</w:t>
      </w:r>
      <w:r>
        <w:rPr>
          <w:rStyle w:val="39"/>
          <w:rFonts w:asciiTheme="minorEastAsia" w:hAnsiTheme="minorEastAsia" w:eastAsiaTheme="minorEastAsia"/>
          <w:color w:val="000000" w:themeColor="text1"/>
          <w:sz w:val="24"/>
          <w:u w:val="none"/>
          <w14:textFill>
            <w14:solidFill>
              <w14:schemeClr w14:val="tx1"/>
            </w14:solidFill>
          </w14:textFill>
        </w:rPr>
        <w:tab/>
      </w:r>
      <w:r>
        <w:rPr>
          <w:rStyle w:val="39"/>
          <w:rFonts w:hint="eastAsia" w:asciiTheme="minorEastAsia" w:hAnsiTheme="minorEastAsia" w:eastAsiaTheme="minorEastAsia"/>
          <w:color w:val="000000" w:themeColor="text1"/>
          <w:sz w:val="24"/>
          <w:u w:val="none"/>
          <w14:textFill>
            <w14:solidFill>
              <w14:schemeClr w14:val="tx1"/>
            </w14:solidFill>
          </w14:textFill>
        </w:rPr>
        <w:t>24</w:t>
      </w:r>
      <w:r>
        <w:rPr>
          <w:rStyle w:val="39"/>
          <w:rFonts w:hint="eastAsia" w:asciiTheme="minorEastAsia" w:hAnsiTheme="minorEastAsia" w:eastAsiaTheme="minorEastAsia"/>
          <w:color w:val="000000" w:themeColor="text1"/>
          <w:sz w:val="24"/>
          <w:u w:val="none"/>
          <w14:textFill>
            <w14:solidFill>
              <w14:schemeClr w14:val="tx1"/>
            </w14:solidFill>
          </w14:textFill>
        </w:rPr>
        <w:fldChar w:fldCharType="end"/>
      </w:r>
    </w:p>
    <w:p w14:paraId="122DCED0">
      <w:pPr>
        <w:pStyle w:val="28"/>
        <w:rPr>
          <w:rStyle w:val="39"/>
          <w:rFonts w:asciiTheme="minorEastAsia" w:hAnsiTheme="minorEastAsia" w:eastAsiaTheme="minorEastAsia"/>
          <w:color w:val="000000" w:themeColor="text1"/>
          <w:sz w:val="24"/>
          <w:u w:val="none"/>
          <w14:textFill>
            <w14:solidFill>
              <w14:schemeClr w14:val="tx1"/>
            </w14:solidFill>
          </w14:textFill>
        </w:rPr>
      </w:pPr>
      <w:r>
        <w:fldChar w:fldCharType="begin"/>
      </w:r>
      <w:r>
        <w:instrText xml:space="preserve"> HYPERLINK \l "_Toc151063411" </w:instrText>
      </w:r>
      <w:r>
        <w:fldChar w:fldCharType="separate"/>
      </w:r>
      <w:r>
        <w:rPr>
          <w:rStyle w:val="39"/>
          <w:rFonts w:asciiTheme="minorEastAsia" w:hAnsiTheme="minorEastAsia" w:eastAsiaTheme="minorEastAsia"/>
          <w:color w:val="000000" w:themeColor="text1"/>
          <w:sz w:val="24"/>
          <w:u w:val="none"/>
          <w14:textFill>
            <w14:solidFill>
              <w14:schemeClr w14:val="tx1"/>
            </w14:solidFill>
          </w14:textFill>
        </w:rPr>
        <w:t xml:space="preserve">5.6  </w:t>
      </w:r>
      <w:r>
        <w:rPr>
          <w:rStyle w:val="39"/>
          <w:rFonts w:hint="eastAsia" w:asciiTheme="minorEastAsia" w:hAnsiTheme="minorEastAsia" w:eastAsiaTheme="minorEastAsia"/>
          <w:color w:val="000000" w:themeColor="text1"/>
          <w:sz w:val="24"/>
          <w:u w:val="none"/>
          <w14:textFill>
            <w14:solidFill>
              <w14:schemeClr w14:val="tx1"/>
            </w14:solidFill>
          </w14:textFill>
        </w:rPr>
        <w:t>火灾自动报警系统</w:t>
      </w:r>
      <w:r>
        <w:rPr>
          <w:rStyle w:val="39"/>
          <w:rFonts w:asciiTheme="minorEastAsia" w:hAnsiTheme="minorEastAsia" w:eastAsiaTheme="minorEastAsia"/>
          <w:color w:val="000000" w:themeColor="text1"/>
          <w:sz w:val="24"/>
          <w:u w:val="none"/>
          <w14:textFill>
            <w14:solidFill>
              <w14:schemeClr w14:val="tx1"/>
            </w14:solidFill>
          </w14:textFill>
        </w:rPr>
        <w:tab/>
      </w:r>
      <w:r>
        <w:rPr>
          <w:rStyle w:val="39"/>
          <w:rFonts w:hint="eastAsia" w:asciiTheme="minorEastAsia" w:hAnsiTheme="minorEastAsia" w:eastAsiaTheme="minorEastAsia"/>
          <w:color w:val="000000" w:themeColor="text1"/>
          <w:sz w:val="24"/>
          <w:u w:val="none"/>
          <w14:textFill>
            <w14:solidFill>
              <w14:schemeClr w14:val="tx1"/>
            </w14:solidFill>
          </w14:textFill>
        </w:rPr>
        <w:t>25</w:t>
      </w:r>
      <w:r>
        <w:rPr>
          <w:rStyle w:val="39"/>
          <w:rFonts w:hint="eastAsia" w:asciiTheme="minorEastAsia" w:hAnsiTheme="minorEastAsia" w:eastAsiaTheme="minorEastAsia"/>
          <w:color w:val="000000" w:themeColor="text1"/>
          <w:sz w:val="24"/>
          <w:u w:val="none"/>
          <w14:textFill>
            <w14:solidFill>
              <w14:schemeClr w14:val="tx1"/>
            </w14:solidFill>
          </w14:textFill>
        </w:rPr>
        <w:fldChar w:fldCharType="end"/>
      </w:r>
    </w:p>
    <w:p w14:paraId="69D495E2">
      <w:pPr>
        <w:pStyle w:val="28"/>
        <w:rPr>
          <w:rStyle w:val="39"/>
          <w:rFonts w:asciiTheme="minorEastAsia" w:hAnsiTheme="minorEastAsia" w:eastAsiaTheme="minorEastAsia"/>
          <w:color w:val="000000" w:themeColor="text1"/>
          <w:sz w:val="24"/>
          <w:u w:val="none"/>
          <w14:textFill>
            <w14:solidFill>
              <w14:schemeClr w14:val="tx1"/>
            </w14:solidFill>
          </w14:textFill>
        </w:rPr>
      </w:pPr>
      <w:r>
        <w:fldChar w:fldCharType="begin"/>
      </w:r>
      <w:r>
        <w:instrText xml:space="preserve"> HYPERLINK \l "_Toc151063412" </w:instrText>
      </w:r>
      <w:r>
        <w:fldChar w:fldCharType="separate"/>
      </w:r>
      <w:r>
        <w:rPr>
          <w:rStyle w:val="39"/>
          <w:rFonts w:asciiTheme="minorEastAsia" w:hAnsiTheme="minorEastAsia" w:eastAsiaTheme="minorEastAsia"/>
          <w:color w:val="000000" w:themeColor="text1"/>
          <w:sz w:val="24"/>
          <w:u w:val="none"/>
          <w14:textFill>
            <w14:solidFill>
              <w14:schemeClr w14:val="tx1"/>
            </w14:solidFill>
          </w14:textFill>
        </w:rPr>
        <w:t xml:space="preserve">6  </w:t>
      </w:r>
      <w:r>
        <w:rPr>
          <w:rStyle w:val="39"/>
          <w:rFonts w:hint="eastAsia" w:asciiTheme="minorEastAsia" w:hAnsiTheme="minorEastAsia" w:eastAsiaTheme="minorEastAsia"/>
          <w:color w:val="000000" w:themeColor="text1"/>
          <w:sz w:val="24"/>
          <w:u w:val="none"/>
          <w14:textFill>
            <w14:solidFill>
              <w14:schemeClr w14:val="tx1"/>
            </w14:solidFill>
          </w14:textFill>
        </w:rPr>
        <w:t>消防电气</w:t>
      </w:r>
      <w:r>
        <w:rPr>
          <w:rStyle w:val="39"/>
          <w:rFonts w:asciiTheme="minorEastAsia" w:hAnsiTheme="minorEastAsia" w:eastAsiaTheme="minorEastAsia"/>
          <w:color w:val="000000" w:themeColor="text1"/>
          <w:sz w:val="24"/>
          <w:u w:val="none"/>
          <w14:textFill>
            <w14:solidFill>
              <w14:schemeClr w14:val="tx1"/>
            </w14:solidFill>
          </w14:textFill>
        </w:rPr>
        <w:tab/>
      </w:r>
      <w:r>
        <w:rPr>
          <w:rStyle w:val="39"/>
          <w:rFonts w:hint="eastAsia" w:asciiTheme="minorEastAsia" w:hAnsiTheme="minorEastAsia" w:eastAsiaTheme="minorEastAsia"/>
          <w:color w:val="000000" w:themeColor="text1"/>
          <w:sz w:val="24"/>
          <w:u w:val="none"/>
          <w14:textFill>
            <w14:solidFill>
              <w14:schemeClr w14:val="tx1"/>
            </w14:solidFill>
          </w14:textFill>
        </w:rPr>
        <w:t>26</w:t>
      </w:r>
      <w:r>
        <w:rPr>
          <w:rStyle w:val="39"/>
          <w:rFonts w:hint="eastAsia" w:asciiTheme="minorEastAsia" w:hAnsiTheme="minorEastAsia" w:eastAsiaTheme="minorEastAsia"/>
          <w:color w:val="000000" w:themeColor="text1"/>
          <w:sz w:val="24"/>
          <w:u w:val="none"/>
          <w14:textFill>
            <w14:solidFill>
              <w14:schemeClr w14:val="tx1"/>
            </w14:solidFill>
          </w14:textFill>
        </w:rPr>
        <w:fldChar w:fldCharType="end"/>
      </w:r>
    </w:p>
    <w:p w14:paraId="69484A25">
      <w:pPr>
        <w:pStyle w:val="28"/>
        <w:rPr>
          <w:rStyle w:val="39"/>
          <w:rFonts w:asciiTheme="minorEastAsia" w:hAnsiTheme="minorEastAsia" w:eastAsiaTheme="minorEastAsia"/>
          <w:color w:val="000000" w:themeColor="text1"/>
          <w:sz w:val="24"/>
          <w:u w:val="none"/>
          <w14:textFill>
            <w14:solidFill>
              <w14:schemeClr w14:val="tx1"/>
            </w14:solidFill>
          </w14:textFill>
        </w:rPr>
      </w:pPr>
      <w:r>
        <w:fldChar w:fldCharType="begin"/>
      </w:r>
      <w:r>
        <w:instrText xml:space="preserve"> HYPERLINK \l "_Toc151063413" </w:instrText>
      </w:r>
      <w:r>
        <w:fldChar w:fldCharType="separate"/>
      </w:r>
      <w:r>
        <w:rPr>
          <w:rStyle w:val="39"/>
          <w:rFonts w:asciiTheme="minorEastAsia" w:hAnsiTheme="minorEastAsia" w:eastAsiaTheme="minorEastAsia"/>
          <w:color w:val="000000" w:themeColor="text1"/>
          <w:sz w:val="24"/>
          <w:u w:val="none"/>
          <w14:textFill>
            <w14:solidFill>
              <w14:schemeClr w14:val="tx1"/>
            </w14:solidFill>
          </w14:textFill>
        </w:rPr>
        <w:t xml:space="preserve">6.3  </w:t>
      </w:r>
      <w:r>
        <w:rPr>
          <w:rStyle w:val="39"/>
          <w:rFonts w:hint="eastAsia" w:asciiTheme="minorEastAsia" w:hAnsiTheme="minorEastAsia" w:eastAsiaTheme="minorEastAsia"/>
          <w:color w:val="000000" w:themeColor="text1"/>
          <w:sz w:val="24"/>
          <w:u w:val="none"/>
          <w14:textFill>
            <w14:solidFill>
              <w14:schemeClr w14:val="tx1"/>
            </w14:solidFill>
          </w14:textFill>
        </w:rPr>
        <w:t>非消防电气线路</w:t>
      </w:r>
      <w:r>
        <w:rPr>
          <w:rStyle w:val="39"/>
          <w:rFonts w:asciiTheme="minorEastAsia" w:hAnsiTheme="minorEastAsia" w:eastAsiaTheme="minorEastAsia"/>
          <w:color w:val="000000" w:themeColor="text1"/>
          <w:sz w:val="24"/>
          <w:u w:val="none"/>
          <w14:textFill>
            <w14:solidFill>
              <w14:schemeClr w14:val="tx1"/>
            </w14:solidFill>
          </w14:textFill>
        </w:rPr>
        <w:tab/>
      </w:r>
      <w:r>
        <w:rPr>
          <w:rStyle w:val="39"/>
          <w:rFonts w:hint="eastAsia" w:asciiTheme="minorEastAsia" w:hAnsiTheme="minorEastAsia" w:eastAsiaTheme="minorEastAsia"/>
          <w:color w:val="000000" w:themeColor="text1"/>
          <w:sz w:val="24"/>
          <w:u w:val="none"/>
          <w14:textFill>
            <w14:solidFill>
              <w14:schemeClr w14:val="tx1"/>
            </w14:solidFill>
          </w14:textFill>
        </w:rPr>
        <w:t>26</w:t>
      </w:r>
      <w:r>
        <w:rPr>
          <w:rStyle w:val="39"/>
          <w:rFonts w:hint="eastAsia" w:asciiTheme="minorEastAsia" w:hAnsiTheme="minorEastAsia" w:eastAsiaTheme="minorEastAsia"/>
          <w:color w:val="000000" w:themeColor="text1"/>
          <w:sz w:val="24"/>
          <w:u w:val="none"/>
          <w14:textFill>
            <w14:solidFill>
              <w14:schemeClr w14:val="tx1"/>
            </w14:solidFill>
          </w14:textFill>
        </w:rPr>
        <w:fldChar w:fldCharType="end"/>
      </w:r>
    </w:p>
    <w:p w14:paraId="53E80749">
      <w:pPr>
        <w:pStyle w:val="28"/>
        <w:rPr>
          <w:rStyle w:val="39"/>
          <w:rFonts w:asciiTheme="minorEastAsia" w:hAnsiTheme="minorEastAsia" w:eastAsiaTheme="minorEastAsia"/>
          <w:color w:val="000000" w:themeColor="text1"/>
          <w:sz w:val="24"/>
          <w:u w:val="none"/>
          <w14:textFill>
            <w14:solidFill>
              <w14:schemeClr w14:val="tx1"/>
            </w14:solidFill>
          </w14:textFill>
        </w:rPr>
      </w:pPr>
      <w:r>
        <w:fldChar w:fldCharType="begin"/>
      </w:r>
      <w:r>
        <w:instrText xml:space="preserve"> HYPERLINK \l "_Toc151063414" </w:instrText>
      </w:r>
      <w:r>
        <w:fldChar w:fldCharType="separate"/>
      </w:r>
      <w:r>
        <w:rPr>
          <w:rStyle w:val="39"/>
          <w:rFonts w:asciiTheme="minorEastAsia" w:hAnsiTheme="minorEastAsia" w:eastAsiaTheme="minorEastAsia"/>
          <w:color w:val="000000" w:themeColor="text1"/>
          <w:sz w:val="24"/>
          <w:u w:val="none"/>
          <w14:textFill>
            <w14:solidFill>
              <w14:schemeClr w14:val="tx1"/>
            </w14:solidFill>
          </w14:textFill>
        </w:rPr>
        <w:t xml:space="preserve">7  </w:t>
      </w:r>
      <w:r>
        <w:rPr>
          <w:rStyle w:val="39"/>
          <w:rFonts w:hint="eastAsia" w:asciiTheme="minorEastAsia" w:hAnsiTheme="minorEastAsia" w:eastAsiaTheme="minorEastAsia"/>
          <w:color w:val="000000" w:themeColor="text1"/>
          <w:sz w:val="24"/>
          <w:u w:val="none"/>
          <w14:textFill>
            <w14:solidFill>
              <w14:schemeClr w14:val="tx1"/>
            </w14:solidFill>
          </w14:textFill>
        </w:rPr>
        <w:t>平房院落</w:t>
      </w:r>
      <w:r>
        <w:rPr>
          <w:rStyle w:val="39"/>
          <w:rFonts w:asciiTheme="minorEastAsia" w:hAnsiTheme="minorEastAsia" w:eastAsiaTheme="minorEastAsia"/>
          <w:color w:val="000000" w:themeColor="text1"/>
          <w:sz w:val="24"/>
          <w:u w:val="none"/>
          <w14:textFill>
            <w14:solidFill>
              <w14:schemeClr w14:val="tx1"/>
            </w14:solidFill>
          </w14:textFill>
        </w:rPr>
        <w:tab/>
      </w:r>
      <w:r>
        <w:rPr>
          <w:rStyle w:val="39"/>
          <w:rFonts w:hint="eastAsia" w:asciiTheme="minorEastAsia" w:hAnsiTheme="minorEastAsia" w:eastAsiaTheme="minorEastAsia"/>
          <w:color w:val="000000" w:themeColor="text1"/>
          <w:sz w:val="24"/>
          <w:u w:val="none"/>
          <w14:textFill>
            <w14:solidFill>
              <w14:schemeClr w14:val="tx1"/>
            </w14:solidFill>
          </w14:textFill>
        </w:rPr>
        <w:t>27</w:t>
      </w:r>
      <w:r>
        <w:rPr>
          <w:rStyle w:val="39"/>
          <w:rFonts w:hint="eastAsia" w:asciiTheme="minorEastAsia" w:hAnsiTheme="minorEastAsia" w:eastAsiaTheme="minorEastAsia"/>
          <w:color w:val="000000" w:themeColor="text1"/>
          <w:sz w:val="24"/>
          <w:u w:val="none"/>
          <w14:textFill>
            <w14:solidFill>
              <w14:schemeClr w14:val="tx1"/>
            </w14:solidFill>
          </w14:textFill>
        </w:rPr>
        <w:fldChar w:fldCharType="end"/>
      </w:r>
    </w:p>
    <w:p w14:paraId="6F0F4E8E">
      <w:pPr>
        <w:pStyle w:val="28"/>
        <w:rPr>
          <w:rStyle w:val="39"/>
          <w:rFonts w:asciiTheme="minorEastAsia" w:hAnsiTheme="minorEastAsia" w:eastAsiaTheme="minorEastAsia"/>
          <w:color w:val="000000" w:themeColor="text1"/>
          <w:sz w:val="24"/>
          <w:u w:val="none"/>
          <w14:textFill>
            <w14:solidFill>
              <w14:schemeClr w14:val="tx1"/>
            </w14:solidFill>
          </w14:textFill>
        </w:rPr>
      </w:pPr>
      <w:r>
        <w:fldChar w:fldCharType="begin"/>
      </w:r>
      <w:r>
        <w:instrText xml:space="preserve"> HYPERLINK \l "_Toc151063415" </w:instrText>
      </w:r>
      <w:r>
        <w:fldChar w:fldCharType="separate"/>
      </w:r>
      <w:r>
        <w:rPr>
          <w:rStyle w:val="39"/>
          <w:rFonts w:asciiTheme="minorEastAsia" w:hAnsiTheme="minorEastAsia" w:eastAsiaTheme="minorEastAsia"/>
          <w:color w:val="000000" w:themeColor="text1"/>
          <w:sz w:val="24"/>
          <w:u w:val="none"/>
          <w14:textFill>
            <w14:solidFill>
              <w14:schemeClr w14:val="tx1"/>
            </w14:solidFill>
          </w14:textFill>
        </w:rPr>
        <w:t xml:space="preserve">7.1  </w:t>
      </w:r>
      <w:r>
        <w:rPr>
          <w:rStyle w:val="39"/>
          <w:rFonts w:hint="eastAsia" w:asciiTheme="minorEastAsia" w:hAnsiTheme="minorEastAsia" w:eastAsiaTheme="minorEastAsia"/>
          <w:color w:val="000000" w:themeColor="text1"/>
          <w:sz w:val="24"/>
          <w:u w:val="none"/>
          <w14:textFill>
            <w14:solidFill>
              <w14:schemeClr w14:val="tx1"/>
            </w14:solidFill>
          </w14:textFill>
        </w:rPr>
        <w:t>平房区</w:t>
      </w:r>
      <w:r>
        <w:rPr>
          <w:rStyle w:val="39"/>
          <w:rFonts w:asciiTheme="minorEastAsia" w:hAnsiTheme="minorEastAsia" w:eastAsiaTheme="minorEastAsia"/>
          <w:color w:val="000000" w:themeColor="text1"/>
          <w:sz w:val="24"/>
          <w:u w:val="none"/>
          <w14:textFill>
            <w14:solidFill>
              <w14:schemeClr w14:val="tx1"/>
            </w14:solidFill>
          </w14:textFill>
        </w:rPr>
        <w:tab/>
      </w:r>
      <w:r>
        <w:rPr>
          <w:rStyle w:val="39"/>
          <w:rFonts w:hint="eastAsia" w:asciiTheme="minorEastAsia" w:hAnsiTheme="minorEastAsia" w:eastAsiaTheme="minorEastAsia"/>
          <w:color w:val="000000" w:themeColor="text1"/>
          <w:sz w:val="24"/>
          <w:u w:val="none"/>
          <w14:textFill>
            <w14:solidFill>
              <w14:schemeClr w14:val="tx1"/>
            </w14:solidFill>
          </w14:textFill>
        </w:rPr>
        <w:t>27</w:t>
      </w:r>
      <w:r>
        <w:rPr>
          <w:rStyle w:val="39"/>
          <w:rFonts w:hint="eastAsia" w:asciiTheme="minorEastAsia" w:hAnsiTheme="minorEastAsia" w:eastAsiaTheme="minorEastAsia"/>
          <w:color w:val="000000" w:themeColor="text1"/>
          <w:sz w:val="24"/>
          <w:u w:val="none"/>
          <w14:textFill>
            <w14:solidFill>
              <w14:schemeClr w14:val="tx1"/>
            </w14:solidFill>
          </w14:textFill>
        </w:rPr>
        <w:fldChar w:fldCharType="end"/>
      </w:r>
    </w:p>
    <w:p w14:paraId="57E97B99">
      <w:pPr>
        <w:pStyle w:val="28"/>
        <w:rPr>
          <w:rStyle w:val="39"/>
          <w:rFonts w:asciiTheme="minorEastAsia" w:hAnsiTheme="minorEastAsia" w:eastAsiaTheme="minorEastAsia"/>
          <w:color w:val="000000" w:themeColor="text1"/>
          <w:sz w:val="24"/>
          <w:u w:val="none"/>
          <w14:textFill>
            <w14:solidFill>
              <w14:schemeClr w14:val="tx1"/>
            </w14:solidFill>
          </w14:textFill>
        </w:rPr>
      </w:pPr>
      <w:r>
        <w:fldChar w:fldCharType="begin"/>
      </w:r>
      <w:r>
        <w:instrText xml:space="preserve"> HYPERLINK \l "_Toc151063416" </w:instrText>
      </w:r>
      <w:r>
        <w:fldChar w:fldCharType="separate"/>
      </w:r>
      <w:r>
        <w:rPr>
          <w:rStyle w:val="39"/>
          <w:rFonts w:asciiTheme="minorEastAsia" w:hAnsiTheme="minorEastAsia" w:eastAsiaTheme="minorEastAsia"/>
          <w:color w:val="000000" w:themeColor="text1"/>
          <w:sz w:val="24"/>
          <w:u w:val="none"/>
          <w14:textFill>
            <w14:solidFill>
              <w14:schemeClr w14:val="tx1"/>
            </w14:solidFill>
          </w14:textFill>
        </w:rPr>
        <w:t xml:space="preserve">7.2  </w:t>
      </w:r>
      <w:r>
        <w:rPr>
          <w:rStyle w:val="39"/>
          <w:rFonts w:hint="eastAsia" w:asciiTheme="minorEastAsia" w:hAnsiTheme="minorEastAsia" w:eastAsiaTheme="minorEastAsia"/>
          <w:color w:val="000000" w:themeColor="text1"/>
          <w:sz w:val="24"/>
          <w:u w:val="none"/>
          <w14:textFill>
            <w14:solidFill>
              <w14:schemeClr w14:val="tx1"/>
            </w14:solidFill>
          </w14:textFill>
        </w:rPr>
        <w:t>平房院落</w:t>
      </w:r>
      <w:r>
        <w:rPr>
          <w:rStyle w:val="39"/>
          <w:rFonts w:asciiTheme="minorEastAsia" w:hAnsiTheme="minorEastAsia" w:eastAsiaTheme="minorEastAsia"/>
          <w:color w:val="000000" w:themeColor="text1"/>
          <w:sz w:val="24"/>
          <w:u w:val="none"/>
          <w14:textFill>
            <w14:solidFill>
              <w14:schemeClr w14:val="tx1"/>
            </w14:solidFill>
          </w14:textFill>
        </w:rPr>
        <w:tab/>
      </w:r>
      <w:r>
        <w:rPr>
          <w:rStyle w:val="39"/>
          <w:rFonts w:hint="eastAsia" w:asciiTheme="minorEastAsia" w:hAnsiTheme="minorEastAsia" w:eastAsiaTheme="minorEastAsia"/>
          <w:color w:val="000000" w:themeColor="text1"/>
          <w:sz w:val="24"/>
          <w:u w:val="none"/>
          <w14:textFill>
            <w14:solidFill>
              <w14:schemeClr w14:val="tx1"/>
            </w14:solidFill>
          </w14:textFill>
        </w:rPr>
        <w:t>28</w:t>
      </w:r>
      <w:r>
        <w:rPr>
          <w:rStyle w:val="39"/>
          <w:rFonts w:hint="eastAsia" w:asciiTheme="minorEastAsia" w:hAnsiTheme="minorEastAsia" w:eastAsiaTheme="minorEastAsia"/>
          <w:color w:val="000000" w:themeColor="text1"/>
          <w:sz w:val="24"/>
          <w:u w:val="none"/>
          <w14:textFill>
            <w14:solidFill>
              <w14:schemeClr w14:val="tx1"/>
            </w14:solidFill>
          </w14:textFill>
        </w:rPr>
        <w:fldChar w:fldCharType="end"/>
      </w:r>
    </w:p>
    <w:p w14:paraId="014CC80E">
      <w:pPr>
        <w:pStyle w:val="28"/>
        <w:rPr>
          <w:rStyle w:val="39"/>
          <w:rFonts w:asciiTheme="minorEastAsia" w:hAnsiTheme="minorEastAsia" w:eastAsiaTheme="minorEastAsia"/>
          <w:color w:val="000000" w:themeColor="text1"/>
          <w:sz w:val="24"/>
          <w:u w:val="none"/>
          <w14:textFill>
            <w14:solidFill>
              <w14:schemeClr w14:val="tx1"/>
            </w14:solidFill>
          </w14:textFill>
        </w:rPr>
      </w:pPr>
      <w:r>
        <w:fldChar w:fldCharType="begin"/>
      </w:r>
      <w:r>
        <w:instrText xml:space="preserve"> HYPERLINK \l "_Toc151063417" </w:instrText>
      </w:r>
      <w:r>
        <w:fldChar w:fldCharType="separate"/>
      </w:r>
      <w:r>
        <w:rPr>
          <w:rStyle w:val="39"/>
          <w:rFonts w:asciiTheme="minorEastAsia" w:hAnsiTheme="minorEastAsia" w:eastAsiaTheme="minorEastAsia"/>
          <w:color w:val="000000" w:themeColor="text1"/>
          <w:sz w:val="24"/>
          <w:u w:val="none"/>
          <w14:textFill>
            <w14:solidFill>
              <w14:schemeClr w14:val="tx1"/>
            </w14:solidFill>
          </w14:textFill>
        </w:rPr>
        <w:t xml:space="preserve">7.3  </w:t>
      </w:r>
      <w:r>
        <w:rPr>
          <w:rStyle w:val="39"/>
          <w:rFonts w:hint="eastAsia" w:asciiTheme="minorEastAsia" w:hAnsiTheme="minorEastAsia" w:eastAsiaTheme="minorEastAsia"/>
          <w:color w:val="000000" w:themeColor="text1"/>
          <w:sz w:val="24"/>
          <w:u w:val="none"/>
          <w14:textFill>
            <w14:solidFill>
              <w14:schemeClr w14:val="tx1"/>
            </w14:solidFill>
          </w14:textFill>
        </w:rPr>
        <w:t>商业设施</w:t>
      </w:r>
      <w:r>
        <w:rPr>
          <w:rStyle w:val="39"/>
          <w:rFonts w:asciiTheme="minorEastAsia" w:hAnsiTheme="minorEastAsia" w:eastAsiaTheme="minorEastAsia"/>
          <w:color w:val="000000" w:themeColor="text1"/>
          <w:sz w:val="24"/>
          <w:u w:val="none"/>
          <w14:textFill>
            <w14:solidFill>
              <w14:schemeClr w14:val="tx1"/>
            </w14:solidFill>
          </w14:textFill>
        </w:rPr>
        <w:tab/>
      </w:r>
      <w:r>
        <w:rPr>
          <w:rStyle w:val="39"/>
          <w:rFonts w:hint="eastAsia" w:asciiTheme="minorEastAsia" w:hAnsiTheme="minorEastAsia" w:eastAsiaTheme="minorEastAsia"/>
          <w:color w:val="000000" w:themeColor="text1"/>
          <w:sz w:val="24"/>
          <w:u w:val="none"/>
          <w14:textFill>
            <w14:solidFill>
              <w14:schemeClr w14:val="tx1"/>
            </w14:solidFill>
          </w14:textFill>
        </w:rPr>
        <w:t>29</w:t>
      </w:r>
      <w:r>
        <w:rPr>
          <w:rStyle w:val="39"/>
          <w:rFonts w:hint="eastAsia" w:asciiTheme="minorEastAsia" w:hAnsiTheme="minorEastAsia" w:eastAsiaTheme="minorEastAsia"/>
          <w:color w:val="000000" w:themeColor="text1"/>
          <w:sz w:val="24"/>
          <w:u w:val="none"/>
          <w14:textFill>
            <w14:solidFill>
              <w14:schemeClr w14:val="tx1"/>
            </w14:solidFill>
          </w14:textFill>
        </w:rPr>
        <w:fldChar w:fldCharType="end"/>
      </w:r>
    </w:p>
    <w:p w14:paraId="00F12006">
      <w:pPr>
        <w:pStyle w:val="128"/>
      </w:pPr>
    </w:p>
    <w:p w14:paraId="466662B3">
      <w:pPr>
        <w:widowControl/>
        <w:jc w:val="left"/>
        <w:rPr>
          <w:rFonts w:asciiTheme="minorEastAsia" w:hAnsiTheme="minorEastAsia" w:eastAsiaTheme="minorEastAsia"/>
          <w:sz w:val="24"/>
        </w:rPr>
      </w:pPr>
    </w:p>
    <w:p w14:paraId="4B6B3C09">
      <w:pPr>
        <w:widowControl/>
        <w:jc w:val="left"/>
        <w:rPr>
          <w:rFonts w:asciiTheme="minorEastAsia" w:hAnsiTheme="minorEastAsia" w:eastAsiaTheme="minorEastAsia"/>
          <w:color w:val="FF0000"/>
          <w:sz w:val="24"/>
        </w:rPr>
      </w:pPr>
    </w:p>
    <w:p w14:paraId="58A2D793">
      <w:pPr>
        <w:widowControl/>
        <w:jc w:val="left"/>
        <w:rPr>
          <w:rFonts w:asciiTheme="minorEastAsia" w:hAnsiTheme="minorEastAsia" w:eastAsiaTheme="minorEastAsia"/>
          <w:sz w:val="24"/>
        </w:rPr>
      </w:pPr>
    </w:p>
    <w:p w14:paraId="793AA404">
      <w:pPr>
        <w:widowControl/>
        <w:jc w:val="left"/>
        <w:rPr>
          <w:rFonts w:asciiTheme="minorEastAsia" w:hAnsiTheme="minorEastAsia" w:eastAsiaTheme="minorEastAsia"/>
          <w:sz w:val="24"/>
        </w:rPr>
      </w:pPr>
    </w:p>
    <w:p w14:paraId="5B43C639">
      <w:pPr>
        <w:widowControl/>
        <w:jc w:val="left"/>
        <w:rPr>
          <w:rFonts w:asciiTheme="minorEastAsia" w:hAnsiTheme="minorEastAsia" w:eastAsiaTheme="minorEastAsia"/>
          <w:sz w:val="24"/>
        </w:rPr>
        <w:sectPr>
          <w:footerReference r:id="rId7" w:type="default"/>
          <w:pgSz w:w="11907" w:h="16840"/>
          <w:pgMar w:top="1418" w:right="1276" w:bottom="1134" w:left="1276" w:header="1418" w:footer="851" w:gutter="0"/>
          <w:pgNumType w:fmt="upperRoman" w:start="1"/>
          <w:cols w:space="425" w:num="1"/>
          <w:docGrid w:type="lines" w:linePitch="324" w:charSpace="0"/>
        </w:sectPr>
      </w:pPr>
    </w:p>
    <w:p w14:paraId="1555BDBC">
      <w:pPr>
        <w:pStyle w:val="3"/>
        <w:spacing w:line="360" w:lineRule="auto"/>
        <w:rPr>
          <w:sz w:val="36"/>
          <w:szCs w:val="36"/>
        </w:rPr>
      </w:pPr>
      <w:bookmarkStart w:id="147" w:name="_Toc151063139"/>
      <w:bookmarkStart w:id="148" w:name="_Toc151063002"/>
      <w:bookmarkStart w:id="149" w:name="_Toc151062849"/>
      <w:r>
        <w:rPr>
          <w:rFonts w:hint="eastAsia"/>
          <w:sz w:val="36"/>
          <w:szCs w:val="36"/>
        </w:rPr>
        <w:t>1</w:t>
      </w:r>
      <w:r>
        <w:rPr>
          <w:sz w:val="36"/>
          <w:szCs w:val="36"/>
        </w:rPr>
        <w:t xml:space="preserve">  </w:t>
      </w:r>
      <w:r>
        <w:rPr>
          <w:rFonts w:hint="eastAsia"/>
          <w:sz w:val="36"/>
          <w:szCs w:val="36"/>
        </w:rPr>
        <w:t>总   则</w:t>
      </w:r>
      <w:bookmarkEnd w:id="147"/>
      <w:bookmarkEnd w:id="148"/>
      <w:bookmarkEnd w:id="149"/>
    </w:p>
    <w:p w14:paraId="33E545C5">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1.0.2</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第1款中的工业建筑改造利用指工业建筑改造为民用建筑，不包括使用分类不改变的既有工业建筑升级改造项目。</w:t>
      </w:r>
    </w:p>
    <w:p w14:paraId="393A97DD">
      <w:pPr>
        <w:widowControl/>
        <w:snapToGrid w:val="0"/>
        <w:spacing w:line="300" w:lineRule="auto"/>
        <w:ind w:left="420" w:firstLine="420"/>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第3款中，平房院落及平房区内的历史建筑适用于本标准。</w:t>
      </w:r>
    </w:p>
    <w:p w14:paraId="385B5277">
      <w:pPr>
        <w:widowControl/>
        <w:snapToGrid w:val="0"/>
        <w:spacing w:line="300" w:lineRule="auto"/>
        <w:ind w:firstLine="851"/>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本标准不适用的建设活动范围包括了《建设工程消防设计审查验收管理暂行规定》（</w:t>
      </w:r>
      <w:r>
        <w:rPr>
          <w:rFonts w:hint="eastAsia" w:ascii="宋体" w:hAnsi="宋体"/>
          <w:color w:val="000000" w:themeColor="text1"/>
          <w:sz w:val="28"/>
          <w:szCs w:val="28"/>
          <w:lang w:eastAsia="zh-CN"/>
          <w14:textFill>
            <w14:solidFill>
              <w14:schemeClr w14:val="tx1"/>
            </w14:solidFill>
          </w14:textFill>
        </w:rPr>
        <w:t>住房和城乡建设部</w:t>
      </w:r>
      <w:r>
        <w:rPr>
          <w:rFonts w:hint="eastAsia" w:ascii="宋体" w:hAnsi="宋体"/>
          <w:color w:val="000000" w:themeColor="text1"/>
          <w:sz w:val="28"/>
          <w:szCs w:val="28"/>
          <w14:textFill>
            <w14:solidFill>
              <w14:schemeClr w14:val="tx1"/>
            </w14:solidFill>
          </w14:textFill>
        </w:rPr>
        <w:t>令第58号）第44条中规定的内容。不适用的建筑类型进行改造时，可依据</w:t>
      </w:r>
      <w:r>
        <w:rPr>
          <w:rFonts w:hint="eastAsia" w:ascii="宋体" w:hAnsi="宋体"/>
          <w:color w:val="000000" w:themeColor="text1"/>
          <w:sz w:val="28"/>
          <w:szCs w:val="28"/>
          <w:lang w:eastAsia="zh-CN"/>
          <w14:textFill>
            <w14:solidFill>
              <w14:schemeClr w14:val="tx1"/>
            </w14:solidFill>
          </w14:textFill>
        </w:rPr>
        <w:t>住房和城乡建设部</w:t>
      </w:r>
      <w:r>
        <w:rPr>
          <w:rFonts w:hint="eastAsia" w:ascii="宋体" w:hAnsi="宋体"/>
          <w:color w:val="000000" w:themeColor="text1"/>
          <w:sz w:val="28"/>
          <w:szCs w:val="28"/>
          <w14:textFill>
            <w14:solidFill>
              <w14:schemeClr w14:val="tx1"/>
            </w14:solidFill>
          </w14:textFill>
        </w:rPr>
        <w:t>及北京市另行发布的相关消防技术标准、政策文件进行消防研究及消防专项技术设计。规划管理部门对历史建筑的改造工程一般会有较为个性化的要求，其防火设计目前也可参照执行本标准。</w:t>
      </w:r>
    </w:p>
    <w:p w14:paraId="4711F34A">
      <w:pPr>
        <w:widowControl/>
        <w:snapToGrid w:val="0"/>
        <w:spacing w:line="300" w:lineRule="auto"/>
        <w:ind w:firstLine="851"/>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设计图纸变更设计，不属于改造工程设计。</w:t>
      </w:r>
    </w:p>
    <w:p w14:paraId="15DB647D">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1.0.3</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防止大拆大建，有效补短板是城市更新的原则，也是既有建筑改造的重要前提。既有建筑改造工程应在设计中倡导城市有机更新，践行安全绿色发展理念，坚守不降低既有建筑原有消防安全水平的底线，合理控制改造费用，充分尊重改造建筑的现状与历史，综合考虑新旧技术标准的差异，通过采取科学合理的消防性能补偿技术措施，统筹协调改造可行性和技术合理性，从而实现消防安全性能的整体提升。</w:t>
      </w:r>
    </w:p>
    <w:p w14:paraId="20E9327B">
      <w:pPr>
        <w:widowControl/>
        <w:snapToGrid w:val="0"/>
        <w:spacing w:line="300" w:lineRule="auto"/>
        <w:ind w:firstLine="709"/>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防火设计不能简单、机械地执行现行技术标准，也不能降低既有建筑消防安全水准的底线，两者要有机统一，互相协调，不能片面孤立地强调其一。</w:t>
      </w:r>
    </w:p>
    <w:p w14:paraId="1B6E3FC8">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由于既有建筑的建设年代难以明确界定，其时设计依据的标准很难查找和鉴定，甚至可能是在没有或未依据消防技术标准的情况下建设而成。即使找到当时的设计图纸，建筑现实际使用功能性质也可能有很大差异。既有建筑在经过多年的建设改造、用途变更后，还可能存在着同时执行了不同年代的技术标准。如果简单规定既有建筑改造依据原消防技术标准，需要增加大量的工作来查找和举证当年的依据及具体标准条文规定，无疑会增加参建主体（建设单位、设计单位、审图机构）以及政府监管部门、消防救援部门的工作难度；对于建成年代并不久远的建筑，其依据的消防技术标准是比较容易获得的，这时进行新旧标准举证、比较是必要的。</w:t>
      </w:r>
    </w:p>
    <w:p w14:paraId="6F486DF0">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1.0.4</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当客观条件允许时，设计采用的产品、材料、防火技术和措施应符合现行消防技术标准和相关法律法规的规定。避免以既有建筑改造为由，“搭车”违反本可以实现的现行消防技术标准，任意降低安全性。</w:t>
      </w:r>
    </w:p>
    <w:p w14:paraId="00094CCF">
      <w:pPr>
        <w:widowControl/>
        <w:snapToGrid w:val="0"/>
        <w:spacing w:line="300" w:lineRule="auto"/>
        <w:ind w:firstLine="849" w:firstLineChars="295"/>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当因建筑结构、平面布局等部分设计指标仍难以满足要求时，应积极采取针对性加强措施，达到包括人员安全疏散、防止火灾蔓延、结构耐火和灭火救援在内的建筑防火安全性能要求。</w:t>
      </w:r>
    </w:p>
    <w:p w14:paraId="399852EB">
      <w:pPr>
        <w:widowControl/>
        <w:snapToGrid w:val="0"/>
        <w:spacing w:line="300" w:lineRule="auto"/>
        <w:ind w:firstLine="849" w:firstLineChars="295"/>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本标准对既有建筑改造中常见的建筑防火问题做了规定。与新建建筑不同，既有建筑改造涉及的实际情况更为复杂，各种特殊情况很难全部涵盖。本标准仍无法解决的问题，应由建设主管部门组织特殊消防设计论证，符合《建设工程消防设计审查验收管理暂行规定》（住房城乡建设部令第</w:t>
      </w:r>
      <w:r>
        <w:rPr>
          <w:rFonts w:ascii="宋体" w:hAnsi="宋体"/>
          <w:color w:val="000000" w:themeColor="text1"/>
          <w:sz w:val="28"/>
          <w:szCs w:val="28"/>
          <w14:textFill>
            <w14:solidFill>
              <w14:schemeClr w14:val="tx1"/>
            </w14:solidFill>
          </w14:textFill>
        </w:rPr>
        <w:t>5</w:t>
      </w:r>
      <w:r>
        <w:rPr>
          <w:rFonts w:hint="eastAsia" w:ascii="宋体" w:hAnsi="宋体"/>
          <w:color w:val="000000" w:themeColor="text1"/>
          <w:sz w:val="28"/>
          <w:szCs w:val="28"/>
          <w14:textFill>
            <w14:solidFill>
              <w14:schemeClr w14:val="tx1"/>
            </w14:solidFill>
          </w14:textFill>
        </w:rPr>
        <w:t>8号）第三章特殊建设工程的消防设计审查的相关要求，评审结论可以作为开展消防设计、审查、验收的依据。</w:t>
      </w:r>
    </w:p>
    <w:p w14:paraId="302898F0">
      <w:pPr>
        <w:widowControl/>
        <w:snapToGrid w:val="0"/>
        <w:spacing w:line="300" w:lineRule="auto"/>
        <w:jc w:val="left"/>
        <w:rPr>
          <w:rFonts w:ascii="宋体" w:hAnsi="宋体"/>
          <w:color w:val="000000" w:themeColor="text1"/>
          <w:sz w:val="28"/>
          <w:szCs w:val="28"/>
          <w14:textFill>
            <w14:solidFill>
              <w14:schemeClr w14:val="tx1"/>
            </w14:solidFill>
          </w14:textFill>
        </w:rPr>
      </w:pPr>
    </w:p>
    <w:p w14:paraId="0C44B38A">
      <w:pPr>
        <w:widowControl/>
        <w:jc w:val="left"/>
        <w:rPr>
          <w:rFonts w:asciiTheme="minorEastAsia" w:hAnsiTheme="minorEastAsia" w:eastAsiaTheme="minorEastAsia"/>
          <w:b/>
          <w:bCs/>
          <w:color w:val="000000" w:themeColor="text1"/>
          <w:sz w:val="28"/>
          <w:szCs w:val="28"/>
          <w:lang w:val="zh-CN"/>
          <w14:textFill>
            <w14:solidFill>
              <w14:schemeClr w14:val="tx1"/>
            </w14:solidFill>
          </w14:textFill>
        </w:rPr>
      </w:pPr>
      <w:r>
        <w:rPr>
          <w:rFonts w:asciiTheme="minorEastAsia" w:hAnsiTheme="minorEastAsia" w:eastAsiaTheme="minorEastAsia"/>
          <w:color w:val="000000" w:themeColor="text1"/>
          <w:sz w:val="28"/>
          <w:szCs w:val="28"/>
          <w14:textFill>
            <w14:solidFill>
              <w14:schemeClr w14:val="tx1"/>
            </w14:solidFill>
          </w14:textFill>
        </w:rPr>
        <w:br w:type="page"/>
      </w:r>
    </w:p>
    <w:p w14:paraId="1306CB45">
      <w:pPr>
        <w:pStyle w:val="3"/>
        <w:spacing w:line="360" w:lineRule="auto"/>
        <w:rPr>
          <w:sz w:val="36"/>
          <w:szCs w:val="36"/>
        </w:rPr>
      </w:pPr>
      <w:bookmarkStart w:id="150" w:name="_Toc151063003"/>
      <w:bookmarkStart w:id="151" w:name="_Toc151063140"/>
      <w:bookmarkStart w:id="152" w:name="_Toc151062850"/>
      <w:r>
        <w:rPr>
          <w:rFonts w:hint="eastAsia"/>
          <w:sz w:val="36"/>
          <w:szCs w:val="36"/>
        </w:rPr>
        <w:t xml:space="preserve">2 </w:t>
      </w:r>
      <w:r>
        <w:rPr>
          <w:sz w:val="36"/>
          <w:szCs w:val="36"/>
        </w:rPr>
        <w:t xml:space="preserve"> </w:t>
      </w:r>
      <w:r>
        <w:rPr>
          <w:rFonts w:hint="eastAsia"/>
          <w:sz w:val="36"/>
          <w:szCs w:val="36"/>
        </w:rPr>
        <w:t>术   语</w:t>
      </w:r>
      <w:bookmarkEnd w:id="150"/>
      <w:bookmarkEnd w:id="151"/>
      <w:bookmarkEnd w:id="152"/>
    </w:p>
    <w:p w14:paraId="508DF181">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2.0.1</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术语表述与《既有建筑鉴定与加固通用规范》GB55021-2021中既有建筑的定义保持一致。</w:t>
      </w:r>
    </w:p>
    <w:p w14:paraId="6F1A7DB6">
      <w:pPr>
        <w:widowControl/>
        <w:snapToGrid w:val="0"/>
        <w:spacing w:line="300" w:lineRule="auto"/>
        <w:ind w:firstLine="990" w:firstLineChars="344"/>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既有建筑包括民用建筑和工业建筑。</w:t>
      </w:r>
    </w:p>
    <w:p w14:paraId="5B6B1D19">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2.0.2</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本标准</w:t>
      </w:r>
      <w:r>
        <w:rPr>
          <w:rFonts w:ascii="宋体" w:hAnsi="宋体"/>
          <w:color w:val="000000" w:themeColor="text1"/>
          <w:sz w:val="28"/>
          <w:szCs w:val="28"/>
          <w14:textFill>
            <w14:solidFill>
              <w14:schemeClr w14:val="tx1"/>
            </w14:solidFill>
          </w14:textFill>
        </w:rPr>
        <w:t>既有建筑改造</w:t>
      </w:r>
      <w:r>
        <w:rPr>
          <w:rFonts w:hint="eastAsia" w:ascii="宋体" w:hAnsi="宋体"/>
          <w:color w:val="000000" w:themeColor="text1"/>
          <w:sz w:val="28"/>
          <w:szCs w:val="28"/>
          <w14:textFill>
            <w14:solidFill>
              <w14:schemeClr w14:val="tx1"/>
            </w14:solidFill>
          </w14:textFill>
        </w:rPr>
        <w:t>工程所指的范围为广义概念的既有建筑改造利用，包括《建筑防火通用规范》</w:t>
      </w:r>
      <w:r>
        <w:rPr>
          <w:rFonts w:ascii="宋体" w:hAnsi="宋体"/>
          <w:color w:val="000000" w:themeColor="text1"/>
          <w:sz w:val="28"/>
          <w:szCs w:val="28"/>
          <w14:textFill>
            <w14:solidFill>
              <w14:schemeClr w14:val="tx1"/>
            </w14:solidFill>
          </w14:textFill>
        </w:rPr>
        <w:t>GB55037</w:t>
      </w:r>
      <w:r>
        <w:rPr>
          <w:rFonts w:hint="eastAsia" w:ascii="宋体" w:hAnsi="宋体"/>
          <w:color w:val="000000" w:themeColor="text1"/>
          <w:sz w:val="28"/>
          <w:szCs w:val="28"/>
          <w14:textFill>
            <w14:solidFill>
              <w14:schemeClr w14:val="tx1"/>
            </w14:solidFill>
          </w14:textFill>
        </w:rPr>
        <w:t>、《既有建筑维护与改造通用规范》</w:t>
      </w:r>
      <w:r>
        <w:rPr>
          <w:rFonts w:ascii="宋体" w:hAnsi="宋体"/>
          <w:color w:val="000000" w:themeColor="text1"/>
          <w:sz w:val="28"/>
          <w:szCs w:val="28"/>
          <w14:textFill>
            <w14:solidFill>
              <w14:schemeClr w14:val="tx1"/>
            </w14:solidFill>
          </w14:textFill>
        </w:rPr>
        <w:t>GB550</w:t>
      </w:r>
      <w:r>
        <w:rPr>
          <w:rFonts w:hint="eastAsia" w:ascii="宋体" w:hAnsi="宋体"/>
          <w:color w:val="000000" w:themeColor="text1"/>
          <w:sz w:val="28"/>
          <w:szCs w:val="28"/>
          <w14:textFill>
            <w14:solidFill>
              <w14:schemeClr w14:val="tx1"/>
            </w14:solidFill>
          </w14:textFill>
        </w:rPr>
        <w:t>2中所提及的既有建筑维护、改造和改建的范围，即包括了建筑原使用功能类型改变或不改变的情况。</w:t>
      </w:r>
    </w:p>
    <w:p w14:paraId="53613051">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2.0.3</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既有建筑修缮工程的内容一般包括</w:t>
      </w:r>
      <w:r>
        <w:rPr>
          <w:rFonts w:ascii="宋体" w:hAnsi="宋体"/>
          <w:color w:val="000000" w:themeColor="text1"/>
          <w:sz w:val="28"/>
          <w:szCs w:val="28"/>
          <w14:textFill>
            <w14:solidFill>
              <w14:schemeClr w14:val="tx1"/>
            </w14:solidFill>
          </w14:textFill>
        </w:rPr>
        <w:t>建筑</w:t>
      </w:r>
      <w:r>
        <w:rPr>
          <w:rFonts w:hint="eastAsia" w:ascii="宋体" w:hAnsi="宋体"/>
          <w:color w:val="000000" w:themeColor="text1"/>
          <w:sz w:val="28"/>
          <w:szCs w:val="28"/>
          <w14:textFill>
            <w14:solidFill>
              <w14:schemeClr w14:val="tx1"/>
            </w14:solidFill>
          </w14:textFill>
        </w:rPr>
        <w:t>设施或</w:t>
      </w:r>
      <w:r>
        <w:rPr>
          <w:rFonts w:ascii="宋体" w:hAnsi="宋体"/>
          <w:color w:val="000000" w:themeColor="text1"/>
          <w:sz w:val="28"/>
          <w:szCs w:val="28"/>
          <w14:textFill>
            <w14:solidFill>
              <w14:schemeClr w14:val="tx1"/>
            </w14:solidFill>
          </w14:textFill>
        </w:rPr>
        <w:t>构件拆换、</w:t>
      </w:r>
      <w:r>
        <w:rPr>
          <w:rFonts w:hint="eastAsia" w:ascii="宋体" w:hAnsi="宋体"/>
          <w:color w:val="000000" w:themeColor="text1"/>
          <w:sz w:val="28"/>
          <w:szCs w:val="28"/>
          <w14:textFill>
            <w14:solidFill>
              <w14:schemeClr w14:val="tx1"/>
            </w14:solidFill>
          </w14:textFill>
        </w:rPr>
        <w:t>设备或</w:t>
      </w:r>
      <w:r>
        <w:rPr>
          <w:rFonts w:ascii="宋体" w:hAnsi="宋体"/>
          <w:color w:val="000000" w:themeColor="text1"/>
          <w:sz w:val="28"/>
          <w:szCs w:val="28"/>
          <w14:textFill>
            <w14:solidFill>
              <w14:schemeClr w14:val="tx1"/>
            </w14:solidFill>
          </w14:textFill>
        </w:rPr>
        <w:t>管线拆换、屋面防水改造</w:t>
      </w: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14:textFill>
            <w14:solidFill>
              <w14:schemeClr w14:val="tx1"/>
            </w14:solidFill>
          </w14:textFill>
        </w:rPr>
        <w:t>平</w:t>
      </w:r>
      <w:r>
        <w:rPr>
          <w:rFonts w:hint="eastAsia" w:ascii="宋体" w:hAnsi="宋体"/>
          <w:color w:val="000000" w:themeColor="text1"/>
          <w:sz w:val="28"/>
          <w:szCs w:val="28"/>
          <w14:textFill>
            <w14:solidFill>
              <w14:schemeClr w14:val="tx1"/>
            </w14:solidFill>
          </w14:textFill>
        </w:rPr>
        <w:t>屋面</w:t>
      </w:r>
      <w:r>
        <w:rPr>
          <w:rFonts w:ascii="宋体" w:hAnsi="宋体"/>
          <w:color w:val="000000" w:themeColor="text1"/>
          <w:sz w:val="28"/>
          <w:szCs w:val="28"/>
          <w14:textFill>
            <w14:solidFill>
              <w14:schemeClr w14:val="tx1"/>
            </w14:solidFill>
          </w14:textFill>
        </w:rPr>
        <w:t>改坡</w:t>
      </w:r>
      <w:r>
        <w:rPr>
          <w:rFonts w:hint="eastAsia" w:ascii="宋体" w:hAnsi="宋体"/>
          <w:color w:val="000000" w:themeColor="text1"/>
          <w:sz w:val="28"/>
          <w:szCs w:val="28"/>
          <w14:textFill>
            <w14:solidFill>
              <w14:schemeClr w14:val="tx1"/>
            </w14:solidFill>
          </w14:textFill>
        </w:rPr>
        <w:t>屋面、无障碍出入口改造</w:t>
      </w:r>
      <w:r>
        <w:rPr>
          <w:rFonts w:ascii="宋体" w:hAnsi="宋体"/>
          <w:color w:val="000000" w:themeColor="text1"/>
          <w:sz w:val="28"/>
          <w:szCs w:val="28"/>
          <w14:textFill>
            <w14:solidFill>
              <w14:schemeClr w14:val="tx1"/>
            </w14:solidFill>
          </w14:textFill>
        </w:rPr>
        <w:t>等</w:t>
      </w:r>
      <w:r>
        <w:rPr>
          <w:rFonts w:hint="eastAsia" w:ascii="宋体" w:hAnsi="宋体"/>
          <w:color w:val="000000" w:themeColor="text1"/>
          <w:sz w:val="28"/>
          <w:szCs w:val="28"/>
          <w14:textFill>
            <w14:solidFill>
              <w14:schemeClr w14:val="tx1"/>
            </w14:solidFill>
          </w14:textFill>
        </w:rPr>
        <w:t>专项</w:t>
      </w:r>
      <w:r>
        <w:rPr>
          <w:rFonts w:ascii="宋体" w:hAnsi="宋体"/>
          <w:color w:val="000000" w:themeColor="text1"/>
          <w:sz w:val="28"/>
          <w:szCs w:val="28"/>
          <w14:textFill>
            <w14:solidFill>
              <w14:schemeClr w14:val="tx1"/>
            </w14:solidFill>
          </w14:textFill>
        </w:rPr>
        <w:t>改造工程</w:t>
      </w:r>
      <w:r>
        <w:rPr>
          <w:rFonts w:hint="eastAsia" w:ascii="宋体" w:hAnsi="宋体"/>
          <w:color w:val="000000" w:themeColor="text1"/>
          <w:sz w:val="28"/>
          <w:szCs w:val="28"/>
          <w14:textFill>
            <w14:solidFill>
              <w14:schemeClr w14:val="tx1"/>
            </w14:solidFill>
          </w14:textFill>
        </w:rPr>
        <w:t>的消防设计可按修缮工程的标准执行。</w:t>
      </w:r>
    </w:p>
    <w:p w14:paraId="43E0080D">
      <w:pPr>
        <w:widowControl/>
        <w:snapToGrid w:val="0"/>
        <w:spacing w:line="300" w:lineRule="auto"/>
        <w:ind w:firstLine="990" w:firstLineChars="344"/>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既有建筑修缮工程不包括定期保养、检查、维护。</w:t>
      </w:r>
    </w:p>
    <w:p w14:paraId="23E43B80">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2.0.4</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建筑立面改造工程包括</w:t>
      </w:r>
      <w:r>
        <w:rPr>
          <w:rFonts w:ascii="宋体" w:hAnsi="宋体"/>
          <w:color w:val="000000" w:themeColor="text1"/>
          <w:sz w:val="28"/>
          <w:szCs w:val="28"/>
          <w14:textFill>
            <w14:solidFill>
              <w14:schemeClr w14:val="tx1"/>
            </w14:solidFill>
          </w14:textFill>
        </w:rPr>
        <w:t>外立面</w:t>
      </w:r>
      <w:r>
        <w:rPr>
          <w:rFonts w:hint="eastAsia" w:ascii="宋体" w:hAnsi="宋体"/>
          <w:color w:val="000000" w:themeColor="text1"/>
          <w:sz w:val="28"/>
          <w:szCs w:val="28"/>
          <w14:textFill>
            <w14:solidFill>
              <w14:schemeClr w14:val="tx1"/>
            </w14:solidFill>
          </w14:textFill>
        </w:rPr>
        <w:t>整体或局部</w:t>
      </w:r>
      <w:r>
        <w:rPr>
          <w:rFonts w:ascii="宋体" w:hAnsi="宋体"/>
          <w:color w:val="000000" w:themeColor="text1"/>
          <w:sz w:val="28"/>
          <w:szCs w:val="28"/>
          <w14:textFill>
            <w14:solidFill>
              <w14:schemeClr w14:val="tx1"/>
            </w14:solidFill>
          </w14:textFill>
        </w:rPr>
        <w:t>装饰改造</w:t>
      </w:r>
      <w:r>
        <w:rPr>
          <w:rFonts w:hint="eastAsia" w:ascii="宋体" w:hAnsi="宋体"/>
          <w:color w:val="000000" w:themeColor="text1"/>
          <w:sz w:val="28"/>
          <w:szCs w:val="28"/>
          <w14:textFill>
            <w14:solidFill>
              <w14:schemeClr w14:val="tx1"/>
            </w14:solidFill>
          </w14:textFill>
        </w:rPr>
        <w:t>、外围护</w:t>
      </w:r>
      <w:r>
        <w:rPr>
          <w:rFonts w:ascii="宋体" w:hAnsi="宋体"/>
          <w:color w:val="000000" w:themeColor="text1"/>
          <w:sz w:val="28"/>
          <w:szCs w:val="28"/>
          <w14:textFill>
            <w14:solidFill>
              <w14:schemeClr w14:val="tx1"/>
            </w14:solidFill>
          </w14:textFill>
        </w:rPr>
        <w:t>节能改造</w:t>
      </w: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14:textFill>
            <w14:solidFill>
              <w14:schemeClr w14:val="tx1"/>
            </w14:solidFill>
          </w14:textFill>
        </w:rPr>
        <w:t>外立面</w:t>
      </w:r>
      <w:r>
        <w:rPr>
          <w:rFonts w:hint="eastAsia" w:ascii="宋体" w:hAnsi="宋体"/>
          <w:color w:val="000000" w:themeColor="text1"/>
          <w:sz w:val="28"/>
          <w:szCs w:val="28"/>
          <w14:textFill>
            <w14:solidFill>
              <w14:schemeClr w14:val="tx1"/>
            </w14:solidFill>
          </w14:textFill>
        </w:rPr>
        <w:t>门窗、百叶、空调室外机挡板等构件更换和增设等</w:t>
      </w:r>
      <w:r>
        <w:rPr>
          <w:rFonts w:ascii="宋体" w:hAnsi="宋体"/>
          <w:color w:val="000000" w:themeColor="text1"/>
          <w:sz w:val="28"/>
          <w:szCs w:val="28"/>
          <w14:textFill>
            <w14:solidFill>
              <w14:schemeClr w14:val="tx1"/>
            </w14:solidFill>
          </w14:textFill>
        </w:rPr>
        <w:t>。</w:t>
      </w:r>
    </w:p>
    <w:p w14:paraId="23ED8B32">
      <w:pPr>
        <w:widowControl/>
        <w:snapToGrid w:val="0"/>
        <w:spacing w:line="300" w:lineRule="auto"/>
        <w:ind w:firstLine="993"/>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建筑立面改造工程指仅对建筑立面进行独立改造，不涉及内部改造。建筑外围护结构的改造更新一般会涉及外墙保温改造，而外立面粉刷和构件更换和增设一般不涉及外墙保温改造，如更换外门窗、更换或增加遮阳百叶、更换或增设空调室外机挡板等。</w:t>
      </w:r>
    </w:p>
    <w:p w14:paraId="78973ECF">
      <w:pPr>
        <w:widowControl/>
        <w:snapToGrid w:val="0"/>
        <w:spacing w:line="300" w:lineRule="auto"/>
        <w:ind w:firstLine="993"/>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很多建筑局部改造工程和整体改造工程也包括建筑立面改造，此类改造工程对立面设计的相关防火设计要求与立面改造工程的要求是一致的。</w:t>
      </w:r>
    </w:p>
    <w:p w14:paraId="48E4F939">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2.0.5</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建筑整体改造或局部改造工程中，使用功能和平面基本分隔均不改变的楼层或独立防火分区，可视为内部装修工程。一个重要原则是，应防止以内部装修的名义，实际进行了建筑平面布局、分隔上的较大改变，导致防火分区、疏散距离等改变从而降低了建筑安全性的情况。</w:t>
      </w:r>
    </w:p>
    <w:p w14:paraId="457355FD">
      <w:pPr>
        <w:widowControl/>
        <w:snapToGrid w:val="0"/>
        <w:spacing w:line="300" w:lineRule="auto"/>
        <w:ind w:firstLine="849" w:firstLineChars="295"/>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关于使用功能类型、平面分隔不改变，可进行如下定义：</w:t>
      </w:r>
    </w:p>
    <w:p w14:paraId="5D1DDD2E">
      <w:pPr>
        <w:widowControl/>
        <w:snapToGrid w:val="0"/>
        <w:spacing w:line="300" w:lineRule="auto"/>
        <w:ind w:firstLine="849" w:firstLineChars="295"/>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使用功能类型不变，指建筑改造前后的使用功能相同、原使用功能扩展、使用功能同类型转换的情形。使用功能类型可参照《民用建筑通用规范》GB55031的功能类型界定。</w:t>
      </w:r>
    </w:p>
    <w:p w14:paraId="1DC5D03C">
      <w:pPr>
        <w:widowControl/>
        <w:snapToGrid w:val="0"/>
        <w:spacing w:line="300" w:lineRule="auto"/>
        <w:ind w:firstLine="849" w:firstLineChars="295"/>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使用功能类型不变可以将范围限定在建筑的部分区域。以旅馆建筑为例，配套设施部分平面分隔一般会改变较大，但如果客房区域与配套设施位于不同楼层、不同防火分区，平面分隔不改变，客房区域改造可界定为内部装修工程。</w:t>
      </w:r>
    </w:p>
    <w:p w14:paraId="1953308D">
      <w:pPr>
        <w:widowControl/>
        <w:snapToGrid w:val="0"/>
        <w:spacing w:line="300" w:lineRule="auto"/>
        <w:ind w:firstLine="849" w:firstLineChars="295"/>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原使用功能扩展包括：办公、科研建筑增设对内服务的生活、文化娱乐设施；文化、体育、教学、医疗建筑在保证主体功能的前提下增加小型商业服务配套设施；商业建筑增加电影院、餐饮等功能；商业业态调整，店铺布置方式调整或转换；旅馆建筑调整配套设施和客房区域布置等。</w:t>
      </w:r>
    </w:p>
    <w:p w14:paraId="622FCE02">
      <w:pPr>
        <w:widowControl/>
        <w:snapToGrid w:val="0"/>
        <w:spacing w:line="300" w:lineRule="auto"/>
        <w:ind w:firstLine="849" w:firstLineChars="295"/>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增加扩展功能不包括增加原来没有设置的老年人照料场所、儿童活动、儿童照料和少年儿童培训场所。</w:t>
      </w:r>
    </w:p>
    <w:p w14:paraId="0FE2CD01">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 平面分隔不变，指建筑改造前后的平面分隔完全不改变或仅局部少量不影响防火分区、疏散方式及消防设施系统等消防安全性的改变。如：办公建筑内部划分办公辅助用房，商业建筑局部调整营业厅的分隔，旅馆建筑客房区域平面布置调整等。局部少量改变平面分隔不应影响原防火分区设计的消防安全性，不改变疏散走道位置，且疏散距离应满足现行消防技术</w:t>
      </w:r>
    </w:p>
    <w:p w14:paraId="5B7B78A7">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标准要求。</w:t>
      </w:r>
    </w:p>
    <w:p w14:paraId="55B756DF">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2.0.6</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局部改造工程包括了使用功能类型改变和不改变的情形。部分局部改造工程</w:t>
      </w:r>
      <w:bookmarkStart w:id="153" w:name="_Hlk148633519"/>
      <w:r>
        <w:rPr>
          <w:rFonts w:hint="eastAsia" w:ascii="宋体" w:hAnsi="宋体"/>
          <w:color w:val="000000" w:themeColor="text1"/>
          <w:sz w:val="28"/>
          <w:szCs w:val="28"/>
          <w14:textFill>
            <w14:solidFill>
              <w14:schemeClr w14:val="tx1"/>
            </w14:solidFill>
          </w14:textFill>
        </w:rPr>
        <w:t>还可能包括了建筑立面改造，其立面设计与立面改造工程的要求是一致的。</w:t>
      </w:r>
    </w:p>
    <w:bookmarkEnd w:id="153"/>
    <w:p w14:paraId="3EEDC70F">
      <w:pPr>
        <w:widowControl/>
        <w:snapToGrid w:val="0"/>
        <w:spacing w:line="300" w:lineRule="auto"/>
        <w:ind w:firstLine="990" w:firstLineChars="344"/>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改造工程中，除修缮工程、立面改造工程、内部装修工程、整体改造工程以外的其他改造工程，一般都属于局部改造工程。</w:t>
      </w:r>
    </w:p>
    <w:p w14:paraId="658E1077">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2.0.7</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整体改造工程的特征是无论使用功能类型是否改变，其建筑平面全部进行重新布置。</w:t>
      </w:r>
    </w:p>
    <w:p w14:paraId="1496F648">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2.0.9  平房院落很少单独存在，而是依托胡同街区布置，形成平房区。平房院落在改造过程中出现的消防问题也往往与其所在的街区环境密切相关。因此，本标准中对于平房院落改造工程，根据其实施范围，分别从胡同街区和院落两个层面进行规定。 </w:t>
      </w:r>
      <w:r>
        <w:rPr>
          <w:rFonts w:ascii="宋体" w:hAnsi="宋体"/>
        </w:rPr>
        <w:br w:type="page"/>
      </w:r>
    </w:p>
    <w:p w14:paraId="322FCCD3">
      <w:pPr>
        <w:pStyle w:val="3"/>
        <w:spacing w:line="360" w:lineRule="auto"/>
        <w:rPr>
          <w:sz w:val="36"/>
          <w:szCs w:val="36"/>
        </w:rPr>
      </w:pPr>
      <w:bookmarkStart w:id="154" w:name="_Toc151063141"/>
      <w:bookmarkStart w:id="155" w:name="_Toc151063004"/>
      <w:bookmarkStart w:id="156" w:name="_Toc151061869"/>
      <w:bookmarkStart w:id="157" w:name="_Toc151062851"/>
      <w:r>
        <w:rPr>
          <w:sz w:val="36"/>
          <w:szCs w:val="36"/>
        </w:rPr>
        <w:t xml:space="preserve">3  </w:t>
      </w:r>
      <w:r>
        <w:rPr>
          <w:rFonts w:hint="eastAsia"/>
          <w:sz w:val="36"/>
          <w:szCs w:val="36"/>
        </w:rPr>
        <w:t>基本规定</w:t>
      </w:r>
      <w:bookmarkEnd w:id="154"/>
      <w:bookmarkEnd w:id="155"/>
      <w:bookmarkEnd w:id="156"/>
      <w:bookmarkEnd w:id="157"/>
    </w:p>
    <w:p w14:paraId="41A76B36">
      <w:pPr>
        <w:pStyle w:val="3"/>
        <w:spacing w:line="360" w:lineRule="auto"/>
        <w:rPr>
          <w:rFonts w:ascii="宋体" w:hAnsi="宋体"/>
          <w:color w:val="000000" w:themeColor="text1"/>
          <w:sz w:val="28"/>
          <w:szCs w:val="28"/>
          <w14:textFill>
            <w14:solidFill>
              <w14:schemeClr w14:val="tx1"/>
            </w14:solidFill>
          </w14:textFill>
        </w:rPr>
      </w:pPr>
      <w:bookmarkStart w:id="158" w:name="_Toc151063005"/>
      <w:bookmarkStart w:id="159" w:name="_Toc151062852"/>
      <w:bookmarkStart w:id="160" w:name="_Toc151061870"/>
      <w:bookmarkStart w:id="161" w:name="_Toc151063142"/>
      <w:r>
        <w:rPr>
          <w:rFonts w:hint="eastAsia" w:ascii="宋体" w:hAnsi="宋体"/>
          <w:color w:val="000000" w:themeColor="text1"/>
          <w:sz w:val="28"/>
          <w:szCs w:val="28"/>
          <w14:textFill>
            <w14:solidFill>
              <w14:schemeClr w14:val="tx1"/>
            </w14:solidFill>
          </w14:textFill>
        </w:rPr>
        <w:t>3.1</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分类和分类设计标准</w:t>
      </w:r>
      <w:bookmarkEnd w:id="158"/>
      <w:bookmarkEnd w:id="159"/>
      <w:bookmarkEnd w:id="160"/>
      <w:bookmarkEnd w:id="161"/>
    </w:p>
    <w:p w14:paraId="59601799">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3.1.2</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典型建筑场所示例依据《</w:t>
      </w:r>
      <w:r>
        <w:fldChar w:fldCharType="begin"/>
      </w:r>
      <w:r>
        <w:instrText xml:space="preserve"> HYPERLINK "https://gf.1190119.com/list-1535.htm" </w:instrText>
      </w:r>
      <w:r>
        <w:fldChar w:fldCharType="separate"/>
      </w:r>
      <w:r>
        <w:rPr>
          <w:rFonts w:hint="eastAsia" w:ascii="宋体" w:hAnsi="宋体"/>
          <w:color w:val="000000" w:themeColor="text1"/>
          <w:sz w:val="28"/>
          <w:szCs w:val="28"/>
          <w14:textFill>
            <w14:solidFill>
              <w14:schemeClr w14:val="tx1"/>
            </w14:solidFill>
          </w14:textFill>
        </w:rPr>
        <w:t>民用建筑通用规范》GB55031-2022</w:t>
      </w:r>
      <w:r>
        <w:rPr>
          <w:rFonts w:hint="eastAsia" w:ascii="宋体" w:hAnsi="宋体"/>
          <w:color w:val="000000" w:themeColor="text1"/>
          <w:sz w:val="28"/>
          <w:szCs w:val="28"/>
          <w14:textFill>
            <w14:solidFill>
              <w14:schemeClr w14:val="tx1"/>
            </w14:solidFill>
          </w14:textFill>
        </w:rPr>
        <w:fldChar w:fldCharType="end"/>
      </w:r>
      <w:r>
        <w:rPr>
          <w:rFonts w:hint="eastAsia" w:ascii="宋体" w:hAnsi="宋体"/>
          <w:color w:val="000000" w:themeColor="text1"/>
          <w:sz w:val="28"/>
          <w:szCs w:val="28"/>
          <w14:textFill>
            <w14:solidFill>
              <w14:schemeClr w14:val="tx1"/>
            </w14:solidFill>
          </w14:textFill>
        </w:rPr>
        <w:t>第2</w:t>
      </w:r>
      <w:r>
        <w:rPr>
          <w:rFonts w:ascii="宋体" w:hAnsi="宋体"/>
          <w:color w:val="000000" w:themeColor="text1"/>
          <w:sz w:val="28"/>
          <w:szCs w:val="28"/>
          <w14:textFill>
            <w14:solidFill>
              <w14:schemeClr w14:val="tx1"/>
            </w14:solidFill>
          </w14:textFill>
        </w:rPr>
        <w:t>.1.4</w:t>
      </w:r>
      <w:r>
        <w:rPr>
          <w:rFonts w:hint="eastAsia" w:ascii="宋体" w:hAnsi="宋体"/>
          <w:color w:val="000000" w:themeColor="text1"/>
          <w:sz w:val="28"/>
          <w:szCs w:val="28"/>
          <w14:textFill>
            <w14:solidFill>
              <w14:schemeClr w14:val="tx1"/>
            </w14:solidFill>
          </w14:textFill>
        </w:rPr>
        <w:t>条文说明。对消防设计安全性要求较高的建筑场所使用人员属性包括：人员密度大、人员可能处于睡眠状态、对建筑场所不熟悉、自主疏散能力差等。既有建筑或场所火灾风险从</w:t>
      </w:r>
      <w:r>
        <w:rPr>
          <w:rFonts w:ascii="宋体" w:hAnsi="宋体"/>
          <w:color w:val="000000" w:themeColor="text1"/>
          <w:sz w:val="28"/>
          <w:szCs w:val="28"/>
          <w14:textFill>
            <w14:solidFill>
              <w14:schemeClr w14:val="tx1"/>
            </w14:solidFill>
          </w14:textFill>
        </w:rPr>
        <w:t>A</w:t>
      </w:r>
      <w:r>
        <w:rPr>
          <w:rFonts w:hint="eastAsia" w:ascii="宋体" w:hAnsi="宋体"/>
          <w:color w:val="000000" w:themeColor="text1"/>
          <w:sz w:val="28"/>
          <w:szCs w:val="28"/>
          <w14:textFill>
            <w14:solidFill>
              <w14:schemeClr w14:val="tx1"/>
            </w14:solidFill>
          </w14:textFill>
        </w:rPr>
        <w:t>～F对消防设计安全性要求逐级增加。</w:t>
      </w:r>
    </w:p>
    <w:p w14:paraId="4BAA23FB">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3.1.3</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同一场地内的不同建筑，可能存在不同的建筑改造分类；同一建筑一般应按照同一类型分类。在特殊情况下，不同层、同一层不同区域，可能存在多类别的建筑改造，这是允许的，但设计时应保持建筑消防安全的整体性和系统性。</w:t>
      </w:r>
    </w:p>
    <w:p w14:paraId="3B73D760">
      <w:pPr>
        <w:widowControl/>
        <w:snapToGrid w:val="0"/>
        <w:spacing w:line="300" w:lineRule="auto"/>
        <w:ind w:firstLine="990" w:firstLineChars="344"/>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扩建工程是在原有建筑的基础上加大平面轮廓、增加建筑层数或高度的建设工程，扩建建筑一般改变了建筑面积或建筑体积，与原有建筑贴邻进行接建的扩充行为归类为新建工程。翻建工程是对原有的建筑，全部或大部分拆除后，重新建设的工程，“原拆原建”项目属于翻建工程。除有特殊规划设计要求外，扩建工程、翻建工程应执行现行消防技术标准。</w:t>
      </w:r>
    </w:p>
    <w:p w14:paraId="5D8A8E59">
      <w:pPr>
        <w:widowControl/>
        <w:snapToGrid w:val="0"/>
        <w:spacing w:line="300" w:lineRule="auto"/>
        <w:ind w:firstLine="990" w:firstLineChars="344"/>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平房院落改造工程的防火设计要求在本标准中以独立章节的形式列出。</w:t>
      </w:r>
    </w:p>
    <w:p w14:paraId="3E5E6B23">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3.1.4</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设计责任主体根据任务要求和分类标准，确定为修缮工程的既有建筑改造工程，其防火设计应执行本条款规定要求。</w:t>
      </w:r>
    </w:p>
    <w:p w14:paraId="45FC39D3">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3.1.5</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设计责任主体根据任务要求和分类标准，确定为立面改造工程的既有建筑改造工程，其防火设计应执行本条款规定要求。</w:t>
      </w:r>
    </w:p>
    <w:p w14:paraId="35452FDB">
      <w:pPr>
        <w:widowControl/>
        <w:snapToGrid w:val="0"/>
        <w:spacing w:line="300" w:lineRule="auto"/>
        <w:ind w:firstLine="990" w:firstLineChars="344"/>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第2款，旧规范未对建筑外墙上门窗的耐火完整性提出要求，既有建筑改造有时只是进行局部专项或局部楼层改造，有时仅是内部改造，如符合现行规范的相关要求，需更换所有外门窗。因此规定，当改造内容未涉及外门窗更换时可维持现状。</w:t>
      </w:r>
    </w:p>
    <w:p w14:paraId="5446149F">
      <w:pPr>
        <w:widowControl/>
        <w:snapToGrid w:val="0"/>
        <w:spacing w:line="300" w:lineRule="auto"/>
        <w:ind w:firstLine="990" w:firstLineChars="344"/>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第3款，外墙系统的燃烧性能包括外墙面层装饰材料、基层墙体、外保温系统和防水材料等的燃烧性能。</w:t>
      </w:r>
    </w:p>
    <w:p w14:paraId="66CA70EF">
      <w:pPr>
        <w:widowControl/>
        <w:snapToGrid w:val="0"/>
        <w:spacing w:line="300" w:lineRule="auto"/>
        <w:ind w:firstLine="990" w:firstLineChars="344"/>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近二十年来，因建筑外保温、外装饰板的燃烧性能不合格引起的外墙火灾事故频发，随着政府主管部门发布有关规定以及《建筑设计防火规范》GB50016的发布实施，新建建筑在外墙防火安全性能提升上已取得明显成效，但大量既有建筑的外墙系统因为各种历史原因还存在着不同程度上的火灾隐患，需要在一定时期进行专项治理更换。利用既有建筑改造特别是外立面改造之际，提升外墙系统防火性能是很好的契机。</w:t>
      </w:r>
    </w:p>
    <w:p w14:paraId="666D1A33">
      <w:pPr>
        <w:widowControl/>
        <w:snapToGrid w:val="0"/>
        <w:spacing w:line="300" w:lineRule="auto"/>
        <w:ind w:firstLine="990" w:firstLineChars="344"/>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本标准的立面改造工程为不涉及内部改造而仅对建筑立面进行独立改造。外立面粉刷和部分构件更换一般不涉及外墙保温改造，如更换外门窗、增加遮阳百叶、更换增设空调室外机挡板等，该类改造对建筑的火灾风险影响较小，而仅从消防角度要求进行外墙防火性能改造，增加投资大，故可维持现状。</w:t>
      </w:r>
    </w:p>
    <w:p w14:paraId="650B7C82">
      <w:pPr>
        <w:widowControl/>
        <w:snapToGrid w:val="0"/>
        <w:spacing w:line="300" w:lineRule="auto"/>
        <w:ind w:firstLine="990" w:firstLineChars="344"/>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如果整体改造工程因使用功能改变等原因导致人员密度、火灾荷载增加等使得火灾风险性提高，这时虽然可能原不拟立面改造，但应复核现状外墙的防火性能，如原设计及施工未达到现行有关国家标准的规定，也应进行立面改造。</w:t>
      </w:r>
    </w:p>
    <w:p w14:paraId="42425963">
      <w:pPr>
        <w:widowControl/>
        <w:snapToGrid w:val="0"/>
        <w:spacing w:line="300" w:lineRule="auto"/>
        <w:ind w:firstLine="990" w:firstLineChars="344"/>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立面改造工程也包括局部立面改造，如:门头或裙房的立面改造。立面改造工程也可能包括同时进行内部装修改造、内部维护改造的情形。</w:t>
      </w:r>
    </w:p>
    <w:p w14:paraId="1825F08A">
      <w:pPr>
        <w:widowControl/>
        <w:snapToGrid w:val="0"/>
        <w:spacing w:line="300" w:lineRule="auto"/>
        <w:ind w:firstLine="990" w:firstLineChars="344"/>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第4款，建筑外围护结构改造指外墙进行全部拆除更新。更换外墙装饰材料包括更换玻璃、金属、石材幕墙的面板、更换面砖等，而外墙基体不变。很多火灾案例和工程实际检测表明，由于产品质量差、耐久性差等原因，既有建筑外墙防火性能或外保温系统防火性能无法达到规范要求的防火性能，故仅针对外墙装饰面板更换时，要求同时考虑外墙系统的防火性能提升，当进行构造防火设计或更换符合要求的外保温材料确有困难时，还可以设置经评估可行的火灾预警或者控火装置。</w:t>
      </w:r>
    </w:p>
    <w:p w14:paraId="3D4ACA5B">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3.1.6</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设计责任主体根据任务要求和分类标准，确定为内部装修工程的既有建筑改造工程，其防火设计应执行本条款规定要求。</w:t>
      </w:r>
    </w:p>
    <w:p w14:paraId="6345AC2F">
      <w:pPr>
        <w:widowControl/>
        <w:snapToGrid w:val="0"/>
        <w:spacing w:line="300" w:lineRule="auto"/>
        <w:ind w:firstLine="990" w:firstLineChars="344"/>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第1款，本标准定义的内部装修工程与现行国家标准《建筑内部装修设计防火规范》GB50222保持一致，主要是指对建筑内部空间所进行的修饰、保护及固定设施安装，如：顶棚、墙面或楼地面的工程做法更新等。应防止以内部装修工程的名义，进行建筑平面布置、分隔较大改变，导致防火分区、疏散距离、消防设施等改变，从而在实质性上影响建筑消防安全性的情况。防烟分区的划分需注意对既有消防设施的影响。</w:t>
      </w:r>
    </w:p>
    <w:p w14:paraId="6C45B106">
      <w:pPr>
        <w:widowControl/>
        <w:snapToGrid w:val="0"/>
        <w:spacing w:line="300" w:lineRule="auto"/>
        <w:ind w:firstLine="990" w:firstLineChars="344"/>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第2款，内保温系统位于建筑室内，可燃保温材料在燃烧时产生的有毒烟气对人员疏散和灭火救援人员的安全极其不利，因此应严格限制使用可燃材料，尽量减少使用难燃保温材料，降低保温材料的烟气毒性。对于第1款中提及的场所与其他场所合建的，本规定可只适用于所在楼层或区域，其他楼层或区域可按第2</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款的要求进行设计。</w:t>
      </w:r>
    </w:p>
    <w:p w14:paraId="09A0A11C">
      <w:pPr>
        <w:widowControl/>
        <w:snapToGrid w:val="0"/>
        <w:spacing w:line="300" w:lineRule="auto"/>
        <w:ind w:firstLine="990" w:firstLineChars="344"/>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第</w:t>
      </w:r>
      <w:r>
        <w:rPr>
          <w:rFonts w:ascii="宋体" w:hAnsi="宋体"/>
          <w:color w:val="000000" w:themeColor="text1"/>
          <w:sz w:val="28"/>
          <w:szCs w:val="28"/>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款，为保证消防应急照明和疏散指示系统的正常运行和火灾时的安全、可靠使用，应采用满足现行标准要求的灯具。电线电缆选型及敷设火灾危险性较大，且改造难度较小，故要求即使</w:t>
      </w:r>
      <w:r>
        <w:rPr>
          <w:rFonts w:ascii="宋体" w:hAnsi="宋体"/>
          <w:color w:val="000000" w:themeColor="text1"/>
          <w:sz w:val="28"/>
          <w:szCs w:val="28"/>
          <w14:textFill>
            <w14:solidFill>
              <w14:schemeClr w14:val="tx1"/>
            </w14:solidFill>
          </w14:textFill>
        </w:rPr>
        <w:t>内</w:t>
      </w:r>
      <w:r>
        <w:rPr>
          <w:rFonts w:hint="eastAsia" w:ascii="宋体" w:hAnsi="宋体"/>
          <w:color w:val="000000" w:themeColor="text1"/>
          <w:sz w:val="28"/>
          <w:szCs w:val="28"/>
          <w14:textFill>
            <w14:solidFill>
              <w14:schemeClr w14:val="tx1"/>
            </w14:solidFill>
          </w14:textFill>
        </w:rPr>
        <w:t>部</w:t>
      </w:r>
      <w:r>
        <w:rPr>
          <w:rFonts w:ascii="宋体" w:hAnsi="宋体"/>
          <w:color w:val="000000" w:themeColor="text1"/>
          <w:sz w:val="28"/>
          <w:szCs w:val="28"/>
          <w14:textFill>
            <w14:solidFill>
              <w14:schemeClr w14:val="tx1"/>
            </w14:solidFill>
          </w14:textFill>
        </w:rPr>
        <w:t>装修工程</w:t>
      </w:r>
      <w:r>
        <w:rPr>
          <w:rFonts w:hint="eastAsia" w:ascii="宋体" w:hAnsi="宋体"/>
          <w:color w:val="000000" w:themeColor="text1"/>
          <w:sz w:val="28"/>
          <w:szCs w:val="28"/>
          <w14:textFill>
            <w14:solidFill>
              <w14:schemeClr w14:val="tx1"/>
            </w14:solidFill>
          </w14:textFill>
        </w:rPr>
        <w:t>，涉及改造的电线电缆选型及敷设也应满足现行标准要求。</w:t>
      </w:r>
    </w:p>
    <w:p w14:paraId="256E8B56">
      <w:pPr>
        <w:widowControl/>
        <w:snapToGrid w:val="0"/>
        <w:spacing w:line="300" w:lineRule="auto"/>
        <w:ind w:firstLine="990" w:firstLineChars="344"/>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第6款，维持原设计不同于维持现状。因历史原因，很多既有建筑经过多次改造，其中还可能存在建设方或使用方自行改造未进行正式设计的情形。改造设计时，应进行现场调研和历次设计文件比对，将结论通过消防安全评估报告反映出来。</w:t>
      </w:r>
    </w:p>
    <w:p w14:paraId="6CEAFFBF">
      <w:pPr>
        <w:widowControl/>
        <w:snapToGrid w:val="0"/>
        <w:spacing w:line="300" w:lineRule="auto"/>
        <w:ind w:firstLine="990" w:firstLineChars="344"/>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本标准提及的“可维持原设计”，指原设计应符合其时的设计规范要求，否则，不应简单认为“可维持原设计”。本解释也适用于本标准其他条款。</w:t>
      </w:r>
    </w:p>
    <w:p w14:paraId="1025AC1B">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3.1.7</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局部改造工程的防火设计，应符合此条款的规定，其他未规定的，尚应符合国家和北京市现行有关标准的规定。</w:t>
      </w:r>
    </w:p>
    <w:p w14:paraId="6EF5D050">
      <w:pPr>
        <w:widowControl/>
        <w:snapToGrid w:val="0"/>
        <w:spacing w:line="300" w:lineRule="auto"/>
        <w:ind w:firstLine="990" w:firstLineChars="344"/>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第1款，建筑局部改造，尤其是楼层局部平面分隔调整的改造工程，宜划分不同的防火分区和防烟分区，但也有的建筑局部改造项目难以单独划分防火分区，无论何种情况，改造区域与相关非改造区域的安全疏散、消防设施等防火设计均应进行统一设计考虑。</w:t>
      </w:r>
    </w:p>
    <w:p w14:paraId="0CC03534">
      <w:pPr>
        <w:widowControl/>
        <w:snapToGrid w:val="0"/>
        <w:spacing w:line="300" w:lineRule="auto"/>
        <w:ind w:firstLine="990" w:firstLineChars="344"/>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第2款，当改造区域与相邻非改造区域防火分区之间有疏散借用等情况时，非改造区域的消防安全不应受到不利影响。改造工程的消防设计利用非改造区域现状设施时，应对相关现状设施进行评估，相关消防设施应能够满足改造工程的相关要求，如：建筑核心筒一般不划分防火分区，当核心筒疏散梯、首层出入口等部位为非改造区域，且作为改造区域的疏散设施时，应保证其能够满足改造区域的相关消防疏散要求。</w:t>
      </w:r>
    </w:p>
    <w:p w14:paraId="6E98E777">
      <w:pPr>
        <w:widowControl/>
        <w:snapToGrid w:val="0"/>
        <w:spacing w:line="300" w:lineRule="auto"/>
        <w:ind w:firstLine="990" w:firstLineChars="344"/>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第4款，本标准第4章、第5章、第6章的内容是针对既有建筑改造工程中局部改造工程和整体改造工程的防火设计要求，其他类型的改造工程分别按本标准中规定的该类型改造工程的防火设计标准进行防火设计。</w:t>
      </w:r>
    </w:p>
    <w:p w14:paraId="3B28F977">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3.1.8</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整体改造工程的防火设计，应符合此条款的规定，其他未规定的，尚应符合国家和北京市现行有关标准的规定。</w:t>
      </w:r>
    </w:p>
    <w:p w14:paraId="3A5AA9EA">
      <w:pPr>
        <w:widowControl/>
        <w:snapToGrid w:val="0"/>
        <w:spacing w:line="300" w:lineRule="auto"/>
        <w:ind w:firstLine="990" w:firstLineChars="344"/>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第1款，建筑整体改造工程仍应鼓励充分利用原有建筑构件和设备设施。既有建筑改造的一个重要原则就是尽可能多地保留建筑原有构件、设施、材料，以从源头减少建筑废弃物的产生。仅保留结构构件的既有建筑改造并不是城市更新鼓励的方向，但当因各种因素限制导致部分建筑改造确实拆除比例很大时，改造后执行现行消防技术标准往往不会再有困难。做此规定，以防止以既有建筑改造为由规避现行消防技术标准的正常合理要求，从而增加了消防安全风险。</w:t>
      </w:r>
    </w:p>
    <w:p w14:paraId="441EF4BF">
      <w:pPr>
        <w:widowControl/>
        <w:snapToGrid w:val="0"/>
        <w:spacing w:line="300" w:lineRule="auto"/>
        <w:ind w:firstLine="990" w:firstLineChars="344"/>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建筑总平面位置及场地条件往往难以改变，因此条文规定了整体改造工程的相关要求。</w:t>
      </w:r>
    </w:p>
    <w:p w14:paraId="5A2F9D73">
      <w:pPr>
        <w:widowControl/>
        <w:snapToGrid w:val="0"/>
        <w:spacing w:line="300" w:lineRule="auto"/>
        <w:ind w:firstLine="990" w:firstLineChars="344"/>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第2款，地下部分的改造工程通常是跟随地上部分进行设备区域的改造，也有局部功能区域的改造，都属于局部改造范畴。单建式地下室全部改造为整体改造工程。</w:t>
      </w:r>
    </w:p>
    <w:p w14:paraId="79723658">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3.1.9</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平房院落改造工程的防火设计应执行本条款规定要求。</w:t>
      </w:r>
    </w:p>
    <w:p w14:paraId="337230D7">
      <w:pPr>
        <w:widowControl/>
        <w:snapToGrid w:val="0"/>
        <w:spacing w:line="300" w:lineRule="auto"/>
        <w:ind w:firstLine="990" w:firstLineChars="344"/>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本标准中的技术措施主要针对位于北京市老城区因为历史原因形成的平房院落，一般指《首都功能核心区控制性详细规划》（街区层面）.（2</w:t>
      </w:r>
      <w:r>
        <w:rPr>
          <w:rFonts w:ascii="宋体" w:hAnsi="宋体"/>
          <w:color w:val="000000" w:themeColor="text1"/>
          <w:sz w:val="28"/>
          <w:szCs w:val="28"/>
          <w14:textFill>
            <w14:solidFill>
              <w14:schemeClr w14:val="tx1"/>
            </w14:solidFill>
          </w14:textFill>
        </w:rPr>
        <w:t>018</w:t>
      </w:r>
      <w:r>
        <w:rPr>
          <w:rFonts w:hint="eastAsia" w:ascii="宋体" w:hAnsi="宋体"/>
          <w:color w:val="000000" w:themeColor="text1"/>
          <w:sz w:val="28"/>
          <w:szCs w:val="28"/>
          <w14:textFill>
            <w14:solidFill>
              <w14:schemeClr w14:val="tx1"/>
            </w14:solidFill>
          </w14:textFill>
        </w:rPr>
        <w:t>年</w:t>
      </w:r>
      <w:r>
        <w:rPr>
          <w:rFonts w:ascii="宋体" w:hAnsi="宋体"/>
          <w:color w:val="000000" w:themeColor="text1"/>
          <w:sz w:val="28"/>
          <w:szCs w:val="28"/>
          <w14:textFill>
            <w14:solidFill>
              <w14:schemeClr w14:val="tx1"/>
            </w14:solidFill>
          </w14:textFill>
        </w:rPr>
        <w:t>-2035</w:t>
      </w:r>
      <w:r>
        <w:rPr>
          <w:rFonts w:hint="eastAsia" w:ascii="宋体" w:hAnsi="宋体"/>
          <w:color w:val="000000" w:themeColor="text1"/>
          <w:sz w:val="28"/>
          <w:szCs w:val="28"/>
          <w14:textFill>
            <w14:solidFill>
              <w14:schemeClr w14:val="tx1"/>
            </w14:solidFill>
          </w14:textFill>
        </w:rPr>
        <w:t>年）中列出的历史文化街区、特色地区、传统胡同、历史街巷，以及其他经规划主管部门判定为具有历史保护价值的平房院落、街区。</w:t>
      </w:r>
    </w:p>
    <w:p w14:paraId="5C2E9202">
      <w:pPr>
        <w:widowControl/>
        <w:snapToGrid w:val="0"/>
        <w:spacing w:line="300" w:lineRule="auto"/>
        <w:ind w:firstLine="990" w:firstLineChars="344"/>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本标准适用于平房区的整体提升以及具备公共使用性质的平房院落，例如更新后作为办公、人才公寓、经营等功能的平房院落以及共生院的公共区，不适用于居民对自有住宅的修缮、装修。</w:t>
      </w:r>
    </w:p>
    <w:p w14:paraId="453E409E">
      <w:pPr>
        <w:widowControl/>
        <w:snapToGrid w:val="0"/>
        <w:spacing w:line="300" w:lineRule="auto"/>
        <w:ind w:firstLine="990" w:firstLineChars="344"/>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平房院落在更新过程中产生的问题主要包括消防车难以进入胡同区以及胡同两侧相邻的建筑之间的防火间距不足等。在历史风貌保护的前提下，需要尽量保留历史遗留的胡同格局和建筑形式、布局等。对以上问题的解决方案主要是采取因地制宜的灭火和救援设施，以街道或社区等为单位，统一规划区域的消防站点、消防供水设施和消防通道等。</w:t>
      </w:r>
    </w:p>
    <w:p w14:paraId="36444F9A">
      <w:pPr>
        <w:widowControl/>
        <w:snapToGrid w:val="0"/>
        <w:spacing w:line="300" w:lineRule="auto"/>
        <w:ind w:firstLine="990" w:firstLineChars="344"/>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根据部分胡同区保护更新项目的实施情况，此类项目的实施往往分为街道层面和院落层面，二者之间缺乏统一的考虑。可能在平房院落改造的过程中发现在街道层面存在限制性条件，但难以改变等情况。因此，本标准从平房区和院落2个层面分别提出要求。平房区指平房所在的区域，包括院落以及串联院落的胡同和小型街道。其中7</w:t>
      </w:r>
      <w:r>
        <w:rPr>
          <w:rFonts w:ascii="宋体" w:hAnsi="宋体"/>
          <w:color w:val="000000" w:themeColor="text1"/>
          <w:sz w:val="28"/>
          <w:szCs w:val="28"/>
          <w14:textFill>
            <w14:solidFill>
              <w14:schemeClr w14:val="tx1"/>
            </w14:solidFill>
          </w14:textFill>
        </w:rPr>
        <w:t>.1</w:t>
      </w:r>
      <w:r>
        <w:rPr>
          <w:rFonts w:hint="eastAsia" w:ascii="宋体" w:hAnsi="宋体"/>
          <w:color w:val="000000" w:themeColor="text1"/>
          <w:sz w:val="28"/>
          <w:szCs w:val="28"/>
          <w14:textFill>
            <w14:solidFill>
              <w14:schemeClr w14:val="tx1"/>
            </w14:solidFill>
          </w14:textFill>
        </w:rPr>
        <w:t>节主要针对街区提升类项目，确保在前期规划层面为平房院落的更新提供较好的条件。7</w:t>
      </w:r>
      <w:r>
        <w:rPr>
          <w:rFonts w:ascii="宋体" w:hAnsi="宋体"/>
          <w:color w:val="000000" w:themeColor="text1"/>
          <w:sz w:val="28"/>
          <w:szCs w:val="28"/>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节和7</w:t>
      </w:r>
      <w:r>
        <w:rPr>
          <w:rFonts w:ascii="宋体" w:hAnsi="宋体"/>
          <w:color w:val="000000" w:themeColor="text1"/>
          <w:sz w:val="28"/>
          <w:szCs w:val="28"/>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节则是基于外部条件已经确定，且无法改变的前提下从平房院落自身的角度提出要求和解决措施。</w:t>
      </w:r>
    </w:p>
    <w:p w14:paraId="62A5A957">
      <w:pPr>
        <w:pStyle w:val="3"/>
        <w:spacing w:line="360" w:lineRule="auto"/>
        <w:rPr>
          <w:rFonts w:ascii="宋体" w:hAnsi="宋体"/>
          <w:color w:val="000000" w:themeColor="text1"/>
          <w:sz w:val="28"/>
          <w:szCs w:val="28"/>
          <w14:textFill>
            <w14:solidFill>
              <w14:schemeClr w14:val="tx1"/>
            </w14:solidFill>
          </w14:textFill>
        </w:rPr>
      </w:pPr>
      <w:bookmarkStart w:id="162" w:name="_Toc151062853"/>
      <w:bookmarkStart w:id="163" w:name="_Toc151063006"/>
      <w:bookmarkStart w:id="164" w:name="_Toc151061871"/>
      <w:bookmarkStart w:id="165" w:name="_Toc151063143"/>
      <w:r>
        <w:rPr>
          <w:rFonts w:hint="eastAsia" w:ascii="宋体" w:hAnsi="宋体"/>
          <w:color w:val="000000" w:themeColor="text1"/>
          <w:sz w:val="28"/>
          <w:szCs w:val="28"/>
          <w14:textFill>
            <w14:solidFill>
              <w14:schemeClr w14:val="tx1"/>
            </w14:solidFill>
          </w14:textFill>
        </w:rPr>
        <w:t>3.2</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消防安全评价</w:t>
      </w:r>
      <w:bookmarkEnd w:id="162"/>
      <w:bookmarkEnd w:id="163"/>
      <w:bookmarkEnd w:id="164"/>
      <w:bookmarkEnd w:id="165"/>
    </w:p>
    <w:p w14:paraId="6EBC78AD">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3.2.3</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对改造前后的消防安全情况进行评价，对于合理确定改造可行性和改造设计方案很有必要。承担改造设计任务的项目负责人和设计人员最为熟悉项目情况，责任尤为重要，应在充分调研现状条件的前提下，结合建筑改造要求，发挥其熟悉了解既有建筑历史变化及现状的专业优势，以满足建筑物的消防安全为目标，主动、客观地分析风险，提出科学的解决方案。</w:t>
      </w:r>
    </w:p>
    <w:p w14:paraId="73977657">
      <w:pPr>
        <w:widowControl/>
        <w:snapToGrid w:val="0"/>
        <w:spacing w:line="300" w:lineRule="auto"/>
        <w:ind w:firstLine="990" w:firstLineChars="344"/>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消防安全评价的范围除改造工程外，还应包括对改造工程的消防安全造成影响的其他相关区域。当改造工程的安全疏散设施、消防设施等位于相邻非改造区域时，消防安全评价的内容除改造工程范围外，尚应包括改造前后非改造区域内相关安全疏散设施、消防设施的消防安全性评价。</w:t>
      </w:r>
    </w:p>
    <w:p w14:paraId="3BFF2D9D">
      <w:pPr>
        <w:widowControl/>
        <w:snapToGrid w:val="0"/>
        <w:spacing w:line="300" w:lineRule="auto"/>
        <w:ind w:firstLine="990" w:firstLineChars="344"/>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消防安全评价报告是后续建筑改造设计的前提，设计文件是施工建设的正式设计依据文件。</w:t>
      </w:r>
    </w:p>
    <w:p w14:paraId="1636302A">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3.2.4</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消防安全评价评估报告是后续建筑改造设计的前提，后者是施工建设的正式设计依据文件。消防安全评价报告应经设计责任主体认定后纳入设计文件。经消防安全评价结论为不具备改造技术条件的项目，不应开展后续工作。</w:t>
      </w:r>
    </w:p>
    <w:p w14:paraId="1B4D1B35">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3.2.5  </w:t>
      </w:r>
      <w:r>
        <w:rPr>
          <w:rFonts w:hint="eastAsia" w:ascii="宋体" w:hAnsi="宋体"/>
          <w:color w:val="000000" w:themeColor="text1"/>
          <w:sz w:val="28"/>
          <w:szCs w:val="28"/>
          <w14:textFill>
            <w14:solidFill>
              <w14:schemeClr w14:val="tx1"/>
            </w14:solidFill>
          </w14:textFill>
        </w:rPr>
        <w:t>既有建筑改造项目设计依据除现行标准规定的结构安全性鉴定和抗震鉴定报告外，尚应包括消防安全评价报告提出的与消防相关的结构评价内容。</w:t>
      </w:r>
    </w:p>
    <w:p w14:paraId="291F79C8">
      <w:pPr>
        <w:pStyle w:val="3"/>
        <w:spacing w:line="360" w:lineRule="auto"/>
        <w:rPr>
          <w:rFonts w:ascii="仿宋" w:hAnsi="仿宋" w:eastAsia="仿宋"/>
          <w:color w:val="00B050"/>
        </w:rPr>
      </w:pPr>
      <w:r>
        <w:rPr>
          <w:rFonts w:ascii="仿宋" w:hAnsi="仿宋" w:eastAsia="仿宋"/>
          <w:bCs w:val="0"/>
          <w:color w:val="00B050"/>
        </w:rPr>
        <w:br w:type="page"/>
      </w:r>
      <w:bookmarkStart w:id="166" w:name="_Toc151061872"/>
      <w:bookmarkStart w:id="167" w:name="_Toc151063144"/>
      <w:bookmarkStart w:id="168" w:name="_Toc151062854"/>
      <w:bookmarkStart w:id="169" w:name="_Toc151063007"/>
      <w:r>
        <w:rPr>
          <w:rFonts w:hint="eastAsia"/>
          <w:sz w:val="36"/>
          <w:szCs w:val="36"/>
        </w:rPr>
        <w:t xml:space="preserve">4 </w:t>
      </w:r>
      <w:r>
        <w:rPr>
          <w:sz w:val="36"/>
          <w:szCs w:val="36"/>
        </w:rPr>
        <w:t xml:space="preserve"> </w:t>
      </w:r>
      <w:r>
        <w:rPr>
          <w:rFonts w:hint="eastAsia"/>
          <w:sz w:val="36"/>
          <w:szCs w:val="36"/>
        </w:rPr>
        <w:t>建筑设计</w:t>
      </w:r>
      <w:bookmarkEnd w:id="166"/>
      <w:bookmarkEnd w:id="167"/>
      <w:bookmarkEnd w:id="168"/>
      <w:bookmarkEnd w:id="169"/>
    </w:p>
    <w:p w14:paraId="022FD794">
      <w:pPr>
        <w:widowControl/>
        <w:snapToGrid w:val="0"/>
        <w:spacing w:line="300" w:lineRule="auto"/>
        <w:ind w:firstLine="420"/>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本标准第4章、第5章、第6章的内容是针对既有建筑改造工程中局部改造工程和整体改造工程的防火设计要求；内部装修中拆改或增设的结构构件尚应执行本标准第4章的结构构件防火设计要求。</w:t>
      </w:r>
    </w:p>
    <w:p w14:paraId="562D0BF2">
      <w:pPr>
        <w:pStyle w:val="3"/>
        <w:spacing w:line="360" w:lineRule="auto"/>
        <w:rPr>
          <w:rFonts w:ascii="宋体" w:hAnsi="宋体"/>
          <w:sz w:val="28"/>
          <w:szCs w:val="28"/>
        </w:rPr>
      </w:pPr>
      <w:bookmarkStart w:id="170" w:name="_Toc151063008"/>
      <w:bookmarkStart w:id="171" w:name="_Toc151061873"/>
      <w:bookmarkStart w:id="172" w:name="_Toc151062855"/>
      <w:bookmarkStart w:id="173" w:name="_Toc151063145"/>
      <w:r>
        <w:rPr>
          <w:rFonts w:hint="eastAsia" w:ascii="宋体" w:hAnsi="宋体"/>
          <w:sz w:val="28"/>
          <w:szCs w:val="28"/>
        </w:rPr>
        <w:t>4.1</w:t>
      </w:r>
      <w:r>
        <w:rPr>
          <w:rFonts w:ascii="宋体" w:hAnsi="宋体"/>
          <w:sz w:val="28"/>
          <w:szCs w:val="28"/>
        </w:rPr>
        <w:t xml:space="preserve">  </w:t>
      </w:r>
      <w:r>
        <w:rPr>
          <w:rFonts w:hint="eastAsia" w:ascii="宋体" w:hAnsi="宋体"/>
          <w:sz w:val="28"/>
          <w:szCs w:val="28"/>
        </w:rPr>
        <w:t>总平面布局</w:t>
      </w:r>
      <w:bookmarkEnd w:id="170"/>
      <w:bookmarkEnd w:id="171"/>
      <w:bookmarkEnd w:id="172"/>
      <w:bookmarkEnd w:id="173"/>
    </w:p>
    <w:p w14:paraId="678E2644">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4.1.1</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改造工程与火灾危险性高、扑救困难、人员伤亡严重概率高的建筑之间的防火间距，在现行国家标准《建筑防火通用规范》GB55037做出了严格而明确的间距规定。建筑高度大于100m的民用建筑主体改造工程与相邻建筑之间的防火间距应满足现行消防技术标准要求。</w:t>
      </w:r>
    </w:p>
    <w:p w14:paraId="1E4E3C64">
      <w:pPr>
        <w:widowControl/>
        <w:snapToGrid w:val="0"/>
        <w:spacing w:line="300" w:lineRule="auto"/>
        <w:ind w:firstLine="709"/>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防火间距对防止火势向邻近建筑蔓延有着关键作用，但既有建筑间距形成的历史原因可能较为复杂，既有建筑改造时，相关建筑位置难以改变，而要求相邻建筑采取防火措施也难以实现，因此条文规定，改造工程与相邻建筑不满足现行规范的间距要求时，相邻外墙的耐火极限之和不应低于3.00h。当相邻建筑外墙的耐火极限难以确定时（应尽量设法取得相邻的其他既有建筑外墙现状的资料，必要时可保守计入，以避免将改造建筑外墙独立按照</w:t>
      </w:r>
      <w:r>
        <w:rPr>
          <w:rFonts w:ascii="宋体" w:hAnsi="宋体"/>
          <w:color w:val="000000" w:themeColor="text1"/>
          <w:sz w:val="28"/>
          <w:szCs w:val="28"/>
          <w14:textFill>
            <w14:solidFill>
              <w14:schemeClr w14:val="tx1"/>
            </w14:solidFill>
          </w14:textFill>
        </w:rPr>
        <w:t>3.00h</w:t>
      </w:r>
      <w:r>
        <w:rPr>
          <w:rFonts w:hint="eastAsia" w:ascii="宋体" w:hAnsi="宋体"/>
          <w:color w:val="000000" w:themeColor="text1"/>
          <w:sz w:val="28"/>
          <w:szCs w:val="28"/>
          <w14:textFill>
            <w14:solidFill>
              <w14:schemeClr w14:val="tx1"/>
            </w14:solidFill>
          </w14:textFill>
        </w:rPr>
        <w:t>计算的不利情况），改造建筑外墙的耐火极限应达到3.00h。此项构造措施可以防止火势蔓延，提升了既有建筑消防安全性能，可操作性强。另外，条文还对建筑外墙上开设门、窗、洞口的情况作了补偿性措施规定。</w:t>
      </w:r>
    </w:p>
    <w:p w14:paraId="15A51172">
      <w:pPr>
        <w:widowControl/>
        <w:snapToGrid w:val="0"/>
        <w:spacing w:line="300" w:lineRule="auto"/>
        <w:ind w:firstLine="709"/>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按照现行国家标准《既有建筑维护与改造通用规范》GB55022第5.2.2条规定，当改造建筑之间或改造建筑与改造范围之外的相关建筑的间距改变时，应符合消防间距标准要求。</w:t>
      </w:r>
      <w:r>
        <w:rPr>
          <w:rFonts w:ascii="宋体" w:hAnsi="宋体"/>
          <w:color w:val="000000" w:themeColor="text1"/>
          <w:sz w:val="28"/>
          <w:szCs w:val="28"/>
          <w14:textFill>
            <w14:solidFill>
              <w14:schemeClr w14:val="tx1"/>
            </w14:solidFill>
          </w14:textFill>
        </w:rPr>
        <w:t xml:space="preserve"> </w:t>
      </w:r>
    </w:p>
    <w:p w14:paraId="1C2861C5">
      <w:pPr>
        <w:pStyle w:val="3"/>
        <w:spacing w:line="360" w:lineRule="auto"/>
        <w:rPr>
          <w:rFonts w:ascii="宋体" w:hAnsi="宋体"/>
          <w:sz w:val="28"/>
          <w:szCs w:val="28"/>
        </w:rPr>
      </w:pPr>
      <w:bookmarkStart w:id="174" w:name="_Toc151063146"/>
      <w:bookmarkStart w:id="175" w:name="_Toc151063009"/>
      <w:bookmarkStart w:id="176" w:name="_Toc151061874"/>
      <w:bookmarkStart w:id="177" w:name="_Toc151062856"/>
      <w:r>
        <w:rPr>
          <w:rFonts w:hint="eastAsia" w:ascii="宋体" w:hAnsi="宋体"/>
          <w:sz w:val="28"/>
          <w:szCs w:val="28"/>
        </w:rPr>
        <w:t>4.2</w:t>
      </w:r>
      <w:r>
        <w:rPr>
          <w:rFonts w:ascii="宋体" w:hAnsi="宋体"/>
          <w:sz w:val="28"/>
          <w:szCs w:val="28"/>
        </w:rPr>
        <w:t xml:space="preserve">  </w:t>
      </w:r>
      <w:r>
        <w:rPr>
          <w:rFonts w:hint="eastAsia" w:ascii="宋体" w:hAnsi="宋体"/>
          <w:sz w:val="28"/>
          <w:szCs w:val="28"/>
        </w:rPr>
        <w:t>防火分区和平面布置</w:t>
      </w:r>
      <w:bookmarkEnd w:id="174"/>
      <w:bookmarkEnd w:id="175"/>
      <w:bookmarkEnd w:id="176"/>
      <w:bookmarkEnd w:id="177"/>
    </w:p>
    <w:p w14:paraId="7BDB3914">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w:t>
      </w:r>
      <w:r>
        <w:rPr>
          <w:rFonts w:ascii="宋体" w:hAnsi="宋体"/>
          <w:color w:val="000000" w:themeColor="text1"/>
          <w:sz w:val="28"/>
          <w:szCs w:val="28"/>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.1</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靠近室外地面的楼层在地上部分一般为下部楼层，地下部分则相反。人员疏散要求高的场所是指老年人照料设施及儿童活动、人员密集、歌舞娱乐放映游艺等场所。建筑改造进行使用功能调整时，应尽量将以上功能场所设置在便于疏散的下部楼层。</w:t>
      </w:r>
    </w:p>
    <w:p w14:paraId="18C4425C">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w:t>
      </w:r>
      <w:r>
        <w:rPr>
          <w:rFonts w:ascii="宋体" w:hAnsi="宋体"/>
          <w:color w:val="000000" w:themeColor="text1"/>
          <w:sz w:val="28"/>
          <w:szCs w:val="28"/>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.2</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近年来，我市对住宅地下室进行不合规居住功能清理腾退后的闲置空间较多，原规划设计的使用功能很多为自行车库，按照每户2辆的配置标准，所需面积较大，随着共享自行车的普及，实际存车需求减少。根据市商务委员会、市民防局、市公安局消防局等部门发布的《关于利用地下空间补充完善便民商业服务设施的指导意见》（京商务规字〔2018〕5号），在经过城市规划主管部门批准后，可以设置社区公共配套服务及便民商业服务设施，其内容包括：1）基本便民商业服务设施如蔬菜零售、便利店（超市）、物流末端配送、便民维修、家政等，以解决小区商业服务配套不足的问题；2）社区公共配套服务设施如文体中心、社区活动中心、宣教基地、中控机房、物业办公、养老服务（非居住）、应急避难场所、博物馆、村（街）史馆等；3）小型仓储库房。</w:t>
      </w:r>
    </w:p>
    <w:p w14:paraId="1D6AB6B8">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地下层的使用功能与地上住宅可能没有密切联系，但仍然主要是为本区居民使用的。本条规定了每个防火分区至少应设置1个独立安全出口，通往住宅门厅的疏散楼梯作为第二安全出口时，应按现行消防技术标准设置火灾时能手动或联动开启的门禁系统及明显的标识，当设有火灾自动报警系统时，消防联动控制器应具有自动打开门禁的功能。当地下部分采用封闭楼梯间形式时，应通过防火隔间进入，减少因为共用疏散楼梯间带来的危险性。原自行车坡道可作为独立的安全出口使用。</w:t>
      </w:r>
    </w:p>
    <w:p w14:paraId="62DBA2E9">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可用于对外租赁的非本楼居民的小型仓储单元一般应控制每单元面积在较小范围内，避免较大火灾荷载，通过物业公司或专业租赁公司进行准入和日常消防管理检查。但较大规模的经营性租赁库房不应进入。</w:t>
      </w:r>
    </w:p>
    <w:p w14:paraId="102E105D">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当地下室为人防工事时，还应符合人防战时要求，不得取消或改变其所需设施。</w:t>
      </w:r>
    </w:p>
    <w:p w14:paraId="4DD2CF76">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住宅地下室不应用于居住功能，当确因整治时期需要，临时用于本小区服务保障人员自用性宿舍时，应执行市公安局消防局、市民防局、市住房和城乡建设委员会印发的《地下空间整治期间自用性宿舍消防技术措施》的通知（2018年5月1日开始实施）的规定，本标准不再进行规定。</w:t>
      </w:r>
    </w:p>
    <w:p w14:paraId="54790E89">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w:t>
      </w:r>
      <w:r>
        <w:rPr>
          <w:rFonts w:ascii="宋体" w:hAnsi="宋体"/>
          <w:color w:val="000000" w:themeColor="text1"/>
          <w:sz w:val="28"/>
          <w:szCs w:val="28"/>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.3</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企事业单位和社会机构对内部员工服务的常见大于400m</w:t>
      </w:r>
      <w:r>
        <w:rPr>
          <w:rFonts w:ascii="宋体" w:hAnsi="宋体"/>
          <w:color w:val="000000" w:themeColor="text1"/>
          <w:sz w:val="28"/>
          <w:szCs w:val="28"/>
          <w:vertAlign w:val="superscript"/>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的会议室、多功能厅，为避免受结构柱布置影响的原因常设置在建筑顶层，不满足现行国家标准《建筑设计防火规范》 规定的会议室、多功能厅宜布置在首、二、三层或布置在地下一层且建筑面积不宜大于400m</w:t>
      </w:r>
      <w:r>
        <w:rPr>
          <w:rFonts w:ascii="宋体" w:hAnsi="宋体"/>
          <w:color w:val="000000" w:themeColor="text1"/>
          <w:sz w:val="28"/>
          <w:szCs w:val="28"/>
          <w:vertAlign w:val="superscript"/>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的楼层限制要求。放宽建筑面积至500m</w:t>
      </w:r>
      <w:r>
        <w:rPr>
          <w:rFonts w:ascii="宋体" w:hAnsi="宋体"/>
          <w:color w:val="000000" w:themeColor="text1"/>
          <w:sz w:val="28"/>
          <w:szCs w:val="28"/>
          <w:vertAlign w:val="superscript"/>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，并通过规定人数限值按400人（1人/ m</w:t>
      </w:r>
      <w:r>
        <w:rPr>
          <w:rFonts w:ascii="宋体" w:hAnsi="宋体"/>
          <w:color w:val="000000" w:themeColor="text1"/>
          <w:sz w:val="28"/>
          <w:szCs w:val="28"/>
          <w:vertAlign w:val="superscript"/>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）、提高安全疏散距离及疏散楼梯、设置可开启外窗和室外阳台有利于排烟逃生等措施，保障既有建筑的消防安全性能。</w:t>
      </w:r>
    </w:p>
    <w:p w14:paraId="54D579AD">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w:t>
      </w:r>
      <w:r>
        <w:rPr>
          <w:rFonts w:ascii="宋体" w:hAnsi="宋体"/>
          <w:color w:val="000000" w:themeColor="text1"/>
          <w:sz w:val="28"/>
          <w:szCs w:val="28"/>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.4</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2006版国家标准《建筑设计防火规范》GB50016以前，未对柴油发电机房的设置楼层提出要求，因此可能存在设置在地下三层及以下的情况。既有建筑改造时，提升机房的楼层困难往往较大。维持机房原有楼层位置时，应符合现行消防技术标准中关于柴油发电机房防火分隔、火灾报警、灭火设施等防火措施要求，同时不应布置在人员密集场所的上一层、下一层或贴邻。</w:t>
      </w:r>
    </w:p>
    <w:p w14:paraId="4D88AAE2">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本条是对建筑改造工程受建筑空间、结构加固等条件限制，消防泵房按照现行国家标准《建筑防火通用规范》GB55037第4.1.7条“消防水泵房不应设置在建筑的地下三层及以下楼层”。确有困难时，提供了一种相对安全的解决方案，消防泵房位置可维持现状，但是要确保可直通室外或安全出口，以保障在火灾情况下消防队员安全出入。</w:t>
      </w:r>
    </w:p>
    <w:p w14:paraId="2FF27DD5">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旧规范未对民用建筑内的燃油或燃气锅炉以及带有油浸变压器、充有可燃油的高压电容器和多油开关等的电气用房的设置楼层提出要求，因此，老旧建筑中存在此类用房的设置楼层不满足现行消防技术标准的要求，也缺少保证安全的防火措施。由于改变既有建筑中此类用房的楼层位置较困难，可以维持现状位置，但要求其满足现行消防技术标准中其他防火措施的要求，以提高既有建筑的消防安全。</w:t>
      </w:r>
    </w:p>
    <w:p w14:paraId="7FD10298">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涉及高压分界室、变配电室需供电部门审批的，应同时满足其相关要求。</w:t>
      </w:r>
    </w:p>
    <w:p w14:paraId="06C69F69">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4.2.5</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当前出现一些新功能业态名称的经营场所，在同一时间内聚集人数较多，属于符合《消防法》定义的人员密集场所，且多无天然采光和自然通风条件，火灾危险性较大，应执行现行消防技术标准中相关场所的平面布置规定。其他传统业态的公共娱乐场所仍按现行消防技术标准规定进行功能定性。</w:t>
      </w:r>
    </w:p>
    <w:p w14:paraId="670B4078">
      <w:pPr>
        <w:pStyle w:val="3"/>
        <w:spacing w:line="360" w:lineRule="auto"/>
        <w:rPr>
          <w:rFonts w:ascii="宋体" w:hAnsi="宋体"/>
          <w:sz w:val="28"/>
          <w:szCs w:val="28"/>
        </w:rPr>
      </w:pPr>
      <w:bookmarkStart w:id="178" w:name="_Toc151063010"/>
      <w:bookmarkStart w:id="179" w:name="_Toc151063147"/>
      <w:bookmarkStart w:id="180" w:name="_Toc151061875"/>
      <w:bookmarkStart w:id="181" w:name="_Toc151062857"/>
      <w:r>
        <w:rPr>
          <w:rFonts w:hint="eastAsia" w:ascii="宋体" w:hAnsi="宋体"/>
          <w:sz w:val="28"/>
          <w:szCs w:val="28"/>
        </w:rPr>
        <w:t xml:space="preserve">4.3 </w:t>
      </w:r>
      <w:r>
        <w:rPr>
          <w:rFonts w:ascii="宋体" w:hAnsi="宋体"/>
          <w:sz w:val="28"/>
          <w:szCs w:val="28"/>
        </w:rPr>
        <w:t xml:space="preserve"> </w:t>
      </w:r>
      <w:r>
        <w:rPr>
          <w:rFonts w:hint="eastAsia" w:ascii="宋体" w:hAnsi="宋体"/>
          <w:sz w:val="28"/>
          <w:szCs w:val="28"/>
        </w:rPr>
        <w:t>安全疏散和避难</w:t>
      </w:r>
      <w:bookmarkEnd w:id="178"/>
      <w:bookmarkEnd w:id="179"/>
      <w:bookmarkEnd w:id="180"/>
      <w:bookmarkEnd w:id="181"/>
    </w:p>
    <w:p w14:paraId="7F472BCA">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w:t>
      </w:r>
      <w:r>
        <w:rPr>
          <w:rFonts w:ascii="宋体" w:hAnsi="宋体"/>
          <w:color w:val="000000" w:themeColor="text1"/>
          <w:sz w:val="28"/>
          <w:szCs w:val="28"/>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.1</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国家标准《建筑设计防火规范》GB50016-2006规定，建筑层数不大于3层且满足人数限值要求的小规模公共建筑，每层小于500m</w:t>
      </w:r>
      <w:r>
        <w:rPr>
          <w:rFonts w:ascii="宋体" w:hAnsi="宋体"/>
          <w:color w:val="000000" w:themeColor="text1"/>
          <w:sz w:val="28"/>
          <w:szCs w:val="28"/>
          <w:vertAlign w:val="superscript"/>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，可设置一部疏散楼梯。国家标准《建筑设计防火规范》GB50016-2014将此条规定的面积限值修改为200m</w:t>
      </w:r>
      <w:r>
        <w:rPr>
          <w:rFonts w:ascii="宋体" w:hAnsi="宋体"/>
          <w:color w:val="000000" w:themeColor="text1"/>
          <w:sz w:val="28"/>
          <w:szCs w:val="28"/>
          <w:vertAlign w:val="superscript"/>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，其原因是火灾疏散时危险性较大。当200m</w:t>
      </w:r>
      <w:r>
        <w:rPr>
          <w:rFonts w:ascii="宋体" w:hAnsi="宋体"/>
          <w:color w:val="000000" w:themeColor="text1"/>
          <w:sz w:val="28"/>
          <w:szCs w:val="28"/>
          <w:vertAlign w:val="superscript"/>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～500m</w:t>
      </w:r>
      <w:r>
        <w:rPr>
          <w:rFonts w:ascii="宋体" w:hAnsi="宋体"/>
          <w:color w:val="000000" w:themeColor="text1"/>
          <w:sz w:val="28"/>
          <w:szCs w:val="28"/>
          <w:vertAlign w:val="superscript"/>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的建筑原来只有一部楼梯时，应首先考虑增设楼梯满足现行标准要求。当确有困难难以增加疏散楼时，除了一些危险性很大的公共建筑以外，可执行旧版规范的层面积限值，但规定人数限值按现行规范要求，并提高了安全疏散距离、疏散楼梯的要求，同时增加了设置第二逃生口的性能补偿措施，对既有建筑的消防安全性能进行了提升。</w:t>
      </w:r>
    </w:p>
    <w:p w14:paraId="1046A8B6">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设置可开启外窗和室外阳台有利于排烟，对于层数不大于3层的小规模建筑，也可以作为第二逃生口，当走道等公共区域未设可开启外窗或室外阳台时，应保证每一个有人员活动的房间有第二逃生口。</w:t>
      </w:r>
    </w:p>
    <w:p w14:paraId="5851CD14">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w:t>
      </w:r>
      <w:r>
        <w:rPr>
          <w:rFonts w:ascii="宋体" w:hAnsi="宋体"/>
          <w:color w:val="000000" w:themeColor="text1"/>
          <w:sz w:val="28"/>
          <w:szCs w:val="28"/>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.2</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按照现行国家标准《建筑防火通用规范》</w:t>
      </w:r>
      <w:r>
        <w:rPr>
          <w:rFonts w:ascii="宋体" w:hAnsi="宋体"/>
          <w:color w:val="000000" w:themeColor="text1"/>
          <w:sz w:val="28"/>
          <w:szCs w:val="28"/>
          <w14:textFill>
            <w14:solidFill>
              <w14:schemeClr w14:val="tx1"/>
            </w14:solidFill>
          </w14:textFill>
        </w:rPr>
        <w:t>GB55037</w:t>
      </w:r>
      <w:r>
        <w:rPr>
          <w:rFonts w:hint="eastAsia" w:ascii="宋体" w:hAnsi="宋体"/>
          <w:color w:val="000000" w:themeColor="text1"/>
          <w:sz w:val="28"/>
          <w:szCs w:val="28"/>
          <w14:textFill>
            <w14:solidFill>
              <w14:schemeClr w14:val="tx1"/>
            </w14:solidFill>
          </w14:textFill>
        </w:rPr>
        <w:t>第</w:t>
      </w:r>
      <w:r>
        <w:rPr>
          <w:rFonts w:ascii="宋体" w:hAnsi="宋体"/>
          <w:color w:val="000000" w:themeColor="text1"/>
          <w:sz w:val="28"/>
          <w:szCs w:val="28"/>
          <w14:textFill>
            <w14:solidFill>
              <w14:schemeClr w14:val="tx1"/>
            </w14:solidFill>
          </w14:textFill>
        </w:rPr>
        <w:t>2.2.6</w:t>
      </w:r>
      <w:r>
        <w:rPr>
          <w:rFonts w:hint="eastAsia" w:ascii="宋体" w:hAnsi="宋体"/>
          <w:color w:val="000000" w:themeColor="text1"/>
          <w:sz w:val="28"/>
          <w:szCs w:val="28"/>
          <w14:textFill>
            <w14:solidFill>
              <w14:schemeClr w14:val="tx1"/>
            </w14:solidFill>
          </w14:textFill>
        </w:rPr>
        <w:t>条、《建筑设计防火规范》</w:t>
      </w:r>
      <w:r>
        <w:rPr>
          <w:rFonts w:ascii="宋体" w:hAnsi="宋体"/>
          <w:color w:val="000000" w:themeColor="text1"/>
          <w:sz w:val="28"/>
          <w:szCs w:val="28"/>
          <w14:textFill>
            <w14:solidFill>
              <w14:schemeClr w14:val="tx1"/>
            </w14:solidFill>
          </w14:textFill>
        </w:rPr>
        <w:t>GB50016-2014</w:t>
      </w: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14:textFill>
            <w14:solidFill>
              <w14:schemeClr w14:val="tx1"/>
            </w14:solidFill>
          </w14:textFill>
        </w:rPr>
        <w:t>2018</w:t>
      </w:r>
      <w:r>
        <w:rPr>
          <w:rFonts w:hint="eastAsia" w:ascii="宋体" w:hAnsi="宋体"/>
          <w:color w:val="000000" w:themeColor="text1"/>
          <w:sz w:val="28"/>
          <w:szCs w:val="28"/>
          <w14:textFill>
            <w14:solidFill>
              <w14:schemeClr w14:val="tx1"/>
            </w14:solidFill>
          </w14:textFill>
        </w:rPr>
        <w:t>版）第</w:t>
      </w:r>
      <w:r>
        <w:rPr>
          <w:rFonts w:ascii="宋体" w:hAnsi="宋体"/>
          <w:color w:val="000000" w:themeColor="text1"/>
          <w:sz w:val="28"/>
          <w:szCs w:val="28"/>
          <w14:textFill>
            <w14:solidFill>
              <w14:schemeClr w14:val="tx1"/>
            </w14:solidFill>
          </w14:textFill>
        </w:rPr>
        <w:t>7.3.1</w:t>
      </w:r>
      <w:r>
        <w:rPr>
          <w:rFonts w:hint="eastAsia" w:ascii="宋体" w:hAnsi="宋体"/>
          <w:color w:val="000000" w:themeColor="text1"/>
          <w:sz w:val="28"/>
          <w:szCs w:val="28"/>
          <w14:textFill>
            <w14:solidFill>
              <w14:schemeClr w14:val="tx1"/>
            </w14:solidFill>
          </w14:textFill>
        </w:rPr>
        <w:t>条规定，五层及以上且总建筑面积大于</w:t>
      </w:r>
      <w:r>
        <w:rPr>
          <w:rFonts w:ascii="宋体" w:hAnsi="宋体"/>
          <w:color w:val="000000" w:themeColor="text1"/>
          <w:sz w:val="28"/>
          <w:szCs w:val="28"/>
          <w14:textFill>
            <w14:solidFill>
              <w14:schemeClr w14:val="tx1"/>
            </w14:solidFill>
          </w14:textFill>
        </w:rPr>
        <w:t>3000</w:t>
      </w:r>
      <w:r>
        <w:rPr>
          <w:rFonts w:hint="eastAsia" w:ascii="宋体" w:hAnsi="宋体"/>
          <w:color w:val="000000" w:themeColor="text1"/>
          <w:sz w:val="28"/>
          <w:szCs w:val="28"/>
          <w14:textFill>
            <w14:solidFill>
              <w14:schemeClr w14:val="tx1"/>
            </w14:solidFill>
          </w14:textFill>
        </w:rPr>
        <w:t>㎡的老年人照料设施，设置消防电梯可能遇到困难、既有电梯无法设置候梯厅或不能满足辅助人员疏散的电梯的要求。为了保障老年人紧急疏散的安全，通过将各层的防火分区划分成多个防火分隔单元的方式，可在火灾时快速高效地将行动不便的老年人用担架床、轮椅转移运送到其他防火分隔单元内暂时避难。</w:t>
      </w:r>
    </w:p>
    <w:p w14:paraId="2BAC551F">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w:t>
      </w:r>
      <w:r>
        <w:rPr>
          <w:rFonts w:ascii="宋体" w:hAnsi="宋体"/>
          <w:color w:val="000000" w:themeColor="text1"/>
          <w:sz w:val="28"/>
          <w:szCs w:val="28"/>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.3</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该条参照公安部消防局2018年发布的《建筑高度大于250m民用建筑防火设计加强性技术要求（试行）》中第六条的规定，以解决大于4层建筑特别是超高层建筑核心筒疏散楼梯距门厅出口较远的问题。如果设置专门走道，往往会影响门厅的使用效果。门厅大堂中可有少量附设房间，如果设置防火门会影响日常使用。而大厅中火灾荷载较大的</w:t>
      </w:r>
      <w:bookmarkStart w:id="252" w:name="_GoBack"/>
      <w:bookmarkEnd w:id="252"/>
      <w:r>
        <w:rPr>
          <w:rFonts w:hint="eastAsia" w:ascii="宋体" w:hAnsi="宋体"/>
          <w:color w:val="000000" w:themeColor="text1"/>
          <w:sz w:val="28"/>
          <w:szCs w:val="28"/>
          <w14:textFill>
            <w14:solidFill>
              <w14:schemeClr w14:val="tx1"/>
            </w14:solidFill>
          </w14:textFill>
        </w:rPr>
        <w:t>行李间等还应设置防火门。</w:t>
      </w:r>
    </w:p>
    <w:p w14:paraId="0C5766B5">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w:t>
      </w:r>
      <w:r>
        <w:rPr>
          <w:rFonts w:ascii="宋体" w:hAnsi="宋体"/>
          <w:color w:val="000000" w:themeColor="text1"/>
          <w:sz w:val="28"/>
          <w:szCs w:val="28"/>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.4</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现行技术标准中，除国家标准《建筑设计防火规范》</w:t>
      </w:r>
      <w:r>
        <w:rPr>
          <w:rFonts w:ascii="宋体" w:hAnsi="宋体"/>
          <w:color w:val="000000" w:themeColor="text1"/>
          <w:sz w:val="28"/>
          <w:szCs w:val="28"/>
          <w14:textFill>
            <w14:solidFill>
              <w14:schemeClr w14:val="tx1"/>
            </w14:solidFill>
          </w14:textFill>
        </w:rPr>
        <w:t>GB50016-2014</w:t>
      </w:r>
      <w:r>
        <w:rPr>
          <w:rFonts w:hint="eastAsia" w:ascii="宋体" w:hAnsi="宋体"/>
          <w:color w:val="000000" w:themeColor="text1"/>
          <w:sz w:val="28"/>
          <w:szCs w:val="28"/>
          <w14:textFill>
            <w14:solidFill>
              <w14:schemeClr w14:val="tx1"/>
            </w14:solidFill>
          </w14:textFill>
        </w:rPr>
        <w:t>对部分类型的建筑不同功能独立设置安全出口和疏散楼梯做出要求外，《办公建筑设计标准》《商店建筑设计规范》《住宅建筑规范》等现行专项标准也提出了相关设计要求。《建筑设计防火规范》还对不同功能的分区提出了进行防火分隔的要求。该类要求既涉及竖向分区，也涉及水平分区。</w:t>
      </w:r>
    </w:p>
    <w:p w14:paraId="2CA23176">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以上既有的多功能组合建筑可能不符合此要求，此时既有项目的改造设计不应增设老年人照料设施、</w:t>
      </w:r>
      <w:r>
        <w:rPr>
          <w:rFonts w:ascii="宋体" w:hAnsi="宋体"/>
          <w:color w:val="000000" w:themeColor="text1"/>
          <w:sz w:val="28"/>
          <w:szCs w:val="28"/>
          <w14:textFill>
            <w14:solidFill>
              <w14:schemeClr w14:val="tx1"/>
            </w14:solidFill>
          </w14:textFill>
        </w:rPr>
        <w:t>儿童活动场所、歌舞娱乐放映游艺场所等，不应增设中小学生教学用房和涉及老弱病残的医疗用房</w:t>
      </w:r>
      <w:r>
        <w:rPr>
          <w:rFonts w:hint="eastAsia" w:ascii="宋体" w:hAnsi="宋体"/>
          <w:color w:val="000000" w:themeColor="text1"/>
          <w:sz w:val="28"/>
          <w:szCs w:val="28"/>
          <w14:textFill>
            <w14:solidFill>
              <w14:schemeClr w14:val="tx1"/>
            </w14:solidFill>
          </w14:textFill>
        </w:rPr>
        <w:t>。由于现行标准与旧版标准在条文规定和疏散宽度计算规则上有差异，如商业与办公不能共用楼梯，则原有楼梯宽度不能满足现行标准要求，但增加楼梯的改造难度大，考虑不同楼层疏散人员使用疏散楼梯的时间有一定时差，通过增加楼梯间设置前室或防火隔间的补偿性措施要求，以提高人员疏散的安全性。</w:t>
      </w:r>
    </w:p>
    <w:p w14:paraId="0DA99A2F">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w:t>
      </w:r>
      <w:r>
        <w:rPr>
          <w:rFonts w:ascii="宋体" w:hAnsi="宋体"/>
          <w:color w:val="000000" w:themeColor="text1"/>
          <w:sz w:val="28"/>
          <w:szCs w:val="28"/>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.5</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楼梯疏散宽度满足两个防分区同时疏散的要求，一般可按大于楼梯间门总净宽度进行控制。</w:t>
      </w:r>
    </w:p>
    <w:p w14:paraId="55A7A85E">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w:t>
      </w:r>
      <w:r>
        <w:rPr>
          <w:rFonts w:ascii="宋体" w:hAnsi="宋体"/>
          <w:color w:val="000000" w:themeColor="text1"/>
          <w:sz w:val="28"/>
          <w:szCs w:val="28"/>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.6</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敞开楼梯间是多层既有建筑常见的楼梯形式，改造为封闭楼梯间可能对建筑功能空间的影响较大。由于建筑层数低，楼梯间可自然排烟，明亮且便于识别，这些特点有利于疏散，图书馆、展览建筑、会议中心尤其如此。由于既有建筑现状条件的限制，因此规定此类建筑可维持地上有外窗的既有疏散楼梯间的敞开形式，但对于医疗建筑、旅馆、歌舞娱乐放映游艺场所、商店等还应采用封闭楼梯间。</w:t>
      </w:r>
    </w:p>
    <w:p w14:paraId="1A3E14C7">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w:t>
      </w:r>
      <w:r>
        <w:rPr>
          <w:rFonts w:ascii="宋体" w:hAnsi="宋体"/>
          <w:color w:val="000000" w:themeColor="text1"/>
          <w:sz w:val="28"/>
          <w:szCs w:val="28"/>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.7</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敞开楼梯间改造为封闭楼梯间可能需要占用走道空间，允许楼梯间门采用常开防火门形式，以满足走道平时的使用需求。其他门窗洞口如在楼梯间内，则需要调整其设置位置。无窗楼梯间顶部的直灌式风机应有消防联动设计要求。围绕电梯设置的敞开楼梯间，改造为封闭楼梯间时会将电梯包含在内，因此，对电梯轿厢装修材料和电梯门的耐火极限提出要求，确保封闭楼梯间的安全性。</w:t>
      </w:r>
    </w:p>
    <w:p w14:paraId="2356AED5">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w:t>
      </w:r>
      <w:r>
        <w:rPr>
          <w:rFonts w:ascii="宋体" w:hAnsi="宋体"/>
          <w:color w:val="000000" w:themeColor="text1"/>
          <w:sz w:val="28"/>
          <w:szCs w:val="28"/>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.8</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由于现行标准与旧版标准在疏散宽度计算规则上的差异较大，既有商业建筑改造时疏散楼梯总宽度满足现行标准往往很困难，成为突出问题。本条款提出按照不同使用功能的商业建筑人员密度标准进行楼层总疏散净宽度的计算，但应注意未来商业业态的变化对疏散宽度可能产生的影响。其他设计要求如出口数量等应符合现行国家标准《建筑设计防火规范》GB50016-2014第5.5.9条。</w:t>
      </w:r>
    </w:p>
    <w:p w14:paraId="2A6F8C4E">
      <w:pPr>
        <w:widowControl/>
        <w:snapToGrid w:val="0"/>
        <w:spacing w:line="300" w:lineRule="auto"/>
        <w:ind w:firstLine="709"/>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第1款，体现分散布置原则。双向疏散条件借鉴香港标准《</w:t>
      </w:r>
      <w:r>
        <w:rPr>
          <w:rFonts w:ascii="宋体" w:hAnsi="宋体"/>
          <w:color w:val="000000" w:themeColor="text1"/>
          <w:sz w:val="28"/>
          <w:szCs w:val="28"/>
          <w14:textFill>
            <w14:solidFill>
              <w14:schemeClr w14:val="tx1"/>
            </w14:solidFill>
          </w14:textFill>
        </w:rPr>
        <w:t>Code of Practice for Fire Safety in Buildings 2011</w:t>
      </w:r>
      <w:r>
        <w:rPr>
          <w:rFonts w:hint="eastAsia" w:ascii="宋体" w:hAnsi="宋体"/>
          <w:color w:val="000000" w:themeColor="text1"/>
          <w:sz w:val="28"/>
          <w:szCs w:val="28"/>
          <w14:textFill>
            <w14:solidFill>
              <w14:schemeClr w14:val="tx1"/>
            </w14:solidFill>
          </w14:textFill>
        </w:rPr>
        <w:t>》（下同）；</w:t>
      </w:r>
    </w:p>
    <w:p w14:paraId="5C6287A0">
      <w:pPr>
        <w:widowControl/>
        <w:snapToGrid w:val="0"/>
        <w:spacing w:line="300" w:lineRule="auto"/>
        <w:ind w:firstLine="709"/>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第2款，人员荷载参考中国建筑科学研究院完成的十五国家科技攻关计划专题《大型公共建筑人员疏散模型与疏散引导系统研究报告》并借鉴香港标准确定。</w:t>
      </w:r>
    </w:p>
    <w:p w14:paraId="3ED8DF40">
      <w:pPr>
        <w:widowControl/>
        <w:snapToGrid w:val="0"/>
        <w:spacing w:line="300" w:lineRule="auto"/>
        <w:ind w:firstLine="709"/>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上述指标与G</w:t>
      </w:r>
      <w:r>
        <w:rPr>
          <w:rFonts w:ascii="宋体" w:hAnsi="宋体"/>
          <w:color w:val="000000" w:themeColor="text1"/>
          <w:sz w:val="28"/>
          <w:szCs w:val="28"/>
          <w14:textFill>
            <w14:solidFill>
              <w14:schemeClr w14:val="tx1"/>
            </w14:solidFill>
          </w14:textFill>
        </w:rPr>
        <w:t>B50016</w:t>
      </w:r>
      <w:r>
        <w:rPr>
          <w:rFonts w:hint="eastAsia" w:ascii="宋体" w:hAnsi="宋体"/>
          <w:color w:val="000000" w:themeColor="text1"/>
          <w:sz w:val="28"/>
          <w:szCs w:val="28"/>
          <w14:textFill>
            <w14:solidFill>
              <w14:schemeClr w14:val="tx1"/>
            </w14:solidFill>
          </w14:textFill>
        </w:rPr>
        <w:t>相比，地下二层6</w:t>
      </w:r>
      <w:r>
        <w:rPr>
          <w:rFonts w:ascii="宋体" w:hAnsi="宋体"/>
          <w:color w:val="000000" w:themeColor="text1"/>
          <w:sz w:val="28"/>
          <w:szCs w:val="28"/>
          <w14:textFill>
            <w14:solidFill>
              <w14:schemeClr w14:val="tx1"/>
            </w14:solidFill>
          </w14:textFill>
        </w:rPr>
        <w:t>2.5%</w:t>
      </w:r>
      <w:r>
        <w:rPr>
          <w:rFonts w:hint="eastAsia" w:ascii="宋体" w:hAnsi="宋体"/>
          <w:color w:val="000000" w:themeColor="text1"/>
          <w:sz w:val="28"/>
          <w:szCs w:val="28"/>
          <w14:textFill>
            <w14:solidFill>
              <w14:schemeClr w14:val="tx1"/>
            </w14:solidFill>
          </w14:textFill>
        </w:rPr>
        <w:t>（0</w:t>
      </w:r>
      <w:r>
        <w:rPr>
          <w:rFonts w:ascii="宋体" w:hAnsi="宋体"/>
          <w:color w:val="000000" w:themeColor="text1"/>
          <w:sz w:val="28"/>
          <w:szCs w:val="28"/>
          <w14:textFill>
            <w14:solidFill>
              <w14:schemeClr w14:val="tx1"/>
            </w14:solidFill>
          </w14:textFill>
        </w:rPr>
        <w:t>.56</w:t>
      </w:r>
      <w:r>
        <w:rPr>
          <w:rFonts w:hint="eastAsia" w:ascii="宋体" w:hAnsi="宋体"/>
          <w:color w:val="000000" w:themeColor="text1"/>
          <w:sz w:val="28"/>
          <w:szCs w:val="28"/>
          <w14:textFill>
            <w14:solidFill>
              <w14:schemeClr w14:val="tx1"/>
            </w14:solidFill>
          </w14:textFill>
        </w:rPr>
        <w:t>人/㎡）；地下一层</w:t>
      </w:r>
      <w:r>
        <w:rPr>
          <w:rFonts w:ascii="宋体" w:hAnsi="宋体"/>
          <w:color w:val="000000" w:themeColor="text1"/>
          <w:sz w:val="28"/>
          <w:szCs w:val="28"/>
          <w14:textFill>
            <w14:solidFill>
              <w14:schemeClr w14:val="tx1"/>
            </w14:solidFill>
          </w14:textFill>
        </w:rPr>
        <w:t>60.3%</w:t>
      </w:r>
      <w:r>
        <w:rPr>
          <w:rFonts w:hint="eastAsia" w:ascii="宋体" w:hAnsi="宋体"/>
          <w:color w:val="000000" w:themeColor="text1"/>
          <w:sz w:val="28"/>
          <w:szCs w:val="28"/>
          <w14:textFill>
            <w14:solidFill>
              <w14:schemeClr w14:val="tx1"/>
            </w14:solidFill>
          </w14:textFill>
        </w:rPr>
        <w:t>（0</w:t>
      </w:r>
      <w:r>
        <w:rPr>
          <w:rFonts w:ascii="宋体" w:hAnsi="宋体"/>
          <w:color w:val="000000" w:themeColor="text1"/>
          <w:sz w:val="28"/>
          <w:szCs w:val="28"/>
          <w14:textFill>
            <w14:solidFill>
              <w14:schemeClr w14:val="tx1"/>
            </w14:solidFill>
          </w14:textFill>
        </w:rPr>
        <w:t>.58</w:t>
      </w:r>
      <w:r>
        <w:rPr>
          <w:rFonts w:hint="eastAsia" w:ascii="宋体" w:hAnsi="宋体"/>
          <w:color w:val="000000" w:themeColor="text1"/>
          <w:sz w:val="28"/>
          <w:szCs w:val="28"/>
          <w14:textFill>
            <w14:solidFill>
              <w14:schemeClr w14:val="tx1"/>
            </w14:solidFill>
          </w14:textFill>
        </w:rPr>
        <w:t>人/㎡）；地上一层、二层</w:t>
      </w:r>
      <w:r>
        <w:rPr>
          <w:rFonts w:ascii="宋体" w:hAnsi="宋体"/>
          <w:color w:val="000000" w:themeColor="text1"/>
          <w:sz w:val="28"/>
          <w:szCs w:val="28"/>
          <w14:textFill>
            <w14:solidFill>
              <w14:schemeClr w14:val="tx1"/>
            </w14:solidFill>
          </w14:textFill>
        </w:rPr>
        <w:t>81.4%</w:t>
      </w:r>
      <w:r>
        <w:rPr>
          <w:rFonts w:hint="eastAsia" w:ascii="宋体" w:hAnsi="宋体"/>
          <w:color w:val="000000" w:themeColor="text1"/>
          <w:sz w:val="28"/>
          <w:szCs w:val="28"/>
          <w14:textFill>
            <w14:solidFill>
              <w14:schemeClr w14:val="tx1"/>
            </w14:solidFill>
          </w14:textFill>
        </w:rPr>
        <w:t>（0</w:t>
      </w:r>
      <w:r>
        <w:rPr>
          <w:rFonts w:ascii="宋体" w:hAnsi="宋体"/>
          <w:color w:val="000000" w:themeColor="text1"/>
          <w:sz w:val="28"/>
          <w:szCs w:val="28"/>
          <w14:textFill>
            <w14:solidFill>
              <w14:schemeClr w14:val="tx1"/>
            </w14:solidFill>
          </w14:textFill>
        </w:rPr>
        <w:t>.43</w:t>
      </w:r>
      <w:r>
        <w:rPr>
          <w:rFonts w:hint="eastAsia" w:ascii="宋体" w:hAnsi="宋体"/>
          <w:color w:val="000000" w:themeColor="text1"/>
          <w:sz w:val="28"/>
          <w:szCs w:val="28"/>
          <w14:textFill>
            <w14:solidFill>
              <w14:schemeClr w14:val="tx1"/>
            </w14:solidFill>
          </w14:textFill>
        </w:rPr>
        <w:t>人/㎡）；三层</w:t>
      </w:r>
      <w:r>
        <w:rPr>
          <w:rFonts w:ascii="宋体" w:hAnsi="宋体"/>
          <w:color w:val="000000" w:themeColor="text1"/>
          <w:sz w:val="28"/>
          <w:szCs w:val="28"/>
          <w14:textFill>
            <w14:solidFill>
              <w14:schemeClr w14:val="tx1"/>
            </w14:solidFill>
          </w14:textFill>
        </w:rPr>
        <w:t>0.90%</w:t>
      </w: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14:textFill>
            <w14:solidFill>
              <w14:schemeClr w14:val="tx1"/>
            </w14:solidFill>
          </w14:textFill>
        </w:rPr>
        <w:t>0.39</w:t>
      </w:r>
      <w:r>
        <w:rPr>
          <w:rFonts w:hint="eastAsia" w:ascii="宋体" w:hAnsi="宋体"/>
          <w:color w:val="000000" w:themeColor="text1"/>
          <w:sz w:val="28"/>
          <w:szCs w:val="28"/>
          <w14:textFill>
            <w14:solidFill>
              <w14:schemeClr w14:val="tx1"/>
            </w14:solidFill>
          </w14:textFill>
        </w:rPr>
        <w:t>人</w:t>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；四层及以上</w:t>
      </w:r>
      <w:r>
        <w:rPr>
          <w:rFonts w:ascii="宋体" w:hAnsi="宋体"/>
          <w:color w:val="000000" w:themeColor="text1"/>
          <w:sz w:val="28"/>
          <w:szCs w:val="28"/>
          <w14:textFill>
            <w14:solidFill>
              <w14:schemeClr w14:val="tx1"/>
            </w14:solidFill>
          </w14:textFill>
        </w:rPr>
        <w:t>100%</w:t>
      </w:r>
      <w:r>
        <w:rPr>
          <w:rFonts w:hint="eastAsia" w:ascii="宋体" w:hAnsi="宋体"/>
          <w:color w:val="000000" w:themeColor="text1"/>
          <w:sz w:val="28"/>
          <w:szCs w:val="28"/>
          <w14:textFill>
            <w14:solidFill>
              <w14:schemeClr w14:val="tx1"/>
            </w14:solidFill>
          </w14:textFill>
        </w:rPr>
        <w:t>（0</w:t>
      </w:r>
      <w:r>
        <w:rPr>
          <w:rFonts w:ascii="宋体" w:hAnsi="宋体"/>
          <w:color w:val="000000" w:themeColor="text1"/>
          <w:sz w:val="28"/>
          <w:szCs w:val="28"/>
          <w14:textFill>
            <w14:solidFill>
              <w14:schemeClr w14:val="tx1"/>
            </w14:solidFill>
          </w14:textFill>
        </w:rPr>
        <w:t>.30</w:t>
      </w:r>
      <w:r>
        <w:rPr>
          <w:rFonts w:hint="eastAsia" w:ascii="宋体" w:hAnsi="宋体"/>
          <w:color w:val="000000" w:themeColor="text1"/>
          <w:sz w:val="28"/>
          <w:szCs w:val="28"/>
          <w14:textFill>
            <w14:solidFill>
              <w14:schemeClr w14:val="tx1"/>
            </w14:solidFill>
          </w14:textFill>
        </w:rPr>
        <w:t>人/㎡）；上述指标与香港标准指标相比，超市、咖啡、酒吧指标一致；三层商业指标略高，其他商业指标均低于香港标准指标；</w:t>
      </w:r>
    </w:p>
    <w:p w14:paraId="5DA02F7D">
      <w:pPr>
        <w:widowControl/>
        <w:snapToGrid w:val="0"/>
        <w:spacing w:line="300" w:lineRule="auto"/>
        <w:ind w:firstLine="709"/>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第</w:t>
      </w:r>
      <w:r>
        <w:rPr>
          <w:rFonts w:ascii="宋体" w:hAnsi="宋体"/>
          <w:color w:val="000000" w:themeColor="text1"/>
          <w:sz w:val="28"/>
          <w:szCs w:val="28"/>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款，因疏散宽度指标调整，对于防火分区间有防火卷帘分隔情况适度从严要求。</w:t>
      </w:r>
    </w:p>
    <w:p w14:paraId="63AD443D">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w:t>
      </w:r>
      <w:r>
        <w:rPr>
          <w:rFonts w:ascii="宋体" w:hAnsi="宋体"/>
          <w:color w:val="000000" w:themeColor="text1"/>
          <w:sz w:val="28"/>
          <w:szCs w:val="28"/>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.9</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现行国家标准《建筑设计防火规范》GB50016-2014（相关条款后纳入到现行国家标准《建筑防火通用规范》GB55037）中，疏散楼梯最小净宽度与旧版标准的规定相比并没有变化，随着消防管理和建筑设计的精细化以及社会法律意识的增强，对净宽度的理解日趋严谨。在设计、审查和工程验收时，净宽度应为建筑完成面尺寸。但由于过去技术标准、设计和施工水平的原因，对净宽度的概念缺乏准确定义，对结构留洞尺寸与建筑完成面尺寸的关系没有区分，对建筑装修做法厚度及楼梯栏杆扶手做法影响实际净宽度的情况考虑不足，按照土建尺寸设计，导致既有建筑疏散楼梯满足不了净宽度要求。当既有建筑结构留洞尺寸难以改变时，改造会非常困难，10%是结构尺寸与建筑实际完成净尺寸的差别。</w:t>
      </w:r>
    </w:p>
    <w:p w14:paraId="148A0CF0">
      <w:pPr>
        <w:widowControl/>
        <w:snapToGrid w:val="0"/>
        <w:spacing w:line="300" w:lineRule="auto"/>
        <w:ind w:firstLine="709"/>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另外，老旧住宅节能改造，楼梯间与分户墙增加内保温材料后，疏散楼梯的净宽度也应满足不小于规定最小净宽度的90%的要求。</w:t>
      </w:r>
    </w:p>
    <w:p w14:paraId="263C3EFC">
      <w:pPr>
        <w:widowControl/>
        <w:snapToGrid w:val="0"/>
        <w:spacing w:line="300" w:lineRule="auto"/>
        <w:ind w:firstLine="709"/>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建筑装修做法厚度和门框均会影响疏散门和安全出口的净宽度尺寸。需要明确的是，净宽尺寸施工误差允许5%应已含在本条内。由于现行国家标准《建筑防火通用规范》已将疏散门最小净宽度由900改为800，故此处不再予以放宽。</w:t>
      </w:r>
    </w:p>
    <w:p w14:paraId="02CF7B0E">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w:t>
      </w:r>
      <w:r>
        <w:rPr>
          <w:rFonts w:ascii="宋体" w:hAnsi="宋体"/>
          <w:color w:val="000000" w:themeColor="text1"/>
          <w:sz w:val="28"/>
          <w:szCs w:val="28"/>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.10  国家标准《民用建筑通用规范》GB55031-2022规定“地下室、局部夹层、公共走道、建筑避难区、架空层等有人员正常活动的场所最低处室内净高不应小于2.00m。”即2.00m是民用建筑室内净高是满足平时使用功能的基本要求。</w:t>
      </w:r>
    </w:p>
    <w:p w14:paraId="3F8DDB51">
      <w:pPr>
        <w:widowControl/>
        <w:snapToGrid w:val="0"/>
        <w:spacing w:line="300" w:lineRule="auto"/>
        <w:ind w:firstLine="709"/>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既有建筑中部分辅助功能用房，如设备区层高较低，但其防火分区内的疏散人数较少，人员对疏散路径较为熟悉，当既有疏散路径的局部净高难以达到2.00m，但不小于1.80m时，设备区工作人员可通过此疏散路径疏散，此路径可作为该防火分区的一个出口。</w:t>
      </w:r>
    </w:p>
    <w:p w14:paraId="5D157675">
      <w:pPr>
        <w:pStyle w:val="3"/>
        <w:spacing w:line="360" w:lineRule="auto"/>
        <w:rPr>
          <w:rFonts w:ascii="宋体" w:hAnsi="宋体"/>
          <w:sz w:val="28"/>
          <w:szCs w:val="28"/>
        </w:rPr>
      </w:pPr>
      <w:bookmarkStart w:id="182" w:name="_Toc151062858"/>
      <w:bookmarkStart w:id="183" w:name="_Toc151063011"/>
      <w:bookmarkStart w:id="184" w:name="_Toc151063148"/>
      <w:bookmarkStart w:id="185" w:name="_Toc151061876"/>
      <w:r>
        <w:rPr>
          <w:rFonts w:hint="eastAsia" w:ascii="宋体" w:hAnsi="宋体"/>
          <w:sz w:val="28"/>
          <w:szCs w:val="28"/>
        </w:rPr>
        <w:t>4.4</w:t>
      </w:r>
      <w:r>
        <w:rPr>
          <w:rFonts w:ascii="宋体" w:hAnsi="宋体"/>
          <w:sz w:val="28"/>
          <w:szCs w:val="28"/>
        </w:rPr>
        <w:t xml:space="preserve">  </w:t>
      </w:r>
      <w:r>
        <w:rPr>
          <w:rFonts w:hint="eastAsia" w:ascii="宋体" w:hAnsi="宋体"/>
          <w:sz w:val="28"/>
          <w:szCs w:val="28"/>
        </w:rPr>
        <w:t>建筑结构防火保护与构造</w:t>
      </w:r>
      <w:bookmarkEnd w:id="182"/>
      <w:bookmarkEnd w:id="183"/>
      <w:bookmarkEnd w:id="184"/>
      <w:bookmarkEnd w:id="185"/>
    </w:p>
    <w:p w14:paraId="14DCFE6D">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4.4.1</w:t>
      </w:r>
      <w:r>
        <w:rPr>
          <w:rFonts w:ascii="宋体" w:hAnsi="宋体"/>
          <w:color w:val="000000" w:themeColor="text1"/>
          <w:sz w:val="28"/>
          <w:szCs w:val="28"/>
          <w14:textFill>
            <w14:solidFill>
              <w14:schemeClr w14:val="tx1"/>
            </w14:solidFill>
          </w14:textFill>
        </w:rPr>
        <w:tab/>
      </w:r>
      <w:r>
        <w:rPr>
          <w:rFonts w:hint="eastAsia" w:ascii="宋体" w:hAnsi="宋体"/>
          <w:color w:val="000000" w:themeColor="text1"/>
          <w:sz w:val="28"/>
          <w:szCs w:val="28"/>
          <w14:textFill>
            <w14:solidFill>
              <w14:schemeClr w14:val="tx1"/>
            </w14:solidFill>
          </w14:textFill>
        </w:rPr>
        <w:t>新增建筑构件具备相应条件，燃烧性能和耐火极限应符合现行规范对不同耐火等级下建筑构件的相应要求。</w:t>
      </w:r>
      <w:r>
        <w:rPr>
          <w:rFonts w:ascii="宋体" w:hAnsi="宋体"/>
          <w:color w:val="000000" w:themeColor="text1"/>
          <w:sz w:val="28"/>
          <w:szCs w:val="28"/>
          <w14:textFill>
            <w14:solidFill>
              <w14:schemeClr w14:val="tx1"/>
            </w14:solidFill>
          </w14:textFill>
        </w:rPr>
        <w:t>某些抗震加固项目中，</w:t>
      </w:r>
      <w:r>
        <w:rPr>
          <w:rFonts w:hint="eastAsia" w:ascii="宋体" w:hAnsi="宋体"/>
          <w:color w:val="000000" w:themeColor="text1"/>
          <w:sz w:val="28"/>
          <w:szCs w:val="28"/>
          <w14:textFill>
            <w14:solidFill>
              <w14:schemeClr w14:val="tx1"/>
            </w14:solidFill>
          </w14:textFill>
        </w:rPr>
        <w:t>若</w:t>
      </w:r>
      <w:r>
        <w:rPr>
          <w:rFonts w:ascii="宋体" w:hAnsi="宋体"/>
          <w:color w:val="000000" w:themeColor="text1"/>
          <w:sz w:val="28"/>
          <w:szCs w:val="28"/>
          <w14:textFill>
            <w14:solidFill>
              <w14:schemeClr w14:val="tx1"/>
            </w14:solidFill>
          </w14:textFill>
        </w:rPr>
        <w:t>结构加固措施仅用于解决抗震问题，不承受竖向荷载，例如新增防屈曲支撑、粘滞阻尼器等构件或设备，对这类构件和设备可不进行防火处理，但应在设计文件中注明</w:t>
      </w:r>
      <w:r>
        <w:rPr>
          <w:rFonts w:hint="eastAsia" w:ascii="宋体" w:hAnsi="宋体"/>
          <w:color w:val="000000" w:themeColor="text1"/>
          <w:sz w:val="28"/>
          <w:szCs w:val="28"/>
          <w14:textFill>
            <w14:solidFill>
              <w14:schemeClr w14:val="tx1"/>
            </w14:solidFill>
          </w14:textFill>
        </w:rPr>
        <w:t>火灾后</w:t>
      </w:r>
      <w:r>
        <w:rPr>
          <w:rFonts w:ascii="宋体" w:hAnsi="宋体"/>
          <w:color w:val="000000" w:themeColor="text1"/>
          <w:sz w:val="28"/>
          <w:szCs w:val="28"/>
          <w14:textFill>
            <w14:solidFill>
              <w14:schemeClr w14:val="tx1"/>
            </w14:solidFill>
          </w14:textFill>
        </w:rPr>
        <w:t>应对其进行性能评估且合格时</w:t>
      </w:r>
      <w:r>
        <w:rPr>
          <w:rFonts w:hint="eastAsia" w:ascii="宋体" w:hAnsi="宋体"/>
          <w:color w:val="000000" w:themeColor="text1"/>
          <w:sz w:val="28"/>
          <w:szCs w:val="28"/>
          <w14:textFill>
            <w14:solidFill>
              <w14:schemeClr w14:val="tx1"/>
            </w14:solidFill>
          </w14:textFill>
        </w:rPr>
        <w:t>方可继续使用</w:t>
      </w:r>
      <w:r>
        <w:rPr>
          <w:rFonts w:ascii="宋体" w:hAnsi="宋体"/>
          <w:color w:val="000000" w:themeColor="text1"/>
          <w:sz w:val="28"/>
          <w:szCs w:val="28"/>
          <w14:textFill>
            <w14:solidFill>
              <w14:schemeClr w14:val="tx1"/>
            </w14:solidFill>
          </w14:textFill>
        </w:rPr>
        <w:t>。</w:t>
      </w:r>
    </w:p>
    <w:p w14:paraId="3B5C9A49">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4.4.2  </w:t>
      </w:r>
      <w:r>
        <w:rPr>
          <w:rFonts w:hint="eastAsia" w:ascii="宋体" w:hAnsi="宋体"/>
          <w:color w:val="000000" w:themeColor="text1"/>
          <w:sz w:val="28"/>
          <w:szCs w:val="28"/>
          <w14:textFill>
            <w14:solidFill>
              <w14:schemeClr w14:val="tx1"/>
            </w14:solidFill>
          </w14:textFill>
        </w:rPr>
        <w:t>既有防火墙改变位置会造成原防火分区变化，局部改造工程还可能涉及不同产权单位，改造难度较大，因此在保证</w:t>
      </w:r>
      <w:r>
        <w:rPr>
          <w:rFonts w:ascii="宋体" w:hAnsi="宋体"/>
          <w:color w:val="000000" w:themeColor="text1"/>
          <w:sz w:val="28"/>
          <w:szCs w:val="28"/>
          <w14:textFill>
            <w14:solidFill>
              <w14:schemeClr w14:val="tx1"/>
            </w14:solidFill>
          </w14:textFill>
        </w:rPr>
        <w:t>防火墙耐火性能的前提下，</w:t>
      </w:r>
      <w:r>
        <w:rPr>
          <w:rFonts w:hint="eastAsia" w:ascii="宋体" w:hAnsi="宋体"/>
          <w:color w:val="000000" w:themeColor="text1"/>
          <w:sz w:val="28"/>
          <w:szCs w:val="28"/>
          <w14:textFill>
            <w14:solidFill>
              <w14:schemeClr w14:val="tx1"/>
            </w14:solidFill>
          </w14:textFill>
        </w:rPr>
        <w:t>保留使用的防火墙可维持现状位置。当承托防火墙的框架、梁、</w:t>
      </w:r>
      <w:r>
        <w:rPr>
          <w:rFonts w:ascii="宋体" w:hAnsi="宋体"/>
          <w:color w:val="000000" w:themeColor="text1"/>
          <w:sz w:val="28"/>
          <w:szCs w:val="28"/>
          <w14:textFill>
            <w14:solidFill>
              <w14:schemeClr w14:val="tx1"/>
            </w14:solidFill>
          </w14:textFill>
        </w:rPr>
        <w:t>楼板</w:t>
      </w:r>
      <w:r>
        <w:rPr>
          <w:rFonts w:hint="eastAsia" w:ascii="宋体" w:hAnsi="宋体"/>
          <w:color w:val="000000" w:themeColor="text1"/>
          <w:sz w:val="28"/>
          <w:szCs w:val="28"/>
          <w14:textFill>
            <w14:solidFill>
              <w14:schemeClr w14:val="tx1"/>
            </w14:solidFill>
          </w14:textFill>
        </w:rPr>
        <w:t>等承重结构不满足相应耐火性能要求时，可视条件对其采取增设</w:t>
      </w:r>
      <w:r>
        <w:rPr>
          <w:rFonts w:ascii="宋体" w:hAnsi="宋体"/>
          <w:color w:val="000000" w:themeColor="text1"/>
          <w:sz w:val="28"/>
          <w:szCs w:val="28"/>
          <w14:textFill>
            <w14:solidFill>
              <w14:schemeClr w14:val="tx1"/>
            </w14:solidFill>
          </w14:textFill>
        </w:rPr>
        <w:t>满足性能要求的结构梁、</w:t>
      </w:r>
      <w:r>
        <w:rPr>
          <w:rFonts w:hint="eastAsia" w:ascii="宋体" w:hAnsi="宋体"/>
          <w:color w:val="000000" w:themeColor="text1"/>
          <w:sz w:val="28"/>
          <w:szCs w:val="28"/>
          <w14:textFill>
            <w14:solidFill>
              <w14:schemeClr w14:val="tx1"/>
            </w14:solidFill>
          </w14:textFill>
        </w:rPr>
        <w:t>喷涂防火涂料、增加抹灰层、包覆防火板等措施，提高相关承托结构耐火性能，满足</w:t>
      </w:r>
      <w:r>
        <w:rPr>
          <w:rFonts w:ascii="宋体" w:hAnsi="宋体"/>
          <w:color w:val="000000" w:themeColor="text1"/>
          <w:sz w:val="28"/>
          <w:szCs w:val="28"/>
          <w14:textFill>
            <w14:solidFill>
              <w14:schemeClr w14:val="tx1"/>
            </w14:solidFill>
          </w14:textFill>
        </w:rPr>
        <w:t>耐火极限</w:t>
      </w:r>
      <w:r>
        <w:rPr>
          <w:rFonts w:hint="eastAsia" w:ascii="宋体" w:hAnsi="宋体"/>
          <w:color w:val="000000" w:themeColor="text1"/>
          <w:sz w:val="28"/>
          <w:szCs w:val="28"/>
          <w14:textFill>
            <w14:solidFill>
              <w14:schemeClr w14:val="tx1"/>
            </w14:solidFill>
          </w14:textFill>
        </w:rPr>
        <w:t>不</w:t>
      </w:r>
      <w:r>
        <w:rPr>
          <w:rFonts w:ascii="宋体" w:hAnsi="宋体"/>
          <w:color w:val="000000" w:themeColor="text1"/>
          <w:sz w:val="28"/>
          <w:szCs w:val="28"/>
          <w14:textFill>
            <w14:solidFill>
              <w14:schemeClr w14:val="tx1"/>
            </w14:solidFill>
          </w14:textFill>
        </w:rPr>
        <w:t>低于3h</w:t>
      </w:r>
      <w:r>
        <w:rPr>
          <w:rFonts w:hint="eastAsia" w:ascii="宋体" w:hAnsi="宋体"/>
          <w:color w:val="000000" w:themeColor="text1"/>
          <w:sz w:val="28"/>
          <w:szCs w:val="28"/>
          <w14:textFill>
            <w14:solidFill>
              <w14:schemeClr w14:val="tx1"/>
            </w14:solidFill>
          </w14:textFill>
        </w:rPr>
        <w:t>或对应防火墙</w:t>
      </w:r>
      <w:r>
        <w:rPr>
          <w:rFonts w:ascii="宋体" w:hAnsi="宋体"/>
          <w:color w:val="000000" w:themeColor="text1"/>
          <w:sz w:val="28"/>
          <w:szCs w:val="28"/>
          <w14:textFill>
            <w14:solidFill>
              <w14:schemeClr w14:val="tx1"/>
            </w14:solidFill>
          </w14:textFill>
        </w:rPr>
        <w:t>的耐火极限要求</w:t>
      </w:r>
      <w:r>
        <w:rPr>
          <w:rFonts w:hint="eastAsia" w:ascii="宋体" w:hAnsi="宋体"/>
          <w:color w:val="000000" w:themeColor="text1"/>
          <w:sz w:val="28"/>
          <w:szCs w:val="28"/>
          <w14:textFill>
            <w14:solidFill>
              <w14:schemeClr w14:val="tx1"/>
            </w14:solidFill>
          </w14:textFill>
        </w:rPr>
        <w:t>。</w:t>
      </w:r>
    </w:p>
    <w:p w14:paraId="4C2F7378">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4.4.3  既有建筑</w:t>
      </w:r>
      <w:r>
        <w:rPr>
          <w:rFonts w:hint="eastAsia" w:ascii="宋体" w:hAnsi="宋体"/>
          <w:color w:val="000000" w:themeColor="text1"/>
          <w:sz w:val="28"/>
          <w:szCs w:val="28"/>
          <w14:textFill>
            <w14:solidFill>
              <w14:schemeClr w14:val="tx1"/>
            </w14:solidFill>
          </w14:textFill>
        </w:rPr>
        <w:t>改造工程防火设计</w:t>
      </w:r>
      <w:r>
        <w:rPr>
          <w:rFonts w:ascii="宋体" w:hAnsi="宋体"/>
          <w:color w:val="000000" w:themeColor="text1"/>
          <w:sz w:val="28"/>
          <w:szCs w:val="28"/>
          <w14:textFill>
            <w14:solidFill>
              <w14:schemeClr w14:val="tx1"/>
            </w14:solidFill>
          </w14:textFill>
        </w:rPr>
        <w:t>的鉴定（</w:t>
      </w:r>
      <w:r>
        <w:rPr>
          <w:rFonts w:hint="eastAsia" w:ascii="宋体" w:hAnsi="宋体"/>
          <w:color w:val="000000" w:themeColor="text1"/>
          <w:sz w:val="28"/>
          <w:szCs w:val="28"/>
          <w14:textFill>
            <w14:solidFill>
              <w14:schemeClr w14:val="tx1"/>
            </w14:solidFill>
          </w14:textFill>
        </w:rPr>
        <w:t>检查</w:t>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应对</w:t>
      </w:r>
      <w:r>
        <w:rPr>
          <w:rFonts w:ascii="宋体" w:hAnsi="宋体"/>
          <w:color w:val="000000" w:themeColor="text1"/>
          <w:sz w:val="28"/>
          <w:szCs w:val="28"/>
          <w14:textFill>
            <w14:solidFill>
              <w14:schemeClr w14:val="tx1"/>
            </w14:solidFill>
          </w14:textFill>
        </w:rPr>
        <w:t>既有</w:t>
      </w:r>
      <w:r>
        <w:rPr>
          <w:rFonts w:hint="eastAsia" w:ascii="宋体" w:hAnsi="宋体"/>
          <w:color w:val="000000" w:themeColor="text1"/>
          <w:sz w:val="28"/>
          <w:szCs w:val="28"/>
          <w14:textFill>
            <w14:solidFill>
              <w14:schemeClr w14:val="tx1"/>
            </w14:solidFill>
          </w14:textFill>
        </w:rPr>
        <w:t>结构构件</w:t>
      </w:r>
      <w:r>
        <w:rPr>
          <w:rFonts w:ascii="宋体" w:hAnsi="宋体"/>
          <w:color w:val="000000" w:themeColor="text1"/>
          <w:sz w:val="28"/>
          <w:szCs w:val="28"/>
          <w14:textFill>
            <w14:solidFill>
              <w14:schemeClr w14:val="tx1"/>
            </w14:solidFill>
          </w14:textFill>
        </w:rPr>
        <w:t>的防火</w:t>
      </w:r>
      <w:r>
        <w:rPr>
          <w:rFonts w:hint="eastAsia" w:ascii="宋体" w:hAnsi="宋体"/>
          <w:color w:val="000000" w:themeColor="text1"/>
          <w:sz w:val="28"/>
          <w:szCs w:val="28"/>
          <w14:textFill>
            <w14:solidFill>
              <w14:schemeClr w14:val="tx1"/>
            </w14:solidFill>
          </w14:textFill>
        </w:rPr>
        <w:t>性能进行</w:t>
      </w:r>
      <w:r>
        <w:rPr>
          <w:rFonts w:ascii="宋体" w:hAnsi="宋体"/>
          <w:color w:val="000000" w:themeColor="text1"/>
          <w:sz w:val="28"/>
          <w:szCs w:val="28"/>
          <w14:textFill>
            <w14:solidFill>
              <w14:schemeClr w14:val="tx1"/>
            </w14:solidFill>
          </w14:textFill>
        </w:rPr>
        <w:t>检查</w:t>
      </w:r>
      <w:r>
        <w:rPr>
          <w:rFonts w:hint="eastAsia" w:ascii="宋体" w:hAnsi="宋体"/>
          <w:color w:val="000000" w:themeColor="text1"/>
          <w:sz w:val="28"/>
          <w:szCs w:val="28"/>
          <w14:textFill>
            <w14:solidFill>
              <w14:schemeClr w14:val="tx1"/>
            </w14:solidFill>
          </w14:textFill>
        </w:rPr>
        <w:t>及</w:t>
      </w:r>
      <w:r>
        <w:rPr>
          <w:rFonts w:ascii="宋体" w:hAnsi="宋体"/>
          <w:color w:val="000000" w:themeColor="text1"/>
          <w:sz w:val="28"/>
          <w:szCs w:val="28"/>
          <w14:textFill>
            <w14:solidFill>
              <w14:schemeClr w14:val="tx1"/>
            </w14:solidFill>
          </w14:textFill>
        </w:rPr>
        <w:t>评估，</w:t>
      </w:r>
      <w:r>
        <w:rPr>
          <w:rFonts w:hint="eastAsia" w:ascii="宋体" w:hAnsi="宋体"/>
          <w:color w:val="000000" w:themeColor="text1"/>
          <w:sz w:val="28"/>
          <w:szCs w:val="28"/>
          <w14:textFill>
            <w14:solidFill>
              <w14:schemeClr w14:val="tx1"/>
            </w14:solidFill>
          </w14:textFill>
        </w:rPr>
        <w:t>重点针对</w:t>
      </w:r>
      <w:r>
        <w:rPr>
          <w:rFonts w:ascii="宋体" w:hAnsi="宋体"/>
          <w:color w:val="000000" w:themeColor="text1"/>
          <w:sz w:val="28"/>
          <w:szCs w:val="28"/>
          <w14:textFill>
            <w14:solidFill>
              <w14:schemeClr w14:val="tx1"/>
            </w14:solidFill>
          </w14:textFill>
        </w:rPr>
        <w:t>防火措施的完整性和</w:t>
      </w:r>
      <w:r>
        <w:rPr>
          <w:rFonts w:hint="eastAsia" w:ascii="宋体" w:hAnsi="宋体"/>
          <w:color w:val="000000" w:themeColor="text1"/>
          <w:sz w:val="28"/>
          <w:szCs w:val="28"/>
          <w14:textFill>
            <w14:solidFill>
              <w14:schemeClr w14:val="tx1"/>
            </w14:solidFill>
          </w14:textFill>
        </w:rPr>
        <w:t>有效性</w:t>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包括且不限于</w:t>
      </w:r>
      <w:r>
        <w:rPr>
          <w:rFonts w:ascii="宋体" w:hAnsi="宋体"/>
          <w:color w:val="000000" w:themeColor="text1"/>
          <w:sz w:val="28"/>
          <w:szCs w:val="28"/>
          <w14:textFill>
            <w14:solidFill>
              <w14:schemeClr w14:val="tx1"/>
            </w14:solidFill>
          </w14:textFill>
        </w:rPr>
        <w:t>混凝土结构</w:t>
      </w:r>
      <w:r>
        <w:rPr>
          <w:rFonts w:hint="eastAsia" w:ascii="宋体" w:hAnsi="宋体"/>
          <w:color w:val="000000" w:themeColor="text1"/>
          <w:sz w:val="28"/>
          <w:szCs w:val="28"/>
          <w14:textFill>
            <w14:solidFill>
              <w14:schemeClr w14:val="tx1"/>
            </w14:solidFill>
          </w14:textFill>
        </w:rPr>
        <w:t>的构件</w:t>
      </w:r>
      <w:r>
        <w:rPr>
          <w:rFonts w:ascii="宋体" w:hAnsi="宋体"/>
          <w:color w:val="000000" w:themeColor="text1"/>
          <w:sz w:val="28"/>
          <w:szCs w:val="28"/>
          <w14:textFill>
            <w14:solidFill>
              <w14:schemeClr w14:val="tx1"/>
            </w14:solidFill>
          </w14:textFill>
        </w:rPr>
        <w:t>类型</w:t>
      </w:r>
      <w:r>
        <w:rPr>
          <w:rFonts w:hint="eastAsia" w:ascii="宋体" w:hAnsi="宋体"/>
          <w:color w:val="000000" w:themeColor="text1"/>
          <w:sz w:val="28"/>
          <w:szCs w:val="28"/>
          <w14:textFill>
            <w14:solidFill>
              <w14:schemeClr w14:val="tx1"/>
            </w14:solidFill>
          </w14:textFill>
        </w:rPr>
        <w:t>及</w:t>
      </w:r>
      <w:r>
        <w:rPr>
          <w:rFonts w:ascii="宋体" w:hAnsi="宋体"/>
          <w:color w:val="000000" w:themeColor="text1"/>
          <w:sz w:val="28"/>
          <w:szCs w:val="28"/>
          <w14:textFill>
            <w14:solidFill>
              <w14:schemeClr w14:val="tx1"/>
            </w14:solidFill>
          </w14:textFill>
        </w:rPr>
        <w:t>保护层厚度</w:t>
      </w: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14:textFill>
            <w14:solidFill>
              <w14:schemeClr w14:val="tx1"/>
            </w14:solidFill>
          </w14:textFill>
        </w:rPr>
        <w:t>钢结构</w:t>
      </w:r>
      <w:r>
        <w:rPr>
          <w:rFonts w:hint="eastAsia" w:ascii="宋体" w:hAnsi="宋体"/>
          <w:color w:val="000000" w:themeColor="text1"/>
          <w:sz w:val="28"/>
          <w:szCs w:val="28"/>
          <w14:textFill>
            <w14:solidFill>
              <w14:schemeClr w14:val="tx1"/>
            </w14:solidFill>
          </w14:textFill>
        </w:rPr>
        <w:t>构件</w:t>
      </w:r>
      <w:r>
        <w:rPr>
          <w:rFonts w:ascii="宋体" w:hAnsi="宋体"/>
          <w:color w:val="000000" w:themeColor="text1"/>
          <w:sz w:val="28"/>
          <w:szCs w:val="28"/>
          <w14:textFill>
            <w14:solidFill>
              <w14:schemeClr w14:val="tx1"/>
            </w14:solidFill>
          </w14:textFill>
        </w:rPr>
        <w:t>的防火涂层外观质量</w:t>
      </w: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14:textFill>
            <w14:solidFill>
              <w14:schemeClr w14:val="tx1"/>
            </w14:solidFill>
          </w14:textFill>
        </w:rPr>
        <w:t>完整性</w:t>
      </w:r>
      <w:r>
        <w:rPr>
          <w:rFonts w:hint="eastAsia" w:ascii="宋体" w:hAnsi="宋体"/>
          <w:color w:val="000000" w:themeColor="text1"/>
          <w:sz w:val="28"/>
          <w:szCs w:val="28"/>
          <w14:textFill>
            <w14:solidFill>
              <w14:schemeClr w14:val="tx1"/>
            </w14:solidFill>
          </w14:textFill>
        </w:rPr>
        <w:t>、防火涂层</w:t>
      </w:r>
      <w:r>
        <w:rPr>
          <w:rFonts w:ascii="宋体" w:hAnsi="宋体"/>
          <w:color w:val="000000" w:themeColor="text1"/>
          <w:sz w:val="28"/>
          <w:szCs w:val="28"/>
          <w14:textFill>
            <w14:solidFill>
              <w14:schemeClr w14:val="tx1"/>
            </w14:solidFill>
          </w14:textFill>
        </w:rPr>
        <w:t>的厚度</w:t>
      </w: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14:textFill>
            <w14:solidFill>
              <w14:schemeClr w14:val="tx1"/>
            </w14:solidFill>
          </w14:textFill>
        </w:rPr>
        <w:t>木结构抗火灾倒塌能力</w:t>
      </w:r>
      <w:r>
        <w:rPr>
          <w:rFonts w:hint="eastAsia" w:ascii="宋体" w:hAnsi="宋体"/>
          <w:color w:val="000000" w:themeColor="text1"/>
          <w:sz w:val="28"/>
          <w:szCs w:val="28"/>
          <w14:textFill>
            <w14:solidFill>
              <w14:schemeClr w14:val="tx1"/>
            </w14:solidFill>
          </w14:textFill>
        </w:rPr>
        <w:t>等</w:t>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结构</w:t>
      </w:r>
      <w:r>
        <w:rPr>
          <w:rFonts w:ascii="宋体" w:hAnsi="宋体"/>
          <w:color w:val="000000" w:themeColor="text1"/>
          <w:sz w:val="28"/>
          <w:szCs w:val="28"/>
          <w14:textFill>
            <w14:solidFill>
              <w14:schemeClr w14:val="tx1"/>
            </w14:solidFill>
          </w14:textFill>
        </w:rPr>
        <w:t>耐火性能</w:t>
      </w:r>
      <w:r>
        <w:rPr>
          <w:rFonts w:hint="eastAsia" w:ascii="宋体" w:hAnsi="宋体"/>
          <w:color w:val="000000" w:themeColor="text1"/>
          <w:sz w:val="28"/>
          <w:szCs w:val="28"/>
          <w14:textFill>
            <w14:solidFill>
              <w14:schemeClr w14:val="tx1"/>
            </w14:solidFill>
          </w14:textFill>
        </w:rPr>
        <w:t>以结构</w:t>
      </w:r>
      <w:r>
        <w:rPr>
          <w:rFonts w:ascii="宋体" w:hAnsi="宋体"/>
          <w:color w:val="000000" w:themeColor="text1"/>
          <w:sz w:val="28"/>
          <w:szCs w:val="28"/>
          <w14:textFill>
            <w14:solidFill>
              <w14:schemeClr w14:val="tx1"/>
            </w14:solidFill>
          </w14:textFill>
        </w:rPr>
        <w:t>承载能力极限状态为基础，综合受力特点、荷载、材料、几何特性、约束情况、火灾特性及</w:t>
      </w:r>
      <w:r>
        <w:rPr>
          <w:rFonts w:hint="eastAsia" w:ascii="宋体" w:hAnsi="宋体"/>
          <w:color w:val="000000" w:themeColor="text1"/>
          <w:sz w:val="28"/>
          <w:szCs w:val="28"/>
          <w14:textFill>
            <w14:solidFill>
              <w14:schemeClr w14:val="tx1"/>
            </w14:solidFill>
          </w14:textFill>
        </w:rPr>
        <w:t>受火</w:t>
      </w:r>
      <w:r>
        <w:rPr>
          <w:rFonts w:ascii="宋体" w:hAnsi="宋体"/>
          <w:color w:val="000000" w:themeColor="text1"/>
          <w:sz w:val="28"/>
          <w:szCs w:val="28"/>
          <w14:textFill>
            <w14:solidFill>
              <w14:schemeClr w14:val="tx1"/>
            </w14:solidFill>
          </w14:textFill>
        </w:rPr>
        <w:t>作用情况等</w:t>
      </w:r>
      <w:r>
        <w:rPr>
          <w:rFonts w:hint="eastAsia" w:ascii="宋体" w:hAnsi="宋体"/>
          <w:color w:val="000000" w:themeColor="text1"/>
          <w:sz w:val="28"/>
          <w:szCs w:val="28"/>
          <w14:textFill>
            <w14:solidFill>
              <w14:schemeClr w14:val="tx1"/>
            </w14:solidFill>
          </w14:textFill>
        </w:rPr>
        <w:t>条件，通过整体结构</w:t>
      </w:r>
      <w:r>
        <w:rPr>
          <w:rFonts w:ascii="宋体" w:hAnsi="宋体"/>
          <w:color w:val="000000" w:themeColor="text1"/>
          <w:sz w:val="28"/>
          <w:szCs w:val="28"/>
          <w14:textFill>
            <w14:solidFill>
              <w14:schemeClr w14:val="tx1"/>
            </w14:solidFill>
          </w14:textFill>
        </w:rPr>
        <w:t>耐火设计</w:t>
      </w:r>
      <w:r>
        <w:rPr>
          <w:rFonts w:hint="eastAsia" w:ascii="宋体" w:hAnsi="宋体"/>
          <w:color w:val="000000" w:themeColor="text1"/>
          <w:sz w:val="28"/>
          <w:szCs w:val="28"/>
          <w14:textFill>
            <w14:solidFill>
              <w14:schemeClr w14:val="tx1"/>
            </w14:solidFill>
          </w14:textFill>
        </w:rPr>
        <w:t>分析进行判定</w:t>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当耐火性能</w:t>
      </w:r>
      <w:r>
        <w:rPr>
          <w:rFonts w:ascii="宋体" w:hAnsi="宋体"/>
          <w:color w:val="000000" w:themeColor="text1"/>
          <w:sz w:val="28"/>
          <w:szCs w:val="28"/>
          <w14:textFill>
            <w14:solidFill>
              <w14:schemeClr w14:val="tx1"/>
            </w14:solidFill>
          </w14:textFill>
        </w:rPr>
        <w:t>不满足设计要求时，应</w:t>
      </w:r>
      <w:r>
        <w:rPr>
          <w:rFonts w:hint="eastAsia" w:ascii="宋体" w:hAnsi="宋体"/>
          <w:color w:val="000000" w:themeColor="text1"/>
          <w:sz w:val="28"/>
          <w:szCs w:val="28"/>
          <w14:textFill>
            <w14:solidFill>
              <w14:schemeClr w14:val="tx1"/>
            </w14:solidFill>
          </w14:textFill>
        </w:rPr>
        <w:t>采用</w:t>
      </w:r>
      <w:r>
        <w:rPr>
          <w:rFonts w:ascii="宋体" w:hAnsi="宋体"/>
          <w:color w:val="000000" w:themeColor="text1"/>
          <w:sz w:val="28"/>
          <w:szCs w:val="28"/>
          <w14:textFill>
            <w14:solidFill>
              <w14:schemeClr w14:val="tx1"/>
            </w14:solidFill>
          </w14:textFill>
        </w:rPr>
        <w:t>防火保护措施，使建筑结构</w:t>
      </w:r>
      <w:r>
        <w:rPr>
          <w:rFonts w:hint="eastAsia" w:ascii="宋体" w:hAnsi="宋体"/>
          <w:color w:val="000000" w:themeColor="text1"/>
          <w:sz w:val="28"/>
          <w:szCs w:val="28"/>
          <w14:textFill>
            <w14:solidFill>
              <w14:schemeClr w14:val="tx1"/>
            </w14:solidFill>
          </w14:textFill>
        </w:rPr>
        <w:t>及</w:t>
      </w:r>
      <w:r>
        <w:rPr>
          <w:rFonts w:ascii="宋体" w:hAnsi="宋体"/>
          <w:color w:val="000000" w:themeColor="text1"/>
          <w:sz w:val="28"/>
          <w:szCs w:val="28"/>
          <w14:textFill>
            <w14:solidFill>
              <w14:schemeClr w14:val="tx1"/>
            </w14:solidFill>
          </w14:textFill>
        </w:rPr>
        <w:t>构件达到设计要求的耐火</w:t>
      </w:r>
      <w:r>
        <w:rPr>
          <w:rFonts w:hint="eastAsia" w:ascii="宋体" w:hAnsi="宋体"/>
          <w:color w:val="000000" w:themeColor="text1"/>
          <w:sz w:val="28"/>
          <w:szCs w:val="28"/>
          <w14:textFill>
            <w14:solidFill>
              <w14:schemeClr w14:val="tx1"/>
            </w14:solidFill>
          </w14:textFill>
        </w:rPr>
        <w:t>性能</w:t>
      </w:r>
      <w:r>
        <w:rPr>
          <w:rFonts w:ascii="宋体" w:hAnsi="宋体"/>
          <w:color w:val="000000" w:themeColor="text1"/>
          <w:sz w:val="28"/>
          <w:szCs w:val="28"/>
          <w14:textFill>
            <w14:solidFill>
              <w14:schemeClr w14:val="tx1"/>
            </w14:solidFill>
          </w14:textFill>
        </w:rPr>
        <w:t>。</w:t>
      </w:r>
    </w:p>
    <w:p w14:paraId="5CF46FC6">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4.4.4  </w:t>
      </w:r>
      <w:r>
        <w:rPr>
          <w:rFonts w:hint="eastAsia" w:ascii="宋体" w:hAnsi="宋体"/>
          <w:color w:val="000000" w:themeColor="text1"/>
          <w:sz w:val="28"/>
          <w:szCs w:val="28"/>
          <w14:textFill>
            <w14:solidFill>
              <w14:schemeClr w14:val="tx1"/>
            </w14:solidFill>
          </w14:textFill>
        </w:rPr>
        <w:t>非水泥基加固</w:t>
      </w:r>
      <w:r>
        <w:rPr>
          <w:rFonts w:ascii="宋体" w:hAnsi="宋体"/>
          <w:color w:val="000000" w:themeColor="text1"/>
          <w:sz w:val="28"/>
          <w:szCs w:val="28"/>
          <w14:textFill>
            <w14:solidFill>
              <w14:schemeClr w14:val="tx1"/>
            </w14:solidFill>
          </w14:textFill>
        </w:rPr>
        <w:t>材料</w:t>
      </w:r>
      <w:r>
        <w:rPr>
          <w:rFonts w:hint="eastAsia" w:ascii="宋体" w:hAnsi="宋体"/>
          <w:color w:val="000000" w:themeColor="text1"/>
          <w:sz w:val="28"/>
          <w:szCs w:val="28"/>
          <w14:textFill>
            <w14:solidFill>
              <w14:schemeClr w14:val="tx1"/>
            </w14:solidFill>
          </w14:textFill>
        </w:rPr>
        <w:t>一般是可燃的</w:t>
      </w:r>
      <w:r>
        <w:rPr>
          <w:rFonts w:ascii="宋体" w:hAnsi="宋体"/>
          <w:color w:val="000000" w:themeColor="text1"/>
          <w:sz w:val="28"/>
          <w:szCs w:val="28"/>
          <w14:textFill>
            <w14:solidFill>
              <w14:schemeClr w14:val="tx1"/>
            </w14:solidFill>
          </w14:textFill>
        </w:rPr>
        <w:t>,钢</w:t>
      </w:r>
      <w:r>
        <w:rPr>
          <w:rFonts w:hint="eastAsia" w:ascii="宋体" w:hAnsi="宋体"/>
          <w:color w:val="000000" w:themeColor="text1"/>
          <w:sz w:val="28"/>
          <w:szCs w:val="28"/>
          <w14:textFill>
            <w14:solidFill>
              <w14:schemeClr w14:val="tx1"/>
            </w14:solidFill>
          </w14:textFill>
        </w:rPr>
        <w:t>材</w:t>
      </w:r>
      <w:r>
        <w:rPr>
          <w:rFonts w:ascii="宋体" w:hAnsi="宋体"/>
          <w:color w:val="000000" w:themeColor="text1"/>
          <w:sz w:val="28"/>
          <w:szCs w:val="28"/>
          <w14:textFill>
            <w14:solidFill>
              <w14:schemeClr w14:val="tx1"/>
            </w14:solidFill>
          </w14:textFill>
        </w:rPr>
        <w:t>在高温下</w:t>
      </w:r>
      <w:r>
        <w:rPr>
          <w:rFonts w:hint="eastAsia" w:ascii="宋体" w:hAnsi="宋体"/>
          <w:color w:val="000000" w:themeColor="text1"/>
          <w:sz w:val="28"/>
          <w:szCs w:val="28"/>
          <w14:textFill>
            <w14:solidFill>
              <w14:schemeClr w14:val="tx1"/>
            </w14:solidFill>
          </w14:textFill>
        </w:rPr>
        <w:t>力学性能</w:t>
      </w:r>
      <w:r>
        <w:rPr>
          <w:rFonts w:ascii="宋体" w:hAnsi="宋体"/>
          <w:color w:val="000000" w:themeColor="text1"/>
          <w:sz w:val="28"/>
          <w:szCs w:val="28"/>
          <w14:textFill>
            <w14:solidFill>
              <w14:schemeClr w14:val="tx1"/>
            </w14:solidFill>
          </w14:textFill>
        </w:rPr>
        <w:t>降低较多，</w:t>
      </w:r>
      <w:r>
        <w:rPr>
          <w:rFonts w:hint="eastAsia" w:ascii="宋体" w:hAnsi="宋体"/>
          <w:color w:val="000000" w:themeColor="text1"/>
          <w:sz w:val="28"/>
          <w:szCs w:val="28"/>
          <w14:textFill>
            <w14:solidFill>
              <w14:schemeClr w14:val="tx1"/>
            </w14:solidFill>
          </w14:textFill>
        </w:rPr>
        <w:t>故此类加固材料及</w:t>
      </w:r>
      <w:r>
        <w:rPr>
          <w:rFonts w:ascii="宋体" w:hAnsi="宋体"/>
          <w:color w:val="000000" w:themeColor="text1"/>
          <w:sz w:val="28"/>
          <w:szCs w:val="28"/>
          <w14:textFill>
            <w14:solidFill>
              <w14:schemeClr w14:val="tx1"/>
            </w14:solidFill>
          </w14:textFill>
        </w:rPr>
        <w:t>构件</w:t>
      </w:r>
      <w:r>
        <w:rPr>
          <w:rFonts w:hint="eastAsia" w:ascii="宋体" w:hAnsi="宋体"/>
          <w:color w:val="000000" w:themeColor="text1"/>
          <w:sz w:val="28"/>
          <w:szCs w:val="28"/>
          <w14:textFill>
            <w14:solidFill>
              <w14:schemeClr w14:val="tx1"/>
            </w14:solidFill>
          </w14:textFill>
        </w:rPr>
        <w:t>应按现行国家标准《建筑设计防火规范》</w:t>
      </w:r>
      <w:r>
        <w:rPr>
          <w:rFonts w:ascii="宋体" w:hAnsi="宋体"/>
          <w:color w:val="000000" w:themeColor="text1"/>
          <w:sz w:val="28"/>
          <w:szCs w:val="28"/>
          <w14:textFill>
            <w14:solidFill>
              <w14:schemeClr w14:val="tx1"/>
            </w14:solidFill>
          </w14:textFill>
        </w:rPr>
        <w:t>GB50016</w:t>
      </w:r>
      <w:r>
        <w:rPr>
          <w:rFonts w:hint="eastAsia" w:ascii="宋体" w:hAnsi="宋体"/>
          <w:color w:val="000000" w:themeColor="text1"/>
          <w:sz w:val="28"/>
          <w:szCs w:val="28"/>
          <w14:textFill>
            <w14:solidFill>
              <w14:schemeClr w14:val="tx1"/>
            </w14:solidFill>
          </w14:textFill>
        </w:rPr>
        <w:t>规定的耐火等级、耐火极限要求，遵照现行规范进行防护。</w:t>
      </w:r>
    </w:p>
    <w:p w14:paraId="4087B919">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4.4.5  </w:t>
      </w:r>
      <w:r>
        <w:rPr>
          <w:rFonts w:hint="eastAsia" w:ascii="宋体" w:hAnsi="宋体"/>
          <w:color w:val="000000" w:themeColor="text1"/>
          <w:sz w:val="28"/>
          <w:szCs w:val="28"/>
          <w14:textFill>
            <w14:solidFill>
              <w14:schemeClr w14:val="tx1"/>
            </w14:solidFill>
          </w14:textFill>
        </w:rPr>
        <w:t>老旧建筑木构件在火灾中带来的危险极大</w:t>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改造时应首先考虑更换，将可燃性或难燃性结构构件替换为不燃性结构构件。当替换确有困难时，可通过采取防火保护措施提高防火性能，措施包括且不限于包覆不燃材料、涂刷防火涂料、木楼板下设置防火保护板或防火吊顶、增设满足耐</w:t>
      </w:r>
      <w:r>
        <w:rPr>
          <w:rFonts w:ascii="宋体" w:hAnsi="宋体"/>
          <w:color w:val="000000" w:themeColor="text1"/>
          <w:sz w:val="28"/>
          <w:szCs w:val="28"/>
          <w14:textFill>
            <w14:solidFill>
              <w14:schemeClr w14:val="tx1"/>
            </w14:solidFill>
          </w14:textFill>
        </w:rPr>
        <w:t>火性能的结构</w:t>
      </w:r>
      <w:r>
        <w:rPr>
          <w:rFonts w:hint="eastAsia" w:ascii="宋体" w:hAnsi="宋体"/>
          <w:color w:val="000000" w:themeColor="text1"/>
          <w:sz w:val="28"/>
          <w:szCs w:val="28"/>
          <w14:textFill>
            <w14:solidFill>
              <w14:schemeClr w14:val="tx1"/>
            </w14:solidFill>
          </w14:textFill>
        </w:rPr>
        <w:t>板</w:t>
      </w:r>
      <w:r>
        <w:rPr>
          <w:rFonts w:ascii="宋体" w:hAnsi="宋体"/>
          <w:color w:val="000000" w:themeColor="text1"/>
          <w:sz w:val="28"/>
          <w:szCs w:val="28"/>
          <w14:textFill>
            <w14:solidFill>
              <w14:schemeClr w14:val="tx1"/>
            </w14:solidFill>
          </w14:textFill>
        </w:rPr>
        <w:t>等。</w:t>
      </w:r>
    </w:p>
    <w:p w14:paraId="0F75CE88">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w:t>
      </w:r>
      <w:r>
        <w:rPr>
          <w:rFonts w:ascii="宋体" w:hAnsi="宋体"/>
          <w:color w:val="000000" w:themeColor="text1"/>
          <w:sz w:val="28"/>
          <w:szCs w:val="28"/>
          <w14:textFill>
            <w14:solidFill>
              <w14:schemeClr w14:val="tx1"/>
            </w14:solidFill>
          </w14:textFill>
        </w:rPr>
        <w:t>4</w:t>
      </w: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14:textFill>
            <w14:solidFill>
              <w14:schemeClr w14:val="tx1"/>
            </w14:solidFill>
          </w14:textFill>
        </w:rPr>
        <w:t xml:space="preserve">6  </w:t>
      </w:r>
      <w:r>
        <w:rPr>
          <w:rFonts w:hint="eastAsia" w:ascii="宋体" w:hAnsi="宋体"/>
          <w:color w:val="000000" w:themeColor="text1"/>
          <w:sz w:val="28"/>
          <w:szCs w:val="28"/>
          <w14:textFill>
            <w14:solidFill>
              <w14:schemeClr w14:val="tx1"/>
            </w14:solidFill>
          </w14:textFill>
        </w:rPr>
        <w:t>在既有建筑中，地上地下楼层共用疏散楼梯间是很普遍的现象，且难以改造。首层设置防火分隔措施有困难的情况，多为原消防技术标准没有限制时产生的，尤其是三跑楼梯间，如果要求在首层进行防火分隔，会对空间效果产生很大影响。</w:t>
      </w:r>
    </w:p>
    <w:p w14:paraId="184C8E43">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本条款中的首层是指直通室外地面的楼层。</w:t>
      </w:r>
    </w:p>
    <w:p w14:paraId="553460C3">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w:t>
      </w:r>
      <w:r>
        <w:rPr>
          <w:rFonts w:ascii="宋体" w:hAnsi="宋体"/>
          <w:color w:val="000000" w:themeColor="text1"/>
          <w:sz w:val="28"/>
          <w:szCs w:val="28"/>
          <w14:textFill>
            <w14:solidFill>
              <w14:schemeClr w14:val="tx1"/>
            </w14:solidFill>
          </w14:textFill>
        </w:rPr>
        <w:t>4</w:t>
      </w: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14:textFill>
            <w14:solidFill>
              <w14:schemeClr w14:val="tx1"/>
            </w14:solidFill>
          </w14:textFill>
        </w:rPr>
        <w:t xml:space="preserve">7  </w:t>
      </w:r>
      <w:r>
        <w:rPr>
          <w:rFonts w:hint="eastAsia" w:ascii="宋体" w:hAnsi="宋体"/>
          <w:color w:val="000000" w:themeColor="text1"/>
          <w:sz w:val="28"/>
          <w:szCs w:val="28"/>
          <w14:textFill>
            <w14:solidFill>
              <w14:schemeClr w14:val="tx1"/>
            </w14:solidFill>
          </w14:textFill>
        </w:rPr>
        <w:t>既有多层住宅增设电梯多为专项资金改造工程，不具备改造其他内容的条件。利用楼梯间外侧增设电梯时，一般会在电梯和楼梯间之间设置一段平台，应在此设置可开启外窗，以防止楼梯间自然通风排烟被阻断。</w:t>
      </w:r>
    </w:p>
    <w:p w14:paraId="0366654C">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w:t>
      </w:r>
      <w:r>
        <w:rPr>
          <w:rFonts w:ascii="宋体" w:hAnsi="宋体"/>
          <w:color w:val="000000" w:themeColor="text1"/>
          <w:sz w:val="28"/>
          <w:szCs w:val="28"/>
          <w14:textFill>
            <w14:solidFill>
              <w14:schemeClr w14:val="tx1"/>
            </w14:solidFill>
          </w14:textFill>
        </w:rPr>
        <w:t>4</w:t>
      </w: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14:textFill>
            <w14:solidFill>
              <w14:schemeClr w14:val="tx1"/>
            </w14:solidFill>
          </w14:textFill>
        </w:rPr>
        <w:t xml:space="preserve">8  </w:t>
      </w:r>
      <w:r>
        <w:rPr>
          <w:rFonts w:hint="eastAsia" w:ascii="宋体" w:hAnsi="宋体"/>
          <w:color w:val="000000" w:themeColor="text1"/>
          <w:sz w:val="28"/>
          <w:szCs w:val="28"/>
          <w14:textFill>
            <w14:solidFill>
              <w14:schemeClr w14:val="tx1"/>
            </w14:solidFill>
          </w14:textFill>
        </w:rPr>
        <w:t>防火卷帘作为防火分隔的可靠性小于实体墙，但旧版标准没有对防火卷帘宽度进行限制，既有建筑存在较多防火卷帘超过现行标准宽度限制的情况，因此改造时应按照尽可能按现行标准要求增加防火墙，如确实影响了既有建筑平面使用功能空间效果，本条文增加了对防火卷帘产品质量和性能的要求，要求其改造时更换高质量产品，有利于提高既有建筑的消防安全性，达到防火要求。</w:t>
      </w:r>
    </w:p>
    <w:p w14:paraId="61743E9A">
      <w:pPr>
        <w:pStyle w:val="3"/>
        <w:spacing w:line="360" w:lineRule="auto"/>
        <w:rPr>
          <w:rFonts w:ascii="宋体" w:hAnsi="宋体"/>
          <w:sz w:val="28"/>
          <w:szCs w:val="28"/>
        </w:rPr>
      </w:pPr>
      <w:bookmarkStart w:id="186" w:name="_Toc151061877"/>
      <w:bookmarkStart w:id="187" w:name="_Toc151062859"/>
      <w:bookmarkStart w:id="188" w:name="_Toc151063149"/>
      <w:bookmarkStart w:id="189" w:name="_Toc151063012"/>
      <w:r>
        <w:rPr>
          <w:rFonts w:hint="eastAsia" w:ascii="宋体" w:hAnsi="宋体"/>
          <w:sz w:val="28"/>
          <w:szCs w:val="28"/>
        </w:rPr>
        <w:t>4.5</w:t>
      </w:r>
      <w:r>
        <w:rPr>
          <w:rFonts w:ascii="宋体" w:hAnsi="宋体"/>
          <w:sz w:val="28"/>
          <w:szCs w:val="28"/>
        </w:rPr>
        <w:t xml:space="preserve">  </w:t>
      </w:r>
      <w:r>
        <w:rPr>
          <w:rFonts w:hint="eastAsia" w:ascii="宋体" w:hAnsi="宋体"/>
          <w:sz w:val="28"/>
          <w:szCs w:val="28"/>
        </w:rPr>
        <w:t>灭火救援设施</w:t>
      </w:r>
      <w:bookmarkEnd w:id="186"/>
      <w:bookmarkEnd w:id="187"/>
      <w:bookmarkEnd w:id="188"/>
      <w:bookmarkEnd w:id="189"/>
    </w:p>
    <w:p w14:paraId="3D51F538">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w:t>
      </w:r>
      <w:r>
        <w:rPr>
          <w:rFonts w:ascii="宋体" w:hAnsi="宋体"/>
          <w:color w:val="000000" w:themeColor="text1"/>
          <w:sz w:val="28"/>
          <w:szCs w:val="28"/>
          <w14:textFill>
            <w14:solidFill>
              <w14:schemeClr w14:val="tx1"/>
            </w14:solidFill>
          </w14:textFill>
        </w:rPr>
        <w:t>5</w:t>
      </w:r>
      <w:r>
        <w:rPr>
          <w:rFonts w:hint="eastAsia" w:ascii="宋体" w:hAnsi="宋体"/>
          <w:color w:val="000000" w:themeColor="text1"/>
          <w:sz w:val="28"/>
          <w:szCs w:val="28"/>
          <w14:textFill>
            <w14:solidFill>
              <w14:schemeClr w14:val="tx1"/>
            </w14:solidFill>
          </w14:textFill>
        </w:rPr>
        <w:t>.1</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改造工程的场地现状条件情况复杂，增加消防车道可能会对场地的规划指标如绿地指标、道路开口等造成较大影响，对改造工程具有普遍的困难。同时据了解，其他城市的消防车道设计相关规定也多按此原则执行。</w:t>
      </w:r>
    </w:p>
    <w:p w14:paraId="0982ABB7">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w:t>
      </w:r>
      <w:r>
        <w:rPr>
          <w:rFonts w:ascii="宋体" w:hAnsi="宋体"/>
          <w:color w:val="000000" w:themeColor="text1"/>
          <w:sz w:val="28"/>
          <w:szCs w:val="28"/>
          <w14:textFill>
            <w14:solidFill>
              <w14:schemeClr w14:val="tx1"/>
            </w14:solidFill>
          </w14:textFill>
        </w:rPr>
        <w:t>5</w:t>
      </w:r>
      <w:r>
        <w:rPr>
          <w:rFonts w:hint="eastAsia" w:ascii="宋体" w:hAnsi="宋体"/>
          <w:color w:val="000000" w:themeColor="text1"/>
          <w:sz w:val="28"/>
          <w:szCs w:val="28"/>
          <w14:textFill>
            <w14:solidFill>
              <w14:schemeClr w14:val="tx1"/>
            </w14:solidFill>
          </w14:textFill>
        </w:rPr>
        <w:t>.2</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旧版标准未对消防登高操作场地单独作明确规定，室外场地涉及道路、广场、绿地等多个城市规划方面的要求。改造项目条件所限时，也可结合现状消防道路进行登高操作扑救，但利用城市道路进行扑救应具体分析条件，避免高大树木、市政设施及路侧停车位等障碍物的影响。</w:t>
      </w:r>
    </w:p>
    <w:p w14:paraId="019984E9">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w:t>
      </w:r>
      <w:r>
        <w:rPr>
          <w:rFonts w:ascii="宋体" w:hAnsi="宋体"/>
          <w:color w:val="000000" w:themeColor="text1"/>
          <w:sz w:val="28"/>
          <w:szCs w:val="28"/>
          <w14:textFill>
            <w14:solidFill>
              <w14:schemeClr w14:val="tx1"/>
            </w14:solidFill>
          </w14:textFill>
        </w:rPr>
        <w:t>5</w:t>
      </w:r>
      <w:r>
        <w:rPr>
          <w:rFonts w:hint="eastAsia" w:ascii="宋体" w:hAnsi="宋体"/>
          <w:color w:val="000000" w:themeColor="text1"/>
          <w:sz w:val="28"/>
          <w:szCs w:val="28"/>
          <w14:textFill>
            <w14:solidFill>
              <w14:schemeClr w14:val="tx1"/>
            </w14:solidFill>
          </w14:textFill>
        </w:rPr>
        <w:t>.3</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F类建筑场为老年人照料设施、老年人活动场所、医院病房、儿童活动场所、托儿所、幼儿园等，其使用人员不具备自主疏散能力，消防救援条件不具备条件则不能实施改造。</w:t>
      </w:r>
    </w:p>
    <w:p w14:paraId="53413CD5">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w:t>
      </w:r>
      <w:r>
        <w:rPr>
          <w:rFonts w:ascii="宋体" w:hAnsi="宋体"/>
          <w:color w:val="000000" w:themeColor="text1"/>
          <w:sz w:val="28"/>
          <w:szCs w:val="28"/>
          <w14:textFill>
            <w14:solidFill>
              <w14:schemeClr w14:val="tx1"/>
            </w14:solidFill>
          </w14:textFill>
        </w:rPr>
        <w:t>5</w:t>
      </w:r>
      <w:r>
        <w:rPr>
          <w:rFonts w:hint="eastAsia" w:ascii="宋体" w:hAnsi="宋体"/>
          <w:color w:val="000000" w:themeColor="text1"/>
          <w:sz w:val="28"/>
          <w:szCs w:val="28"/>
          <w14:textFill>
            <w14:solidFill>
              <w14:schemeClr w14:val="tx1"/>
            </w14:solidFill>
          </w14:textFill>
        </w:rPr>
        <w:t>.4</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第1款，由于增加的消防电梯需增设电梯基坑及集水坑，如通至底层，将破坏既有建筑结构底板，导致底板防水层无法封闭，造成很大的漏水隐患。需增设消防电梯时，可将消防电梯通至底层的上一楼层；如要求增加的消防电梯通至顶层，电梯机房可能会高出屋面，影响城市规划要求，还可能会对建筑立面效果造成较大影响，尤其是坡屋面建筑。综合以上原因，规定新增设的消防电梯可不通至顶层和地下室底层。</w:t>
      </w:r>
    </w:p>
    <w:p w14:paraId="10E50FC0">
      <w:pPr>
        <w:widowControl/>
        <w:snapToGrid w:val="0"/>
        <w:spacing w:line="300" w:lineRule="auto"/>
        <w:ind w:firstLine="564" w:firstLineChars="19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第2款，防火通道应采用耐火极限不低于2.00h的防火隔墙与其他区域分隔，且不应开设除出入口门以外的其他洞口。</w:t>
      </w:r>
    </w:p>
    <w:p w14:paraId="36004B8D">
      <w:pPr>
        <w:widowControl/>
        <w:snapToGrid w:val="0"/>
        <w:spacing w:line="300" w:lineRule="auto"/>
        <w:ind w:firstLine="564" w:firstLineChars="19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第3款，以前规范没有针对性的明确要求，住宅剪刀楼梯与消防电梯合用前室（ 简称“三合一”前室 ）的形式较多，其安全性和合规性方面一直存在不同理解。现行标准允许使用并规定合用前室的使用面积不应小于12.0m</w:t>
      </w:r>
      <w:r>
        <w:rPr>
          <w:rFonts w:ascii="宋体" w:hAnsi="宋体"/>
          <w:color w:val="000000" w:themeColor="text1"/>
          <w:sz w:val="28"/>
          <w:szCs w:val="28"/>
          <w14:textFill>
            <w14:solidFill>
              <w14:schemeClr w14:val="tx1"/>
            </w14:solidFill>
          </w14:textFill>
        </w:rPr>
        <w:t>²</w:t>
      </w:r>
      <w:r>
        <w:rPr>
          <w:rFonts w:hint="eastAsia" w:ascii="宋体" w:hAnsi="宋体"/>
          <w:color w:val="000000" w:themeColor="text1"/>
          <w:sz w:val="28"/>
          <w:szCs w:val="28"/>
          <w14:textFill>
            <w14:solidFill>
              <w14:schemeClr w14:val="tx1"/>
            </w14:solidFill>
          </w14:textFill>
        </w:rPr>
        <w:t>，且短边不应小于2.4m。既有住宅“三合一”前室加大短边尺寸，有利于消防救援人员通行，改变住宅核心筒的前室形状难度极大，无法满足要求时，既有前室短边尺寸可维持现状。</w:t>
      </w:r>
    </w:p>
    <w:p w14:paraId="5937B323">
      <w:pPr>
        <w:widowControl/>
        <w:snapToGrid w:val="0"/>
        <w:spacing w:line="300" w:lineRule="auto"/>
        <w:ind w:firstLine="564" w:firstLineChars="19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第4款，旧版标准没有明确规定地下要设消防电梯的要求，改造项目增加电梯较为困难。因此规定除埋深较大的大型地下商业建筑以外，在改造困难时，可以不强制要求增加消防电梯。地下大型商业建筑人员较多、可燃物较多，发生火灾可能性较大，对此类建筑没有放宽要求。</w:t>
      </w:r>
    </w:p>
    <w:p w14:paraId="004A835F">
      <w:pPr>
        <w:widowControl/>
        <w:snapToGrid w:val="0"/>
        <w:spacing w:line="300" w:lineRule="auto"/>
        <w:ind w:firstLine="564" w:firstLineChars="19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当具备条件时，地下汽车库也应设置消防电梯，这是现行国家标准《建筑防火通用规范》GB55037的要求。</w:t>
      </w:r>
    </w:p>
    <w:p w14:paraId="4CD6D7A3">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4.5.5</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旧版标准没有消防救援口的规定，大量的既有建筑均未设置，改造时在既有外墙上增设开口有时较为困难。本规定要求原来没有设置消防救援口的建筑，当进行立面改造时，应根据实际条件，增设消防救援口，以满足消防救援要求，并对救援口的数量和尺寸进行了适用性要求。</w:t>
      </w:r>
    </w:p>
    <w:p w14:paraId="337D31F7">
      <w:pPr>
        <w:widowControl/>
        <w:snapToGrid w:val="0"/>
        <w:spacing w:line="300" w:lineRule="auto"/>
        <w:ind w:firstLine="564" w:firstLineChars="19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不靠外墙的防火分区宜在走道等公共区域设置通向相邻设有消防救援口的防火分区的防火门。</w:t>
      </w:r>
    </w:p>
    <w:p w14:paraId="36660704">
      <w:pPr>
        <w:widowControl/>
        <w:jc w:val="left"/>
        <w:rPr>
          <w:rFonts w:ascii="宋体" w:hAnsi="宋体"/>
          <w:b/>
          <w:bCs/>
          <w:sz w:val="32"/>
          <w:szCs w:val="28"/>
          <w:lang w:val="zh-CN"/>
        </w:rPr>
      </w:pPr>
      <w:r>
        <w:rPr>
          <w:rFonts w:ascii="宋体" w:hAnsi="宋体"/>
          <w:szCs w:val="28"/>
        </w:rPr>
        <w:br w:type="page"/>
      </w:r>
    </w:p>
    <w:p w14:paraId="0876DD60">
      <w:pPr>
        <w:pStyle w:val="3"/>
        <w:spacing w:line="360" w:lineRule="auto"/>
        <w:rPr>
          <w:sz w:val="36"/>
          <w:szCs w:val="36"/>
        </w:rPr>
      </w:pPr>
      <w:bookmarkStart w:id="190" w:name="_Toc151063013"/>
      <w:bookmarkStart w:id="191" w:name="_Toc151062860"/>
      <w:bookmarkStart w:id="192" w:name="_Toc151061878"/>
      <w:bookmarkStart w:id="193" w:name="_Toc151063150"/>
      <w:r>
        <w:rPr>
          <w:rFonts w:hint="eastAsia"/>
          <w:sz w:val="36"/>
          <w:szCs w:val="36"/>
        </w:rPr>
        <w:t xml:space="preserve">5 </w:t>
      </w:r>
      <w:r>
        <w:rPr>
          <w:sz w:val="36"/>
          <w:szCs w:val="36"/>
        </w:rPr>
        <w:t xml:space="preserve"> </w:t>
      </w:r>
      <w:r>
        <w:rPr>
          <w:rFonts w:hint="eastAsia"/>
          <w:sz w:val="36"/>
          <w:szCs w:val="36"/>
        </w:rPr>
        <w:t>消防设施</w:t>
      </w:r>
      <w:bookmarkEnd w:id="190"/>
      <w:bookmarkEnd w:id="191"/>
      <w:bookmarkEnd w:id="192"/>
      <w:bookmarkEnd w:id="193"/>
    </w:p>
    <w:p w14:paraId="31A17824">
      <w:pPr>
        <w:pStyle w:val="3"/>
        <w:spacing w:line="360" w:lineRule="auto"/>
        <w:rPr>
          <w:rFonts w:ascii="宋体" w:hAnsi="宋体"/>
          <w:sz w:val="28"/>
          <w:szCs w:val="28"/>
        </w:rPr>
      </w:pPr>
      <w:bookmarkStart w:id="194" w:name="_Toc151062861"/>
      <w:bookmarkStart w:id="195" w:name="_Toc151063014"/>
      <w:bookmarkStart w:id="196" w:name="_Toc151063151"/>
      <w:bookmarkStart w:id="197" w:name="_Toc151061879"/>
      <w:r>
        <w:rPr>
          <w:rFonts w:hint="eastAsia" w:ascii="宋体" w:hAnsi="宋体"/>
          <w:sz w:val="28"/>
          <w:szCs w:val="28"/>
        </w:rPr>
        <w:t xml:space="preserve">5.1 </w:t>
      </w:r>
      <w:r>
        <w:rPr>
          <w:rFonts w:ascii="宋体" w:hAnsi="宋体"/>
          <w:sz w:val="28"/>
          <w:szCs w:val="28"/>
        </w:rPr>
        <w:t xml:space="preserve"> </w:t>
      </w:r>
      <w:r>
        <w:rPr>
          <w:rFonts w:hint="eastAsia" w:ascii="宋体" w:hAnsi="宋体"/>
          <w:sz w:val="28"/>
          <w:szCs w:val="28"/>
        </w:rPr>
        <w:t>消防水量和消防水池</w:t>
      </w:r>
      <w:bookmarkEnd w:id="194"/>
      <w:bookmarkEnd w:id="195"/>
      <w:bookmarkEnd w:id="196"/>
      <w:bookmarkEnd w:id="197"/>
    </w:p>
    <w:p w14:paraId="53D82DD4">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5.1.2</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根据现行国家标准《消防给水及消火栓系统技术规范》GB50974-2014第6.1.1、6.1.5、6.1.11条规定，相邻建筑消防水池取水口与改造建筑间消防龙带可通行距离小于150m,且两个产权单位或两个物业管理单位间订有授权使用协议的，相邻建筑消防水池可作为备用消防水源，备用水源的消火栓出流量最多按一个室外消火栓的出流量计，因此折减消防水量不应大于15 L/s。</w:t>
      </w:r>
    </w:p>
    <w:p w14:paraId="5AB2B371">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第3款规定了市政给水满足两路供给条件且火灾情况下能保证连续补水时，消防水池容量可减去火灾延续时间内补充的水量，其补水流量和补水时间按《消防给水及消火栓系统技术规范》第4.3.5、4.3.3条中的规定进行计算。</w:t>
      </w:r>
    </w:p>
    <w:p w14:paraId="28D6715E">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现行国家标准《消防设施通用规范》GB55036第3.0.8条第3款要求消防水池的最低有效水位应满足消防水泵在最低水位运行安全和实现设计出水量的要求。《建筑设计防火规范》GB50016-2006第8.6.2条规定了消防水池容量要求，其条文解释：“有效容积应为水池溢流口以下且不包括水池底部无法取水的部分以及隔墙、柱所占的体积。”旧版规范有关最低有效水位的规定不明确，设计时一般会考虑一定的容积冗余度，但对于改造工程中容积冗余度较小的消防水池，按现行标准可能出现有效储水容积计算结果略不足的情况，但实际未降低消防安全性，因此可认为继续保留使用的消防水池有效容积不变。</w:t>
      </w:r>
    </w:p>
    <w:p w14:paraId="4B413978">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5.1.3 建筑局部改造工程，受建筑空间、结构加固等条件制约，增加水池容积较困难，对于使用功能类型不变的建筑局部改造工程，当消防水量和消防水池有效容积满足原设计标准时，可维持现状。</w:t>
      </w:r>
    </w:p>
    <w:p w14:paraId="62246B4F">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5.1.4 </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现行国家标准《自动跟踪定位射流灭火系统技术标准》GB51427第4.5.3条规定喷射型或喷洒型自动射流灭火系统与自动喷水灭火系统共用消防水泵时，如两个系统同时工作，系统设计水量、水压及一次灭火用水量应满足两个系统同时使用的要求。改造工程中喷射型或喷洒型自动射流灭火系统与自动喷水灭火系统共用消防水泵且两个系统服务区域无防火分隔的情况比较常见，存在两个系统同时工作的可能性，但由于消防水池、水泵房不在改造范围内，增加消防水量或更换消防水泵极其困难，因此放宽了对系统设计水量、水压及一次灭火用水量的要求。</w:t>
      </w:r>
    </w:p>
    <w:p w14:paraId="6E8A5565">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5.1.</w:t>
      </w:r>
      <w:r>
        <w:rPr>
          <w:rFonts w:ascii="宋体" w:hAnsi="宋体"/>
          <w:color w:val="000000" w:themeColor="text1"/>
          <w:sz w:val="28"/>
          <w:szCs w:val="28"/>
          <w14:textFill>
            <w14:solidFill>
              <w14:schemeClr w14:val="tx1"/>
            </w14:solidFill>
          </w14:textFill>
        </w:rPr>
        <w:t>5</w:t>
      </w:r>
      <w:r>
        <w:rPr>
          <w:rFonts w:hint="eastAsia" w:ascii="宋体" w:hAnsi="宋体"/>
          <w:color w:val="000000" w:themeColor="text1"/>
          <w:sz w:val="28"/>
          <w:szCs w:val="28"/>
          <w14:textFill>
            <w14:solidFill>
              <w14:schemeClr w14:val="tx1"/>
            </w14:solidFill>
          </w14:textFill>
        </w:rPr>
        <w:t xml:space="preserve"> </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现行国家标准《消防给水及消火栓系统技术规范》</w:t>
      </w:r>
      <w:r>
        <w:rPr>
          <w:rFonts w:ascii="宋体" w:hAnsi="宋体"/>
          <w:color w:val="000000" w:themeColor="text1"/>
          <w:sz w:val="28"/>
          <w:szCs w:val="28"/>
          <w14:textFill>
            <w14:solidFill>
              <w14:schemeClr w14:val="tx1"/>
            </w14:solidFill>
          </w14:textFill>
        </w:rPr>
        <w:t>GB50974</w:t>
      </w:r>
      <w:r>
        <w:rPr>
          <w:rFonts w:hint="eastAsia" w:ascii="宋体" w:hAnsi="宋体"/>
          <w:color w:val="000000" w:themeColor="text1"/>
          <w:sz w:val="28"/>
          <w:szCs w:val="28"/>
          <w14:textFill>
            <w14:solidFill>
              <w14:schemeClr w14:val="tx1"/>
            </w14:solidFill>
          </w14:textFill>
        </w:rPr>
        <w:t>对室外消防两路供水认定条件作出了详细规定。既有建筑室外消火栓系统大多采用市政供水低压系统，其两路供水认定条件难以满足现行规范要求。原供水系统改造受市政条件制约难以实现，而增设临时高压系统需要增加消防水池及消防水泵，代价较大。</w:t>
      </w:r>
    </w:p>
    <w:p w14:paraId="0EC16151">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对于改造项目，当建设用地一侧有市政给水环状管网，其环状管网的同一侧管道由阀门分隔成不同管段，在阀门两端分别设引入管，可以避免市政管网局部管路检修导致停止供水情况发生，因此适当放宽了两路供水的认定条件。</w:t>
      </w:r>
    </w:p>
    <w:p w14:paraId="4CE5A16A">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w:t>
      </w:r>
      <w:r>
        <w:rPr>
          <w:rFonts w:ascii="宋体" w:hAnsi="宋体"/>
          <w:color w:val="000000" w:themeColor="text1"/>
          <w:sz w:val="28"/>
          <w:szCs w:val="28"/>
          <w14:textFill>
            <w14:solidFill>
              <w14:schemeClr w14:val="tx1"/>
            </w14:solidFill>
          </w14:textFill>
        </w:rPr>
        <w:t xml:space="preserve">.1.6  </w:t>
      </w:r>
      <w:r>
        <w:rPr>
          <w:rFonts w:hint="eastAsia" w:ascii="宋体" w:hAnsi="宋体"/>
          <w:color w:val="000000" w:themeColor="text1"/>
          <w:sz w:val="28"/>
          <w:szCs w:val="28"/>
          <w14:textFill>
            <w14:solidFill>
              <w14:schemeClr w14:val="tx1"/>
            </w14:solidFill>
          </w14:textFill>
        </w:rPr>
        <w:t>针对改造工程需增设消火栓或自动喷水系统时，保证消防给水的安全可靠性，依据现行国家标准《消防给水及消火栓系统技术规范》G</w:t>
      </w:r>
      <w:r>
        <w:rPr>
          <w:rFonts w:ascii="宋体" w:hAnsi="宋体"/>
          <w:color w:val="000000" w:themeColor="text1"/>
          <w:sz w:val="28"/>
          <w:szCs w:val="28"/>
          <w14:textFill>
            <w14:solidFill>
              <w14:schemeClr w14:val="tx1"/>
            </w14:solidFill>
          </w14:textFill>
        </w:rPr>
        <w:t>B50974</w:t>
      </w: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14:textFill>
            <w14:solidFill>
              <w14:schemeClr w14:val="tx1"/>
            </w14:solidFill>
          </w14:textFill>
        </w:rPr>
        <w:t>2014</w:t>
      </w:r>
      <w:r>
        <w:rPr>
          <w:rFonts w:hint="eastAsia" w:ascii="宋体" w:hAnsi="宋体"/>
          <w:color w:val="000000" w:themeColor="text1"/>
          <w:sz w:val="28"/>
          <w:szCs w:val="28"/>
          <w14:textFill>
            <w14:solidFill>
              <w14:schemeClr w14:val="tx1"/>
            </w14:solidFill>
          </w14:textFill>
        </w:rPr>
        <w:t>第4</w:t>
      </w:r>
      <w:r>
        <w:rPr>
          <w:rFonts w:ascii="宋体" w:hAnsi="宋体"/>
          <w:color w:val="000000" w:themeColor="text1"/>
          <w:sz w:val="28"/>
          <w:szCs w:val="28"/>
          <w14:textFill>
            <w14:solidFill>
              <w14:schemeClr w14:val="tx1"/>
            </w14:solidFill>
          </w14:textFill>
        </w:rPr>
        <w:t>.3.4</w:t>
      </w:r>
      <w:r>
        <w:rPr>
          <w:rFonts w:hint="eastAsia" w:ascii="宋体" w:hAnsi="宋体"/>
          <w:color w:val="000000" w:themeColor="text1"/>
          <w:sz w:val="28"/>
          <w:szCs w:val="28"/>
          <w14:textFill>
            <w14:solidFill>
              <w14:schemeClr w14:val="tx1"/>
            </w14:solidFill>
          </w14:textFill>
        </w:rPr>
        <w:t>条提出了消防水池最小有效容积。</w:t>
      </w:r>
    </w:p>
    <w:p w14:paraId="658C9EC2">
      <w:pPr>
        <w:pStyle w:val="3"/>
        <w:spacing w:line="360" w:lineRule="auto"/>
        <w:rPr>
          <w:rFonts w:ascii="宋体" w:hAnsi="宋体"/>
          <w:sz w:val="28"/>
          <w:szCs w:val="28"/>
        </w:rPr>
      </w:pPr>
      <w:bookmarkStart w:id="198" w:name="_Toc151062862"/>
      <w:bookmarkStart w:id="199" w:name="_Toc151063152"/>
      <w:bookmarkStart w:id="200" w:name="_Toc151061880"/>
      <w:bookmarkStart w:id="201" w:name="_Toc151063015"/>
      <w:r>
        <w:rPr>
          <w:rFonts w:hint="eastAsia" w:ascii="宋体" w:hAnsi="宋体"/>
          <w:sz w:val="28"/>
          <w:szCs w:val="28"/>
        </w:rPr>
        <w:t xml:space="preserve">5.2 </w:t>
      </w:r>
      <w:r>
        <w:rPr>
          <w:rFonts w:ascii="宋体" w:hAnsi="宋体"/>
          <w:sz w:val="28"/>
          <w:szCs w:val="28"/>
        </w:rPr>
        <w:t xml:space="preserve"> </w:t>
      </w:r>
      <w:r>
        <w:rPr>
          <w:rFonts w:hint="eastAsia" w:ascii="宋体" w:hAnsi="宋体"/>
          <w:sz w:val="28"/>
          <w:szCs w:val="28"/>
        </w:rPr>
        <w:t>消防供水设施</w:t>
      </w:r>
      <w:bookmarkEnd w:id="198"/>
      <w:bookmarkEnd w:id="199"/>
      <w:bookmarkEnd w:id="200"/>
      <w:bookmarkEnd w:id="201"/>
    </w:p>
    <w:p w14:paraId="7F7F4DB0">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w:t>
      </w:r>
      <w:r>
        <w:rPr>
          <w:rFonts w:ascii="宋体" w:hAnsi="宋体"/>
          <w:color w:val="000000" w:themeColor="text1"/>
          <w:sz w:val="28"/>
          <w:szCs w:val="28"/>
          <w14:textFill>
            <w14:solidFill>
              <w14:schemeClr w14:val="tx1"/>
            </w14:solidFill>
          </w14:textFill>
        </w:rPr>
        <w:t>.2.1</w:t>
      </w:r>
      <w:bookmarkStart w:id="202" w:name="_Hlk140762784"/>
      <w:r>
        <w:rPr>
          <w:rFonts w:hint="eastAsia" w:ascii="宋体" w:hAnsi="宋体"/>
          <w:color w:val="000000" w:themeColor="text1"/>
          <w:sz w:val="28"/>
          <w:szCs w:val="28"/>
          <w14:textFill>
            <w14:solidFill>
              <w14:schemeClr w14:val="tx1"/>
            </w14:solidFill>
          </w14:textFill>
        </w:rPr>
        <w:t>建筑改造工程受建筑空间、结构加固</w:t>
      </w:r>
      <w:bookmarkEnd w:id="202"/>
      <w:r>
        <w:rPr>
          <w:rFonts w:hint="eastAsia" w:ascii="宋体" w:hAnsi="宋体"/>
          <w:color w:val="000000" w:themeColor="text1"/>
          <w:sz w:val="28"/>
          <w:szCs w:val="28"/>
          <w14:textFill>
            <w14:solidFill>
              <w14:schemeClr w14:val="tx1"/>
            </w14:solidFill>
          </w14:textFill>
        </w:rPr>
        <w:t>等条件制约，在原室内空间增设水池、水泵房极困难的情况下，采用室外埋地安装的一体化消防给水泵站占地小，施工安装较便利，可以解决上述问题。</w:t>
      </w:r>
    </w:p>
    <w:p w14:paraId="080CC174">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w:t>
      </w:r>
      <w:r>
        <w:rPr>
          <w:rFonts w:ascii="宋体" w:hAnsi="宋体"/>
          <w:color w:val="000000" w:themeColor="text1"/>
          <w:sz w:val="28"/>
          <w:szCs w:val="28"/>
          <w14:textFill>
            <w14:solidFill>
              <w14:schemeClr w14:val="tx1"/>
            </w14:solidFill>
          </w14:textFill>
        </w:rPr>
        <w:t xml:space="preserve">.2.2  </w:t>
      </w:r>
      <w:r>
        <w:rPr>
          <w:rFonts w:hint="eastAsia" w:ascii="宋体" w:hAnsi="宋体"/>
          <w:color w:val="000000" w:themeColor="text1"/>
          <w:sz w:val="28"/>
          <w:szCs w:val="28"/>
          <w14:textFill>
            <w14:solidFill>
              <w14:schemeClr w14:val="tx1"/>
            </w14:solidFill>
          </w14:textFill>
        </w:rPr>
        <w:t>第1、2款强调建筑改造工程是否更换消防水泵的条件，当系统水量、水压均不增加时，考虑到原有水泵的安全性能，应按原设计标准对消防水泵进行试验压力测试，只有当测试压力测试时系统流量满足要求的情况下消防水泵才不予更换，否则消防水泵应予以更换。</w:t>
      </w:r>
    </w:p>
    <w:p w14:paraId="185E446B">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现行国家标准《消防给水及消火栓系统技术规范》</w:t>
      </w:r>
      <w:r>
        <w:rPr>
          <w:rFonts w:ascii="宋体" w:hAnsi="宋体"/>
          <w:color w:val="000000" w:themeColor="text1"/>
          <w:sz w:val="28"/>
          <w:szCs w:val="28"/>
          <w14:textFill>
            <w14:solidFill>
              <w14:schemeClr w14:val="tx1"/>
            </w14:solidFill>
          </w14:textFill>
        </w:rPr>
        <w:t>GB50974</w:t>
      </w:r>
      <w:r>
        <w:rPr>
          <w:rFonts w:hint="eastAsia" w:ascii="宋体" w:hAnsi="宋体"/>
          <w:color w:val="000000" w:themeColor="text1"/>
          <w:sz w:val="28"/>
          <w:szCs w:val="28"/>
          <w14:textFill>
            <w14:solidFill>
              <w14:schemeClr w14:val="tx1"/>
            </w14:solidFill>
          </w14:textFill>
        </w:rPr>
        <w:t>第</w:t>
      </w:r>
      <w:r>
        <w:rPr>
          <w:rFonts w:ascii="宋体" w:hAnsi="宋体"/>
          <w:color w:val="000000" w:themeColor="text1"/>
          <w:sz w:val="28"/>
          <w:szCs w:val="28"/>
          <w14:textFill>
            <w14:solidFill>
              <w14:schemeClr w14:val="tx1"/>
            </w14:solidFill>
          </w14:textFill>
        </w:rPr>
        <w:t>7.4.12</w:t>
      </w:r>
      <w:r>
        <w:rPr>
          <w:rFonts w:hint="eastAsia" w:ascii="宋体" w:hAnsi="宋体"/>
          <w:color w:val="000000" w:themeColor="text1"/>
          <w:sz w:val="28"/>
          <w:szCs w:val="28"/>
          <w14:textFill>
            <w14:solidFill>
              <w14:schemeClr w14:val="tx1"/>
            </w14:solidFill>
          </w14:textFill>
        </w:rPr>
        <w:t>条对高层建筑、厂房、库房和室内净空高度超过</w:t>
      </w:r>
      <w:r>
        <w:rPr>
          <w:rFonts w:ascii="宋体" w:hAnsi="宋体"/>
          <w:color w:val="000000" w:themeColor="text1"/>
          <w:sz w:val="28"/>
          <w:szCs w:val="28"/>
          <w14:textFill>
            <w14:solidFill>
              <w14:schemeClr w14:val="tx1"/>
            </w14:solidFill>
          </w14:textFill>
        </w:rPr>
        <w:t>8m</w:t>
      </w:r>
      <w:r>
        <w:rPr>
          <w:rFonts w:hint="eastAsia" w:ascii="宋体" w:hAnsi="宋体"/>
          <w:color w:val="000000" w:themeColor="text1"/>
          <w:sz w:val="28"/>
          <w:szCs w:val="28"/>
          <w14:textFill>
            <w14:solidFill>
              <w14:schemeClr w14:val="tx1"/>
            </w14:solidFill>
          </w14:textFill>
        </w:rPr>
        <w:t>的民用建筑等场所的消火栓栓口动压提高了要求，需要达到</w:t>
      </w:r>
      <w:r>
        <w:rPr>
          <w:rFonts w:ascii="宋体" w:hAnsi="宋体"/>
          <w:color w:val="000000" w:themeColor="text1"/>
          <w:sz w:val="28"/>
          <w:szCs w:val="28"/>
          <w14:textFill>
            <w14:solidFill>
              <w14:schemeClr w14:val="tx1"/>
            </w14:solidFill>
          </w14:textFill>
        </w:rPr>
        <w:t>0.35MPa</w:t>
      </w:r>
      <w:r>
        <w:rPr>
          <w:rFonts w:hint="eastAsia" w:ascii="宋体" w:hAnsi="宋体"/>
          <w:color w:val="000000" w:themeColor="text1"/>
          <w:sz w:val="28"/>
          <w:szCs w:val="28"/>
          <w14:textFill>
            <w14:solidFill>
              <w14:schemeClr w14:val="tx1"/>
            </w14:solidFill>
          </w14:textFill>
        </w:rPr>
        <w:t>。《消防给水及消火栓系统技术规范》</w:t>
      </w:r>
      <w:r>
        <w:rPr>
          <w:rFonts w:ascii="宋体" w:hAnsi="宋体"/>
          <w:color w:val="000000" w:themeColor="text1"/>
          <w:sz w:val="28"/>
          <w:szCs w:val="28"/>
          <w14:textFill>
            <w14:solidFill>
              <w14:schemeClr w14:val="tx1"/>
            </w14:solidFill>
          </w14:textFill>
        </w:rPr>
        <w:t>GB50974</w:t>
      </w:r>
      <w:r>
        <w:rPr>
          <w:rFonts w:hint="eastAsia" w:ascii="宋体" w:hAnsi="宋体"/>
          <w:color w:val="000000" w:themeColor="text1"/>
          <w:sz w:val="28"/>
          <w:szCs w:val="28"/>
          <w14:textFill>
            <w14:solidFill>
              <w14:schemeClr w14:val="tx1"/>
            </w14:solidFill>
          </w14:textFill>
        </w:rPr>
        <w:t>实施前，上述场所的消火栓栓口动压只要满足该场所的消火栓充实水柱要求，一般不超过</w:t>
      </w:r>
      <w:r>
        <w:rPr>
          <w:rFonts w:ascii="宋体" w:hAnsi="宋体"/>
          <w:color w:val="000000" w:themeColor="text1"/>
          <w:sz w:val="28"/>
          <w:szCs w:val="28"/>
          <w14:textFill>
            <w14:solidFill>
              <w14:schemeClr w14:val="tx1"/>
            </w14:solidFill>
          </w14:textFill>
        </w:rPr>
        <w:t>0.25MPa</w:t>
      </w:r>
      <w:r>
        <w:rPr>
          <w:rFonts w:hint="eastAsia" w:ascii="宋体" w:hAnsi="宋体"/>
          <w:color w:val="000000" w:themeColor="text1"/>
          <w:sz w:val="28"/>
          <w:szCs w:val="28"/>
          <w14:textFill>
            <w14:solidFill>
              <w14:schemeClr w14:val="tx1"/>
            </w14:solidFill>
          </w14:textFill>
        </w:rPr>
        <w:t>。如按照《消防给水及消火栓系统技术规范》</w:t>
      </w:r>
      <w:r>
        <w:rPr>
          <w:rFonts w:ascii="宋体" w:hAnsi="宋体"/>
          <w:color w:val="000000" w:themeColor="text1"/>
          <w:sz w:val="28"/>
          <w:szCs w:val="28"/>
          <w14:textFill>
            <w14:solidFill>
              <w14:schemeClr w14:val="tx1"/>
            </w14:solidFill>
          </w14:textFill>
        </w:rPr>
        <w:t>GB50974</w:t>
      </w:r>
      <w:r>
        <w:rPr>
          <w:rFonts w:hint="eastAsia" w:ascii="宋体" w:hAnsi="宋体"/>
          <w:color w:val="000000" w:themeColor="text1"/>
          <w:sz w:val="28"/>
          <w:szCs w:val="28"/>
          <w14:textFill>
            <w14:solidFill>
              <w14:schemeClr w14:val="tx1"/>
            </w14:solidFill>
          </w14:textFill>
        </w:rPr>
        <w:t>第</w:t>
      </w:r>
      <w:r>
        <w:rPr>
          <w:rFonts w:ascii="宋体" w:hAnsi="宋体"/>
          <w:color w:val="000000" w:themeColor="text1"/>
          <w:sz w:val="28"/>
          <w:szCs w:val="28"/>
          <w14:textFill>
            <w14:solidFill>
              <w14:schemeClr w14:val="tx1"/>
            </w14:solidFill>
          </w14:textFill>
        </w:rPr>
        <w:t>7.4.12</w:t>
      </w:r>
      <w:r>
        <w:rPr>
          <w:rFonts w:hint="eastAsia" w:ascii="宋体" w:hAnsi="宋体"/>
          <w:color w:val="000000" w:themeColor="text1"/>
          <w:sz w:val="28"/>
          <w:szCs w:val="28"/>
          <w14:textFill>
            <w14:solidFill>
              <w14:schemeClr w14:val="tx1"/>
            </w14:solidFill>
          </w14:textFill>
        </w:rPr>
        <w:t>条的要求校核既有建筑中的消防水泵扬程，则可能出现较多消防水泵扬程不能满足要求的情况，需要更换消防水泵，并且需要对整个管网进行重新调试，代价较高，当消防水泵房不在改造区域内时，更换水泵实施更加困难。</w:t>
      </w:r>
    </w:p>
    <w:p w14:paraId="32F93815">
      <w:pPr>
        <w:widowControl/>
        <w:snapToGrid w:val="0"/>
        <w:spacing w:line="300" w:lineRule="auto"/>
        <w:ind w:firstLine="564" w:firstLineChars="19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新旧标准的充实水柱基本没有变化，对消防水泵扬程影响不大同时消火栓水枪充实水柱是实施灭火的关键因素，因此建议消火栓系统改造时，消火栓水枪充实水柱应执行现行消防技术标准。局部改造工程，当消防水泵房不在改造区域内，校核消防水泵扬程时，消火栓栓口动压可不执行现行消防技术标准，但应满足水枪充实水柱要求。</w:t>
      </w:r>
    </w:p>
    <w:p w14:paraId="732E9A98">
      <w:pPr>
        <w:widowControl/>
        <w:snapToGrid w:val="0"/>
        <w:spacing w:line="300" w:lineRule="auto"/>
        <w:ind w:firstLine="564" w:firstLineChars="19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按《消防给水及消火栓系统技术规范》GB50974第</w:t>
      </w:r>
      <w:r>
        <w:rPr>
          <w:rFonts w:ascii="宋体" w:hAnsi="宋体"/>
          <w:color w:val="000000" w:themeColor="text1"/>
          <w:sz w:val="28"/>
          <w:szCs w:val="28"/>
          <w14:textFill>
            <w14:solidFill>
              <w14:schemeClr w14:val="tx1"/>
            </w14:solidFill>
          </w14:textFill>
        </w:rPr>
        <w:t>8.2.3</w:t>
      </w:r>
      <w:r>
        <w:rPr>
          <w:rFonts w:hint="eastAsia" w:ascii="宋体" w:hAnsi="宋体"/>
          <w:color w:val="000000" w:themeColor="text1"/>
          <w:sz w:val="28"/>
          <w:szCs w:val="28"/>
          <w14:textFill>
            <w14:solidFill>
              <w14:schemeClr w14:val="tx1"/>
            </w14:solidFill>
          </w14:textFill>
        </w:rPr>
        <w:t>条校核系统工作压力时，有可能增加原有系统的竖向分区数量，局部改造工程增加竖向分区困难较多，因此放宽要求，消防水系统工作压力可按原标准确定。当因水泵零流量压力较大导致系统局部超压时，可采用设置局部减压阀、超压泄压阀等手段，保证系统安全。</w:t>
      </w:r>
    </w:p>
    <w:p w14:paraId="23768D17">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w:t>
      </w:r>
      <w:r>
        <w:rPr>
          <w:rFonts w:ascii="宋体" w:hAnsi="宋体"/>
          <w:color w:val="000000" w:themeColor="text1"/>
          <w:sz w:val="28"/>
          <w:szCs w:val="28"/>
          <w14:textFill>
            <w14:solidFill>
              <w14:schemeClr w14:val="tx1"/>
            </w14:solidFill>
          </w14:textFill>
        </w:rPr>
        <w:t xml:space="preserve">.2.3  </w:t>
      </w:r>
      <w:r>
        <w:rPr>
          <w:rFonts w:hint="eastAsia" w:ascii="宋体" w:hAnsi="宋体"/>
          <w:color w:val="000000" w:themeColor="text1"/>
          <w:sz w:val="28"/>
          <w:szCs w:val="28"/>
          <w14:textFill>
            <w14:solidFill>
              <w14:schemeClr w14:val="tx1"/>
            </w14:solidFill>
          </w14:textFill>
        </w:rPr>
        <w:t>现行消防技术标准对高位消防水箱的有效容积提高了要求。建筑局部改造工程，受建筑空间、结构加固等条件制约，增加水箱容积较困难，对于使用功</w:t>
      </w:r>
      <w:r>
        <w:rPr>
          <w:rFonts w:ascii="宋体" w:hAnsi="宋体"/>
          <w:color w:val="000000" w:themeColor="text1"/>
          <w:sz w:val="28"/>
          <w:szCs w:val="28"/>
          <w14:textFill>
            <w14:solidFill>
              <w14:schemeClr w14:val="tx1"/>
            </w14:solidFill>
          </w14:textFill>
        </w:rPr>
        <w:t>能不变的建筑局部改造工程，当高位消防水箱有效容积满足原设计标准时，</w:t>
      </w:r>
      <w:r>
        <w:rPr>
          <w:rFonts w:hint="eastAsia" w:ascii="宋体" w:hAnsi="宋体"/>
          <w:color w:val="000000" w:themeColor="text1"/>
          <w:sz w:val="28"/>
          <w:szCs w:val="28"/>
          <w14:textFill>
            <w14:solidFill>
              <w14:schemeClr w14:val="tx1"/>
            </w14:solidFill>
          </w14:textFill>
        </w:rPr>
        <w:t>未影响消防安全，因此考虑维持现状。</w:t>
      </w:r>
    </w:p>
    <w:p w14:paraId="49AEBCDF">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bookmarkStart w:id="203" w:name="_Hlk140767985"/>
      <w:r>
        <w:rPr>
          <w:rFonts w:hint="eastAsia" w:ascii="宋体" w:hAnsi="宋体"/>
          <w:color w:val="000000" w:themeColor="text1"/>
          <w:sz w:val="28"/>
          <w:szCs w:val="28"/>
          <w14:textFill>
            <w14:solidFill>
              <w14:schemeClr w14:val="tx1"/>
            </w14:solidFill>
          </w14:textFill>
        </w:rPr>
        <w:t>现行国家标准《消防给水及消火栓系统技术规范》</w:t>
      </w:r>
      <w:r>
        <w:rPr>
          <w:rFonts w:ascii="宋体" w:hAnsi="宋体"/>
          <w:color w:val="000000" w:themeColor="text1"/>
          <w:sz w:val="28"/>
          <w:szCs w:val="28"/>
          <w14:textFill>
            <w14:solidFill>
              <w14:schemeClr w14:val="tx1"/>
            </w14:solidFill>
          </w14:textFill>
        </w:rPr>
        <w:t>GB50974</w:t>
      </w:r>
      <w:r>
        <w:rPr>
          <w:rFonts w:hint="eastAsia" w:ascii="宋体" w:hAnsi="宋体"/>
          <w:color w:val="000000" w:themeColor="text1"/>
          <w:sz w:val="28"/>
          <w:szCs w:val="28"/>
          <w14:textFill>
            <w14:solidFill>
              <w14:schemeClr w14:val="tx1"/>
            </w14:solidFill>
          </w14:textFill>
        </w:rPr>
        <w:t>第</w:t>
      </w:r>
      <w:r>
        <w:rPr>
          <w:rFonts w:ascii="宋体" w:hAnsi="宋体"/>
          <w:color w:val="000000" w:themeColor="text1"/>
          <w:sz w:val="28"/>
          <w:szCs w:val="28"/>
          <w14:textFill>
            <w14:solidFill>
              <w14:schemeClr w14:val="tx1"/>
            </w14:solidFill>
          </w14:textFill>
        </w:rPr>
        <w:t>5.2.2</w:t>
      </w:r>
      <w:r>
        <w:rPr>
          <w:rFonts w:hint="eastAsia" w:ascii="宋体" w:hAnsi="宋体"/>
          <w:color w:val="000000" w:themeColor="text1"/>
          <w:sz w:val="28"/>
          <w:szCs w:val="28"/>
          <w14:textFill>
            <w14:solidFill>
              <w14:schemeClr w14:val="tx1"/>
            </w14:solidFill>
          </w14:textFill>
        </w:rPr>
        <w:t>条</w:t>
      </w:r>
      <w:bookmarkEnd w:id="203"/>
      <w:r>
        <w:rPr>
          <w:rFonts w:hint="eastAsia" w:ascii="宋体" w:hAnsi="宋体"/>
          <w:color w:val="000000" w:themeColor="text1"/>
          <w:sz w:val="28"/>
          <w:szCs w:val="28"/>
          <w14:textFill>
            <w14:solidFill>
              <w14:schemeClr w14:val="tx1"/>
            </w14:solidFill>
          </w14:textFill>
        </w:rPr>
        <w:t>要求高位消防水箱设置位置应高于其所服务的水灭火设施，既有建筑中高位消防水箱未设置在最高处的情况较为普遍。当土建改造条件允许时，应将高位水箱设置在建筑最高处。对于改变高位水箱位置实施困难时，应通过设置稳压装置保证水灭火设施最不利点处静水压力满足现行消防技术标准要求。</w:t>
      </w:r>
    </w:p>
    <w:p w14:paraId="4B6B8BB0">
      <w:pPr>
        <w:widowControl/>
        <w:snapToGrid w:val="0"/>
        <w:spacing w:line="300" w:lineRule="auto"/>
        <w:ind w:firstLine="564" w:firstLineChars="19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依据国家现行标准《消防给水及消火栓系统技术规范》</w:t>
      </w:r>
      <w:r>
        <w:rPr>
          <w:rFonts w:ascii="宋体" w:hAnsi="宋体"/>
          <w:color w:val="000000" w:themeColor="text1"/>
          <w:sz w:val="28"/>
          <w:szCs w:val="28"/>
          <w14:textFill>
            <w14:solidFill>
              <w14:schemeClr w14:val="tx1"/>
            </w14:solidFill>
          </w14:textFill>
        </w:rPr>
        <w:t>GB50974</w:t>
      </w: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14:textFill>
            <w14:solidFill>
              <w14:schemeClr w14:val="tx1"/>
            </w14:solidFill>
          </w14:textFill>
        </w:rPr>
        <w:t>2014</w:t>
      </w:r>
      <w:r>
        <w:rPr>
          <w:rFonts w:hint="eastAsia" w:ascii="宋体" w:hAnsi="宋体"/>
          <w:color w:val="000000" w:themeColor="text1"/>
          <w:sz w:val="28"/>
          <w:szCs w:val="28"/>
          <w14:textFill>
            <w14:solidFill>
              <w14:schemeClr w14:val="tx1"/>
            </w14:solidFill>
          </w14:textFill>
        </w:rPr>
        <w:t>第5</w:t>
      </w:r>
      <w:r>
        <w:rPr>
          <w:rFonts w:ascii="宋体" w:hAnsi="宋体"/>
          <w:color w:val="000000" w:themeColor="text1"/>
          <w:sz w:val="28"/>
          <w:szCs w:val="28"/>
          <w14:textFill>
            <w14:solidFill>
              <w14:schemeClr w14:val="tx1"/>
            </w14:solidFill>
          </w14:textFill>
        </w:rPr>
        <w:t>.2.1</w:t>
      </w:r>
      <w:r>
        <w:rPr>
          <w:rFonts w:hint="eastAsia" w:ascii="宋体" w:hAnsi="宋体"/>
          <w:color w:val="000000" w:themeColor="text1"/>
          <w:sz w:val="28"/>
          <w:szCs w:val="28"/>
          <w14:textFill>
            <w14:solidFill>
              <w14:schemeClr w14:val="tx1"/>
            </w14:solidFill>
          </w14:textFill>
        </w:rPr>
        <w:t>条的要求，建筑高度不超过1</w:t>
      </w:r>
      <w:r>
        <w:rPr>
          <w:rFonts w:ascii="宋体" w:hAnsi="宋体"/>
          <w:color w:val="000000" w:themeColor="text1"/>
          <w:sz w:val="28"/>
          <w:szCs w:val="28"/>
          <w14:textFill>
            <w14:solidFill>
              <w14:schemeClr w14:val="tx1"/>
            </w14:solidFill>
          </w14:textFill>
        </w:rPr>
        <w:t>00m</w:t>
      </w:r>
      <w:r>
        <w:rPr>
          <w:rFonts w:hint="eastAsia" w:ascii="宋体" w:hAnsi="宋体"/>
          <w:color w:val="000000" w:themeColor="text1"/>
          <w:sz w:val="28"/>
          <w:szCs w:val="28"/>
          <w14:textFill>
            <w14:solidFill>
              <w14:schemeClr w14:val="tx1"/>
            </w14:solidFill>
          </w14:textFill>
        </w:rPr>
        <w:t>前提下，高位消防水箱最小有效容积超过3</w:t>
      </w:r>
      <w:r>
        <w:rPr>
          <w:rFonts w:ascii="宋体" w:hAnsi="宋体"/>
          <w:color w:val="000000" w:themeColor="text1"/>
          <w:sz w:val="28"/>
          <w:szCs w:val="28"/>
          <w14:textFill>
            <w14:solidFill>
              <w14:schemeClr w14:val="tx1"/>
            </w14:solidFill>
          </w14:textFill>
        </w:rPr>
        <w:t>6m</w:t>
      </w:r>
      <w:r>
        <w:rPr>
          <w:rFonts w:ascii="宋体" w:hAnsi="宋体"/>
          <w:color w:val="000000" w:themeColor="text1"/>
          <w:sz w:val="28"/>
          <w:szCs w:val="28"/>
          <w:vertAlign w:val="superscript"/>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的情况仅有一种也即总建筑面积≥3</w:t>
      </w:r>
      <w:r>
        <w:rPr>
          <w:rFonts w:ascii="宋体" w:hAnsi="宋体"/>
          <w:color w:val="000000" w:themeColor="text1"/>
          <w:sz w:val="28"/>
          <w:szCs w:val="28"/>
          <w14:textFill>
            <w14:solidFill>
              <w14:schemeClr w14:val="tx1"/>
            </w14:solidFill>
          </w14:textFill>
        </w:rPr>
        <w:t>0000m</w:t>
      </w:r>
      <w:r>
        <w:rPr>
          <w:rFonts w:ascii="宋体" w:hAnsi="宋体"/>
          <w:color w:val="000000" w:themeColor="text1"/>
          <w:sz w:val="28"/>
          <w:szCs w:val="28"/>
          <w:vertAlign w:val="superscript"/>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的商业建筑，当高位消防水箱按5</w:t>
      </w:r>
      <w:r>
        <w:rPr>
          <w:rFonts w:ascii="宋体" w:hAnsi="宋体"/>
          <w:color w:val="000000" w:themeColor="text1"/>
          <w:sz w:val="28"/>
          <w:szCs w:val="28"/>
          <w14:textFill>
            <w14:solidFill>
              <w14:schemeClr w14:val="tx1"/>
            </w14:solidFill>
          </w14:textFill>
        </w:rPr>
        <w:t>0m</w:t>
      </w:r>
      <w:r>
        <w:rPr>
          <w:rFonts w:ascii="宋体" w:hAnsi="宋体"/>
          <w:color w:val="000000" w:themeColor="text1"/>
          <w:sz w:val="28"/>
          <w:szCs w:val="28"/>
          <w:vertAlign w:val="superscript"/>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设置结构加固确有困难时，可按3</w:t>
      </w:r>
      <w:r>
        <w:rPr>
          <w:rFonts w:ascii="宋体" w:hAnsi="宋体"/>
          <w:color w:val="000000" w:themeColor="text1"/>
          <w:sz w:val="28"/>
          <w:szCs w:val="28"/>
          <w14:textFill>
            <w14:solidFill>
              <w14:schemeClr w14:val="tx1"/>
            </w14:solidFill>
          </w14:textFill>
        </w:rPr>
        <w:t>6m</w:t>
      </w:r>
      <w:r>
        <w:rPr>
          <w:rFonts w:ascii="宋体" w:hAnsi="宋体"/>
          <w:color w:val="000000" w:themeColor="text1"/>
          <w:sz w:val="28"/>
          <w:szCs w:val="28"/>
          <w:vertAlign w:val="superscript"/>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设计，满足该类建筑初期火灾所需的消防流量。</w:t>
      </w:r>
    </w:p>
    <w:p w14:paraId="50AD8209">
      <w:pPr>
        <w:widowControl/>
        <w:snapToGrid w:val="0"/>
        <w:spacing w:line="300" w:lineRule="auto"/>
        <w:ind w:firstLine="564" w:firstLineChars="19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依据现行国家标准《消防给水及消火栓系统技术规范》</w:t>
      </w:r>
      <w:r>
        <w:rPr>
          <w:rFonts w:ascii="宋体" w:hAnsi="宋体"/>
          <w:color w:val="000000" w:themeColor="text1"/>
          <w:sz w:val="28"/>
          <w:szCs w:val="28"/>
          <w14:textFill>
            <w14:solidFill>
              <w14:schemeClr w14:val="tx1"/>
            </w14:solidFill>
          </w14:textFill>
        </w:rPr>
        <w:t>GB50974</w:t>
      </w:r>
      <w:r>
        <w:rPr>
          <w:rFonts w:hint="eastAsia" w:ascii="宋体" w:hAnsi="宋体"/>
          <w:color w:val="000000" w:themeColor="text1"/>
          <w:sz w:val="28"/>
          <w:szCs w:val="28"/>
          <w14:textFill>
            <w14:solidFill>
              <w14:schemeClr w14:val="tx1"/>
            </w14:solidFill>
          </w14:textFill>
        </w:rPr>
        <w:t>第</w:t>
      </w:r>
      <w:r>
        <w:rPr>
          <w:rFonts w:ascii="宋体" w:hAnsi="宋体"/>
          <w:color w:val="000000" w:themeColor="text1"/>
          <w:sz w:val="28"/>
          <w:szCs w:val="28"/>
          <w14:textFill>
            <w14:solidFill>
              <w14:schemeClr w14:val="tx1"/>
            </w14:solidFill>
          </w14:textFill>
        </w:rPr>
        <w:t>6.1.9</w:t>
      </w:r>
      <w:r>
        <w:rPr>
          <w:rFonts w:hint="eastAsia" w:ascii="宋体" w:hAnsi="宋体"/>
          <w:color w:val="000000" w:themeColor="text1"/>
          <w:sz w:val="28"/>
          <w:szCs w:val="28"/>
          <w14:textFill>
            <w14:solidFill>
              <w14:schemeClr w14:val="tx1"/>
            </w14:solidFill>
          </w14:textFill>
        </w:rPr>
        <w:t>条，针对建筑改造工程无高位消防水箱且改造过程中依旧不设高位消防水箱的前提条件以及满足初期火灾消防压力的解决方案。</w:t>
      </w:r>
    </w:p>
    <w:p w14:paraId="6956F1EC">
      <w:pPr>
        <w:pStyle w:val="3"/>
        <w:spacing w:line="360" w:lineRule="auto"/>
        <w:rPr>
          <w:rFonts w:ascii="宋体" w:hAnsi="宋体"/>
          <w:sz w:val="28"/>
          <w:szCs w:val="28"/>
        </w:rPr>
      </w:pPr>
      <w:bookmarkStart w:id="204" w:name="_Toc151061881"/>
      <w:bookmarkStart w:id="205" w:name="_Toc151063016"/>
      <w:bookmarkStart w:id="206" w:name="_Toc151063153"/>
      <w:bookmarkStart w:id="207" w:name="_Toc151062863"/>
      <w:r>
        <w:rPr>
          <w:rFonts w:hint="eastAsia" w:ascii="宋体" w:hAnsi="宋体"/>
          <w:sz w:val="28"/>
          <w:szCs w:val="28"/>
        </w:rPr>
        <w:t xml:space="preserve">5.3 </w:t>
      </w:r>
      <w:r>
        <w:rPr>
          <w:rFonts w:ascii="宋体" w:hAnsi="宋体"/>
          <w:sz w:val="28"/>
          <w:szCs w:val="28"/>
        </w:rPr>
        <w:t xml:space="preserve"> </w:t>
      </w:r>
      <w:r>
        <w:rPr>
          <w:rFonts w:hint="eastAsia" w:ascii="宋体" w:hAnsi="宋体"/>
          <w:sz w:val="28"/>
          <w:szCs w:val="28"/>
        </w:rPr>
        <w:t>室内消火栓系统</w:t>
      </w:r>
      <w:bookmarkEnd w:id="204"/>
      <w:bookmarkEnd w:id="205"/>
      <w:bookmarkEnd w:id="206"/>
      <w:bookmarkEnd w:id="207"/>
    </w:p>
    <w:p w14:paraId="1E4A5CBB">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5.3.1</w:t>
      </w:r>
      <w:r>
        <w:rPr>
          <w:rFonts w:ascii="宋体" w:hAnsi="宋体"/>
          <w:color w:val="000000" w:themeColor="text1"/>
          <w:sz w:val="28"/>
          <w:szCs w:val="28"/>
          <w14:textFill>
            <w14:solidFill>
              <w14:schemeClr w14:val="tx1"/>
            </w14:solidFill>
          </w14:textFill>
        </w:rPr>
        <w:t xml:space="preserve">  </w:t>
      </w:r>
      <w:bookmarkStart w:id="208" w:name="_Hlk141345406"/>
      <w:r>
        <w:rPr>
          <w:rFonts w:hint="eastAsia" w:ascii="宋体" w:hAnsi="宋体"/>
          <w:color w:val="000000" w:themeColor="text1"/>
          <w:sz w:val="28"/>
          <w:szCs w:val="28"/>
          <w14:textFill>
            <w14:solidFill>
              <w14:schemeClr w14:val="tx1"/>
            </w14:solidFill>
          </w14:textFill>
        </w:rPr>
        <w:t>对于现状无消防给水系统的建筑，如改造功能包含或增加了“老年人照料设施、大中型幼儿园”等功能场所时或依据本标准3</w:t>
      </w:r>
      <w:r>
        <w:rPr>
          <w:rFonts w:ascii="宋体" w:hAnsi="宋体"/>
          <w:color w:val="000000" w:themeColor="text1"/>
          <w:sz w:val="28"/>
          <w:szCs w:val="28"/>
          <w14:textFill>
            <w14:solidFill>
              <w14:schemeClr w14:val="tx1"/>
            </w14:solidFill>
          </w14:textFill>
        </w:rPr>
        <w:t>.0</w:t>
      </w: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条，该改造工程改造后的使用对象为无自主疏散能力，人员属性属于F类别时，需增设室内消火栓系统。</w:t>
      </w:r>
    </w:p>
    <w:bookmarkEnd w:id="208"/>
    <w:p w14:paraId="5CE2DA20">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5.3.2 </w:t>
      </w:r>
      <w:bookmarkStart w:id="209" w:name="_Hlk141343764"/>
      <w:r>
        <w:rPr>
          <w:rFonts w:hint="eastAsia" w:ascii="宋体" w:hAnsi="宋体"/>
          <w:color w:val="000000" w:themeColor="text1"/>
          <w:sz w:val="28"/>
          <w:szCs w:val="28"/>
          <w14:textFill>
            <w14:solidFill>
              <w14:schemeClr w14:val="tx1"/>
            </w14:solidFill>
          </w14:textFill>
        </w:rPr>
        <w:t>对于现状无消防给水系统的建筑</w:t>
      </w:r>
      <w:bookmarkEnd w:id="209"/>
      <w:r>
        <w:rPr>
          <w:rFonts w:hint="eastAsia" w:ascii="宋体" w:hAnsi="宋体"/>
          <w:color w:val="000000" w:themeColor="text1"/>
          <w:sz w:val="28"/>
          <w:szCs w:val="28"/>
          <w14:textFill>
            <w14:solidFill>
              <w14:schemeClr w14:val="tx1"/>
            </w14:solidFill>
          </w14:textFill>
        </w:rPr>
        <w:t>，如局部区域改造为</w:t>
      </w:r>
      <w:bookmarkStart w:id="210" w:name="_Hlk141345904"/>
      <w:r>
        <w:rPr>
          <w:rFonts w:hint="eastAsia" w:ascii="宋体" w:hAnsi="宋体"/>
          <w:color w:val="000000" w:themeColor="text1"/>
          <w:sz w:val="28"/>
          <w:szCs w:val="28"/>
          <w14:textFill>
            <w14:solidFill>
              <w14:schemeClr w14:val="tx1"/>
            </w14:solidFill>
          </w14:textFill>
        </w:rPr>
        <w:t>现行国家标准《建筑防火通用规范》</w:t>
      </w:r>
      <w:r>
        <w:rPr>
          <w:rFonts w:ascii="宋体" w:hAnsi="宋体"/>
          <w:color w:val="000000" w:themeColor="text1"/>
          <w:sz w:val="28"/>
          <w:szCs w:val="28"/>
          <w14:textFill>
            <w14:solidFill>
              <w14:schemeClr w14:val="tx1"/>
            </w14:solidFill>
          </w14:textFill>
        </w:rPr>
        <w:t>GB55037</w:t>
      </w:r>
      <w:r>
        <w:rPr>
          <w:rFonts w:hint="eastAsia" w:ascii="宋体" w:hAnsi="宋体"/>
          <w:color w:val="000000" w:themeColor="text1"/>
          <w:sz w:val="28"/>
          <w:szCs w:val="28"/>
          <w14:textFill>
            <w14:solidFill>
              <w14:schemeClr w14:val="tx1"/>
            </w14:solidFill>
          </w14:textFill>
        </w:rPr>
        <w:t>第</w:t>
      </w:r>
      <w:r>
        <w:rPr>
          <w:rFonts w:ascii="宋体" w:hAnsi="宋体"/>
          <w:color w:val="000000" w:themeColor="text1"/>
          <w:sz w:val="28"/>
          <w:szCs w:val="28"/>
          <w14:textFill>
            <w14:solidFill>
              <w14:schemeClr w14:val="tx1"/>
            </w14:solidFill>
          </w14:textFill>
        </w:rPr>
        <w:t>8.1.7</w:t>
      </w:r>
      <w:r>
        <w:rPr>
          <w:rFonts w:hint="eastAsia" w:ascii="宋体" w:hAnsi="宋体"/>
          <w:color w:val="000000" w:themeColor="text1"/>
          <w:sz w:val="28"/>
          <w:szCs w:val="28"/>
          <w14:textFill>
            <w14:solidFill>
              <w14:schemeClr w14:val="tx1"/>
            </w14:solidFill>
          </w14:textFill>
        </w:rPr>
        <w:t>条第</w:t>
      </w:r>
      <w:r>
        <w:rPr>
          <w:rFonts w:ascii="宋体" w:hAnsi="宋体"/>
          <w:color w:val="000000" w:themeColor="text1"/>
          <w:sz w:val="28"/>
          <w:szCs w:val="28"/>
          <w14:textFill>
            <w14:solidFill>
              <w14:schemeClr w14:val="tx1"/>
            </w14:solidFill>
          </w14:textFill>
        </w:rPr>
        <w:t>5</w:t>
      </w:r>
      <w:r>
        <w:rPr>
          <w:rFonts w:hint="eastAsia" w:ascii="宋体" w:hAnsi="宋体"/>
          <w:color w:val="000000" w:themeColor="text1"/>
          <w:sz w:val="28"/>
          <w:szCs w:val="28"/>
          <w14:textFill>
            <w14:solidFill>
              <w14:schemeClr w14:val="tx1"/>
            </w14:solidFill>
          </w14:textFill>
        </w:rPr>
        <w:t>款提及的建筑功能</w:t>
      </w:r>
      <w:bookmarkEnd w:id="210"/>
      <w:r>
        <w:rPr>
          <w:rFonts w:hint="eastAsia" w:ascii="宋体" w:hAnsi="宋体"/>
          <w:color w:val="000000" w:themeColor="text1"/>
          <w:sz w:val="28"/>
          <w:szCs w:val="28"/>
          <w14:textFill>
            <w14:solidFill>
              <w14:schemeClr w14:val="tx1"/>
            </w14:solidFill>
          </w14:textFill>
        </w:rPr>
        <w:t>，可在改造区域局部增设消火栓系统。</w:t>
      </w:r>
    </w:p>
    <w:p w14:paraId="28091B57">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对于现状无消防给水系统的建筑局部改造工程，非改造区域应为后续增设室内消火栓预留条件。</w:t>
      </w:r>
      <w:r>
        <w:rPr>
          <w:rFonts w:ascii="宋体" w:hAnsi="宋体"/>
          <w:color w:val="000000" w:themeColor="text1"/>
          <w:sz w:val="28"/>
          <w:szCs w:val="28"/>
          <w14:textFill>
            <w14:solidFill>
              <w14:schemeClr w14:val="tx1"/>
            </w14:solidFill>
          </w14:textFill>
        </w:rPr>
        <w:t xml:space="preserve"> </w:t>
      </w:r>
    </w:p>
    <w:p w14:paraId="5B947A7C">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对新增消火栓布置原则均应按现行国家标准《消防给水及消火栓系统技术规范》G</w:t>
      </w:r>
      <w:r>
        <w:rPr>
          <w:rFonts w:ascii="宋体" w:hAnsi="宋体"/>
          <w:color w:val="000000" w:themeColor="text1"/>
          <w:sz w:val="28"/>
          <w:szCs w:val="28"/>
          <w14:textFill>
            <w14:solidFill>
              <w14:schemeClr w14:val="tx1"/>
            </w14:solidFill>
          </w14:textFill>
        </w:rPr>
        <w:t>B50974</w:t>
      </w: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14:textFill>
            <w14:solidFill>
              <w14:schemeClr w14:val="tx1"/>
            </w14:solidFill>
          </w14:textFill>
        </w:rPr>
        <w:t>2014</w:t>
      </w:r>
      <w:r>
        <w:rPr>
          <w:rFonts w:hint="eastAsia" w:ascii="宋体" w:hAnsi="宋体"/>
          <w:color w:val="000000" w:themeColor="text1"/>
          <w:sz w:val="28"/>
          <w:szCs w:val="28"/>
          <w14:textFill>
            <w14:solidFill>
              <w14:schemeClr w14:val="tx1"/>
            </w14:solidFill>
          </w14:textFill>
        </w:rPr>
        <w:t>第</w:t>
      </w:r>
      <w:r>
        <w:rPr>
          <w:rFonts w:ascii="宋体" w:hAnsi="宋体"/>
          <w:color w:val="000000" w:themeColor="text1"/>
          <w:sz w:val="28"/>
          <w:szCs w:val="28"/>
          <w14:textFill>
            <w14:solidFill>
              <w14:schemeClr w14:val="tx1"/>
            </w14:solidFill>
          </w14:textFill>
        </w:rPr>
        <w:t>7.4</w:t>
      </w:r>
      <w:r>
        <w:rPr>
          <w:rFonts w:hint="eastAsia" w:ascii="宋体" w:hAnsi="宋体"/>
          <w:color w:val="000000" w:themeColor="text1"/>
          <w:sz w:val="28"/>
          <w:szCs w:val="28"/>
          <w14:textFill>
            <w14:solidFill>
              <w14:schemeClr w14:val="tx1"/>
            </w14:solidFill>
          </w14:textFill>
        </w:rPr>
        <w:t>条相关条款执行。</w:t>
      </w:r>
    </w:p>
    <w:p w14:paraId="5127B0C4">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对于未达到设置消火栓系统的改造工程，应设置轻便水龙。</w:t>
      </w:r>
    </w:p>
    <w:p w14:paraId="23FAF350">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w:t>
      </w:r>
      <w:r>
        <w:rPr>
          <w:rFonts w:ascii="宋体" w:hAnsi="宋体"/>
          <w:color w:val="000000" w:themeColor="text1"/>
          <w:sz w:val="28"/>
          <w:szCs w:val="28"/>
          <w14:textFill>
            <w14:solidFill>
              <w14:schemeClr w14:val="tx1"/>
            </w14:solidFill>
          </w14:textFill>
        </w:rPr>
        <w:t xml:space="preserve">.3.3 </w:t>
      </w:r>
      <w:r>
        <w:rPr>
          <w:rFonts w:hint="eastAsia" w:ascii="宋体" w:hAnsi="宋体"/>
          <w:color w:val="000000" w:themeColor="text1"/>
          <w:sz w:val="28"/>
          <w:szCs w:val="28"/>
          <w14:textFill>
            <w14:solidFill>
              <w14:schemeClr w14:val="tx1"/>
            </w14:solidFill>
          </w14:textFill>
        </w:rPr>
        <w:t>仅在末端增设消火栓或改变原有消火栓位置时，其系统的控制仍是按照原有规范标准设置，故增设或改设的末端消火栓也应按照原控制方式实施，其消火栓箱内的起泵按钮应保留，以保持系统的一致性。</w:t>
      </w:r>
    </w:p>
    <w:p w14:paraId="3EEBCCB1">
      <w:pPr>
        <w:pStyle w:val="3"/>
        <w:spacing w:line="360" w:lineRule="auto"/>
        <w:rPr>
          <w:rFonts w:ascii="宋体" w:hAnsi="宋体"/>
          <w:sz w:val="28"/>
          <w:szCs w:val="28"/>
        </w:rPr>
      </w:pPr>
      <w:bookmarkStart w:id="211" w:name="_Toc151061882"/>
      <w:bookmarkStart w:id="212" w:name="_Toc151062864"/>
      <w:bookmarkStart w:id="213" w:name="_Toc151063154"/>
      <w:bookmarkStart w:id="214" w:name="_Toc151063017"/>
      <w:r>
        <w:rPr>
          <w:rFonts w:hint="eastAsia" w:ascii="宋体" w:hAnsi="宋体"/>
          <w:sz w:val="28"/>
          <w:szCs w:val="28"/>
        </w:rPr>
        <w:t xml:space="preserve">5.4 </w:t>
      </w:r>
      <w:r>
        <w:rPr>
          <w:rFonts w:ascii="宋体" w:hAnsi="宋体"/>
          <w:sz w:val="28"/>
          <w:szCs w:val="28"/>
        </w:rPr>
        <w:t xml:space="preserve"> </w:t>
      </w:r>
      <w:r>
        <w:rPr>
          <w:rFonts w:hint="eastAsia" w:ascii="宋体" w:hAnsi="宋体"/>
          <w:sz w:val="28"/>
          <w:szCs w:val="28"/>
        </w:rPr>
        <w:t>自动灭火系统</w:t>
      </w:r>
      <w:bookmarkEnd w:id="211"/>
      <w:bookmarkEnd w:id="212"/>
      <w:bookmarkEnd w:id="213"/>
      <w:bookmarkEnd w:id="214"/>
    </w:p>
    <w:p w14:paraId="193F2F4B">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w:t>
      </w:r>
      <w:r>
        <w:rPr>
          <w:rFonts w:ascii="宋体" w:hAnsi="宋体"/>
          <w:color w:val="000000" w:themeColor="text1"/>
          <w:sz w:val="28"/>
          <w:szCs w:val="28"/>
          <w14:textFill>
            <w14:solidFill>
              <w14:schemeClr w14:val="tx1"/>
            </w14:solidFill>
          </w14:textFill>
        </w:rPr>
        <w:t>4</w:t>
      </w:r>
      <w:r>
        <w:rPr>
          <w:rFonts w:hint="eastAsia" w:ascii="宋体" w:hAnsi="宋体"/>
          <w:color w:val="000000" w:themeColor="text1"/>
          <w:sz w:val="28"/>
          <w:szCs w:val="28"/>
          <w14:textFill>
            <w14:solidFill>
              <w14:schemeClr w14:val="tx1"/>
            </w14:solidFill>
          </w14:textFill>
        </w:rPr>
        <w:t>.1</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如改造功能包含或增加了现行国家标准《建筑防火通用规范》</w:t>
      </w:r>
      <w:r>
        <w:rPr>
          <w:rFonts w:ascii="宋体" w:hAnsi="宋体"/>
          <w:color w:val="000000" w:themeColor="text1"/>
          <w:sz w:val="28"/>
          <w:szCs w:val="28"/>
          <w14:textFill>
            <w14:solidFill>
              <w14:schemeClr w14:val="tx1"/>
            </w14:solidFill>
          </w14:textFill>
        </w:rPr>
        <w:t>GB55037</w:t>
      </w:r>
      <w:r>
        <w:rPr>
          <w:rFonts w:hint="eastAsia" w:ascii="宋体" w:hAnsi="宋体"/>
          <w:color w:val="000000" w:themeColor="text1"/>
          <w:sz w:val="28"/>
          <w:szCs w:val="28"/>
          <w14:textFill>
            <w14:solidFill>
              <w14:schemeClr w14:val="tx1"/>
            </w14:solidFill>
          </w14:textFill>
        </w:rPr>
        <w:t>第</w:t>
      </w:r>
      <w:r>
        <w:rPr>
          <w:rFonts w:ascii="宋体" w:hAnsi="宋体"/>
          <w:color w:val="000000" w:themeColor="text1"/>
          <w:sz w:val="28"/>
          <w:szCs w:val="28"/>
          <w14:textFill>
            <w14:solidFill>
              <w14:schemeClr w14:val="tx1"/>
            </w14:solidFill>
          </w14:textFill>
        </w:rPr>
        <w:t>8.1.8</w:t>
      </w:r>
      <w:r>
        <w:rPr>
          <w:rFonts w:hint="eastAsia" w:ascii="宋体" w:hAnsi="宋体"/>
          <w:color w:val="000000" w:themeColor="text1"/>
          <w:sz w:val="28"/>
          <w:szCs w:val="28"/>
          <w14:textFill>
            <w14:solidFill>
              <w14:schemeClr w14:val="tx1"/>
            </w14:solidFill>
          </w14:textFill>
        </w:rPr>
        <w:t>条第</w:t>
      </w:r>
      <w:r>
        <w:rPr>
          <w:rFonts w:ascii="宋体" w:hAnsi="宋体"/>
          <w:color w:val="000000" w:themeColor="text1"/>
          <w:sz w:val="28"/>
          <w:szCs w:val="28"/>
          <w14:textFill>
            <w14:solidFill>
              <w14:schemeClr w14:val="tx1"/>
            </w14:solidFill>
          </w14:textFill>
        </w:rPr>
        <w:t>6</w:t>
      </w:r>
      <w:r>
        <w:rPr>
          <w:rFonts w:hint="eastAsia" w:ascii="宋体" w:hAnsi="宋体"/>
          <w:color w:val="000000" w:themeColor="text1"/>
          <w:sz w:val="28"/>
          <w:szCs w:val="28"/>
          <w14:textFill>
            <w14:solidFill>
              <w14:schemeClr w14:val="tx1"/>
            </w14:solidFill>
          </w14:textFill>
        </w:rPr>
        <w:t>款提及的老年人照料设施、大中型幼儿园等功能场所，同时依据本标准第3</w:t>
      </w:r>
      <w:r>
        <w:rPr>
          <w:rFonts w:ascii="宋体" w:hAnsi="宋体"/>
          <w:color w:val="000000" w:themeColor="text1"/>
          <w:sz w:val="28"/>
          <w:szCs w:val="28"/>
          <w14:textFill>
            <w14:solidFill>
              <w14:schemeClr w14:val="tx1"/>
            </w14:solidFill>
          </w14:textFill>
        </w:rPr>
        <w:t>.0</w:t>
      </w: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条，该改造工程改造后的使用对象为无自主疏散能力，属于F类别时，需增设自动喷水灭火系统。</w:t>
      </w:r>
    </w:p>
    <w:p w14:paraId="38F527EB">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bookmarkStart w:id="215" w:name="_Hlk141346518"/>
      <w:r>
        <w:rPr>
          <w:rFonts w:hint="eastAsia" w:ascii="宋体" w:hAnsi="宋体"/>
          <w:color w:val="000000" w:themeColor="text1"/>
          <w:sz w:val="28"/>
          <w:szCs w:val="28"/>
          <w14:textFill>
            <w14:solidFill>
              <w14:schemeClr w14:val="tx1"/>
            </w14:solidFill>
          </w14:textFill>
        </w:rPr>
        <w:t>如改造功能包含或增加了现行国家标准《建筑防火通用规范》</w:t>
      </w:r>
      <w:r>
        <w:rPr>
          <w:rFonts w:ascii="宋体" w:hAnsi="宋体"/>
          <w:color w:val="000000" w:themeColor="text1"/>
          <w:sz w:val="28"/>
          <w:szCs w:val="28"/>
          <w14:textFill>
            <w14:solidFill>
              <w14:schemeClr w14:val="tx1"/>
            </w14:solidFill>
          </w14:textFill>
        </w:rPr>
        <w:t>GB55037</w:t>
      </w:r>
      <w:r>
        <w:rPr>
          <w:rFonts w:hint="eastAsia" w:ascii="宋体" w:hAnsi="宋体"/>
          <w:color w:val="000000" w:themeColor="text1"/>
          <w:sz w:val="28"/>
          <w:szCs w:val="28"/>
          <w14:textFill>
            <w14:solidFill>
              <w14:schemeClr w14:val="tx1"/>
            </w14:solidFill>
          </w14:textFill>
        </w:rPr>
        <w:t>第</w:t>
      </w:r>
      <w:r>
        <w:rPr>
          <w:rFonts w:ascii="宋体" w:hAnsi="宋体"/>
          <w:color w:val="000000" w:themeColor="text1"/>
          <w:sz w:val="28"/>
          <w:szCs w:val="28"/>
          <w14:textFill>
            <w14:solidFill>
              <w14:schemeClr w14:val="tx1"/>
            </w14:solidFill>
          </w14:textFill>
        </w:rPr>
        <w:t>8.1.8</w:t>
      </w:r>
      <w:r>
        <w:rPr>
          <w:rFonts w:hint="eastAsia" w:ascii="宋体" w:hAnsi="宋体"/>
          <w:color w:val="000000" w:themeColor="text1"/>
          <w:sz w:val="28"/>
          <w:szCs w:val="28"/>
          <w14:textFill>
            <w14:solidFill>
              <w14:schemeClr w14:val="tx1"/>
            </w14:solidFill>
          </w14:textFill>
        </w:rPr>
        <w:t>条第</w:t>
      </w:r>
      <w:r>
        <w:rPr>
          <w:rFonts w:ascii="宋体" w:hAnsi="宋体"/>
          <w:color w:val="000000" w:themeColor="text1"/>
          <w:sz w:val="28"/>
          <w:szCs w:val="28"/>
          <w14:textFill>
            <w14:solidFill>
              <w14:schemeClr w14:val="tx1"/>
            </w14:solidFill>
          </w14:textFill>
        </w:rPr>
        <w:t>9</w:t>
      </w:r>
      <w:r>
        <w:rPr>
          <w:rFonts w:hint="eastAsia" w:ascii="宋体" w:hAnsi="宋体"/>
          <w:color w:val="000000" w:themeColor="text1"/>
          <w:sz w:val="28"/>
          <w:szCs w:val="28"/>
          <w14:textFill>
            <w14:solidFill>
              <w14:schemeClr w14:val="tx1"/>
            </w14:solidFill>
          </w14:textFill>
        </w:rPr>
        <w:t>款提及的歌舞娱乐放映游艺功能场所，同时依据本标准第3</w:t>
      </w:r>
      <w:r>
        <w:rPr>
          <w:rFonts w:ascii="宋体" w:hAnsi="宋体"/>
          <w:color w:val="000000" w:themeColor="text1"/>
          <w:sz w:val="28"/>
          <w:szCs w:val="28"/>
          <w14:textFill>
            <w14:solidFill>
              <w14:schemeClr w14:val="tx1"/>
            </w14:solidFill>
          </w14:textFill>
        </w:rPr>
        <w:t>.0</w:t>
      </w: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14:textFill>
            <w14:solidFill>
              <w14:schemeClr w14:val="tx1"/>
            </w14:solidFill>
          </w14:textFill>
        </w:rPr>
        <w:t>1</w:t>
      </w:r>
      <w:r>
        <w:rPr>
          <w:rFonts w:hint="eastAsia" w:ascii="宋体" w:hAnsi="宋体"/>
          <w:color w:val="000000" w:themeColor="text1"/>
          <w:sz w:val="28"/>
          <w:szCs w:val="28"/>
          <w14:textFill>
            <w14:solidFill>
              <w14:schemeClr w14:val="tx1"/>
            </w14:solidFill>
          </w14:textFill>
        </w:rPr>
        <w:t>条，该改造工程改造后的使用人流集中，不熟悉路径，具有自主疏散能力，属于</w:t>
      </w:r>
      <w:r>
        <w:rPr>
          <w:rFonts w:ascii="宋体" w:hAnsi="宋体"/>
          <w:color w:val="000000" w:themeColor="text1"/>
          <w:sz w:val="28"/>
          <w:szCs w:val="28"/>
          <w14:textFill>
            <w14:solidFill>
              <w14:schemeClr w14:val="tx1"/>
            </w14:solidFill>
          </w14:textFill>
        </w:rPr>
        <w:t>C</w:t>
      </w:r>
      <w:r>
        <w:rPr>
          <w:rFonts w:hint="eastAsia" w:ascii="宋体" w:hAnsi="宋体"/>
          <w:color w:val="000000" w:themeColor="text1"/>
          <w:sz w:val="28"/>
          <w:szCs w:val="28"/>
          <w14:textFill>
            <w14:solidFill>
              <w14:schemeClr w14:val="tx1"/>
            </w14:solidFill>
          </w14:textFill>
        </w:rPr>
        <w:t>或E类别时，需增设自动喷水灭火系统。</w:t>
      </w:r>
    </w:p>
    <w:bookmarkEnd w:id="215"/>
    <w:p w14:paraId="0AF1D9E4">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w:t>
      </w:r>
      <w:r>
        <w:rPr>
          <w:rFonts w:ascii="宋体" w:hAnsi="宋体"/>
          <w:color w:val="000000" w:themeColor="text1"/>
          <w:sz w:val="28"/>
          <w:szCs w:val="28"/>
          <w14:textFill>
            <w14:solidFill>
              <w14:schemeClr w14:val="tx1"/>
            </w14:solidFill>
          </w14:textFill>
        </w:rPr>
        <w:t>4</w:t>
      </w: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14:textFill>
            <w14:solidFill>
              <w14:schemeClr w14:val="tx1"/>
            </w14:solidFill>
          </w14:textFill>
        </w:rPr>
        <w:t xml:space="preserve">2  </w:t>
      </w:r>
      <w:r>
        <w:rPr>
          <w:rFonts w:hint="eastAsia" w:ascii="宋体" w:hAnsi="宋体"/>
          <w:color w:val="000000" w:themeColor="text1"/>
          <w:sz w:val="28"/>
          <w:szCs w:val="28"/>
          <w14:textFill>
            <w14:solidFill>
              <w14:schemeClr w14:val="tx1"/>
            </w14:solidFill>
          </w14:textFill>
        </w:rPr>
        <w:t>建筑局部改造工程包含现行国家标准《建筑防火通用规范》</w:t>
      </w:r>
      <w:r>
        <w:rPr>
          <w:rFonts w:ascii="宋体" w:hAnsi="宋体"/>
          <w:color w:val="000000" w:themeColor="text1"/>
          <w:sz w:val="28"/>
          <w:szCs w:val="28"/>
          <w14:textFill>
            <w14:solidFill>
              <w14:schemeClr w14:val="tx1"/>
            </w14:solidFill>
          </w14:textFill>
        </w:rPr>
        <w:t>GB55037</w:t>
      </w:r>
      <w:r>
        <w:rPr>
          <w:rFonts w:hint="eastAsia" w:ascii="宋体" w:hAnsi="宋体"/>
          <w:color w:val="000000" w:themeColor="text1"/>
          <w:sz w:val="28"/>
          <w:szCs w:val="28"/>
          <w14:textFill>
            <w14:solidFill>
              <w14:schemeClr w14:val="tx1"/>
            </w14:solidFill>
          </w14:textFill>
        </w:rPr>
        <w:t>第</w:t>
      </w:r>
      <w:r>
        <w:rPr>
          <w:rFonts w:ascii="宋体" w:hAnsi="宋体"/>
          <w:color w:val="000000" w:themeColor="text1"/>
          <w:sz w:val="28"/>
          <w:szCs w:val="28"/>
          <w14:textFill>
            <w14:solidFill>
              <w14:schemeClr w14:val="tx1"/>
            </w14:solidFill>
          </w14:textFill>
        </w:rPr>
        <w:t>8.1.8</w:t>
      </w:r>
      <w:r>
        <w:rPr>
          <w:rFonts w:hint="eastAsia" w:ascii="宋体" w:hAnsi="宋体"/>
          <w:color w:val="000000" w:themeColor="text1"/>
          <w:sz w:val="28"/>
          <w:szCs w:val="28"/>
          <w14:textFill>
            <w14:solidFill>
              <w14:schemeClr w14:val="tx1"/>
            </w14:solidFill>
          </w14:textFill>
        </w:rPr>
        <w:t>条第</w:t>
      </w:r>
      <w:r>
        <w:rPr>
          <w:rFonts w:ascii="宋体" w:hAnsi="宋体"/>
          <w:color w:val="000000" w:themeColor="text1"/>
          <w:sz w:val="28"/>
          <w:szCs w:val="28"/>
          <w14:textFill>
            <w14:solidFill>
              <w14:schemeClr w14:val="tx1"/>
            </w14:solidFill>
          </w14:textFill>
        </w:rPr>
        <w:t>5</w:t>
      </w:r>
      <w:r>
        <w:rPr>
          <w:rFonts w:hint="eastAsia" w:ascii="宋体" w:hAnsi="宋体"/>
          <w:color w:val="000000" w:themeColor="text1"/>
          <w:sz w:val="28"/>
          <w:szCs w:val="28"/>
          <w14:textFill>
            <w14:solidFill>
              <w14:schemeClr w14:val="tx1"/>
            </w14:solidFill>
          </w14:textFill>
        </w:rPr>
        <w:t>、6、7、8款提及的面积和功能要求时，依据本标准第3</w:t>
      </w:r>
      <w:r>
        <w:rPr>
          <w:rFonts w:ascii="宋体" w:hAnsi="宋体"/>
          <w:color w:val="000000" w:themeColor="text1"/>
          <w:sz w:val="28"/>
          <w:szCs w:val="28"/>
          <w14:textFill>
            <w14:solidFill>
              <w14:schemeClr w14:val="tx1"/>
            </w14:solidFill>
          </w14:textFill>
        </w:rPr>
        <w:t>.0</w:t>
      </w: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14:textFill>
            <w14:solidFill>
              <w14:schemeClr w14:val="tx1"/>
            </w14:solidFill>
          </w14:textFill>
        </w:rPr>
        <w:t>1</w:t>
      </w:r>
      <w:r>
        <w:rPr>
          <w:rFonts w:hint="eastAsia" w:ascii="宋体" w:hAnsi="宋体"/>
          <w:color w:val="000000" w:themeColor="text1"/>
          <w:sz w:val="28"/>
          <w:szCs w:val="28"/>
          <w14:textFill>
            <w14:solidFill>
              <w14:schemeClr w14:val="tx1"/>
            </w14:solidFill>
          </w14:textFill>
        </w:rPr>
        <w:t>条，改造工程的使用人流集中，不熟悉路径，具有自主疏散能力，属于</w:t>
      </w:r>
      <w:r>
        <w:rPr>
          <w:rFonts w:ascii="宋体" w:hAnsi="宋体"/>
          <w:color w:val="000000" w:themeColor="text1"/>
          <w:sz w:val="28"/>
          <w:szCs w:val="28"/>
          <w14:textFill>
            <w14:solidFill>
              <w14:schemeClr w14:val="tx1"/>
            </w14:solidFill>
          </w14:textFill>
        </w:rPr>
        <w:t>C</w:t>
      </w:r>
      <w:r>
        <w:rPr>
          <w:rFonts w:hint="eastAsia" w:ascii="宋体" w:hAnsi="宋体"/>
          <w:color w:val="000000" w:themeColor="text1"/>
          <w:sz w:val="28"/>
          <w:szCs w:val="28"/>
          <w14:textFill>
            <w14:solidFill>
              <w14:schemeClr w14:val="tx1"/>
            </w14:solidFill>
          </w14:textFill>
        </w:rPr>
        <w:t>或E类别时，需增设自动喷水灭火系统。</w:t>
      </w:r>
    </w:p>
    <w:p w14:paraId="3A2A6054">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w:t>
      </w:r>
      <w:r>
        <w:rPr>
          <w:rFonts w:ascii="宋体" w:hAnsi="宋体"/>
          <w:color w:val="000000" w:themeColor="text1"/>
          <w:sz w:val="28"/>
          <w:szCs w:val="28"/>
          <w14:textFill>
            <w14:solidFill>
              <w14:schemeClr w14:val="tx1"/>
            </w14:solidFill>
          </w14:textFill>
        </w:rPr>
        <w:t xml:space="preserve">.4.3  </w:t>
      </w:r>
      <w:r>
        <w:rPr>
          <w:rFonts w:hint="eastAsia" w:ascii="宋体" w:hAnsi="宋体"/>
          <w:color w:val="000000" w:themeColor="text1"/>
          <w:sz w:val="28"/>
          <w:szCs w:val="28"/>
          <w14:textFill>
            <w14:solidFill>
              <w14:schemeClr w14:val="tx1"/>
            </w14:solidFill>
          </w14:textFill>
        </w:rPr>
        <w:t>本条适用于原建筑无自动喷水灭火系统的局部改造工程，当局部改造区域需增设自动喷水灭火系统</w:t>
      </w:r>
      <w:bookmarkStart w:id="216" w:name="_Hlk141448670"/>
      <w:r>
        <w:rPr>
          <w:rFonts w:hint="eastAsia" w:ascii="宋体" w:hAnsi="宋体"/>
          <w:color w:val="000000" w:themeColor="text1"/>
          <w:sz w:val="28"/>
          <w:szCs w:val="28"/>
          <w14:textFill>
            <w14:solidFill>
              <w14:schemeClr w14:val="tx1"/>
            </w14:solidFill>
          </w14:textFill>
        </w:rPr>
        <w:t>且满足现行国家标准《自动喷水灭火系统设计规范》G</w:t>
      </w:r>
      <w:r>
        <w:rPr>
          <w:rFonts w:ascii="宋体" w:hAnsi="宋体"/>
          <w:color w:val="000000" w:themeColor="text1"/>
          <w:sz w:val="28"/>
          <w:szCs w:val="28"/>
          <w14:textFill>
            <w14:solidFill>
              <w14:schemeClr w14:val="tx1"/>
            </w14:solidFill>
          </w14:textFill>
        </w:rPr>
        <w:t>B50084</w:t>
      </w: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14:textFill>
            <w14:solidFill>
              <w14:schemeClr w14:val="tx1"/>
            </w14:solidFill>
          </w14:textFill>
        </w:rPr>
        <w:t>2017</w:t>
      </w:r>
      <w:r>
        <w:rPr>
          <w:rFonts w:hint="eastAsia" w:ascii="宋体" w:hAnsi="宋体"/>
          <w:color w:val="000000" w:themeColor="text1"/>
          <w:sz w:val="28"/>
          <w:szCs w:val="28"/>
          <w14:textFill>
            <w14:solidFill>
              <w14:schemeClr w14:val="tx1"/>
            </w14:solidFill>
          </w14:textFill>
        </w:rPr>
        <w:t>第1</w:t>
      </w:r>
      <w:r>
        <w:rPr>
          <w:rFonts w:ascii="宋体" w:hAnsi="宋体"/>
          <w:color w:val="000000" w:themeColor="text1"/>
          <w:sz w:val="28"/>
          <w:szCs w:val="28"/>
          <w14:textFill>
            <w14:solidFill>
              <w14:schemeClr w14:val="tx1"/>
            </w14:solidFill>
          </w14:textFill>
        </w:rPr>
        <w:t>2.0.1</w:t>
      </w:r>
      <w:r>
        <w:rPr>
          <w:rFonts w:hint="eastAsia" w:ascii="宋体" w:hAnsi="宋体"/>
          <w:color w:val="000000" w:themeColor="text1"/>
          <w:sz w:val="28"/>
          <w:szCs w:val="28"/>
          <w14:textFill>
            <w14:solidFill>
              <w14:schemeClr w14:val="tx1"/>
            </w14:solidFill>
          </w14:textFill>
        </w:rPr>
        <w:t>条局部应用系统要求时，可在改造区域设置局部应用自动喷水灭火系统。</w:t>
      </w:r>
    </w:p>
    <w:bookmarkEnd w:id="216"/>
    <w:p w14:paraId="0367B8F1">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5.4.4</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当净空高度大于1</w:t>
      </w:r>
      <w:r>
        <w:rPr>
          <w:rFonts w:ascii="宋体" w:hAnsi="宋体"/>
          <w:color w:val="000000" w:themeColor="text1"/>
          <w:sz w:val="28"/>
          <w:szCs w:val="28"/>
          <w14:textFill>
            <w14:solidFill>
              <w14:schemeClr w14:val="tx1"/>
            </w14:solidFill>
          </w14:textFill>
        </w:rPr>
        <w:t>2m</w:t>
      </w:r>
      <w:r>
        <w:rPr>
          <w:rFonts w:hint="eastAsia" w:ascii="宋体" w:hAnsi="宋体"/>
          <w:color w:val="000000" w:themeColor="text1"/>
          <w:sz w:val="28"/>
          <w:szCs w:val="28"/>
          <w14:textFill>
            <w14:solidFill>
              <w14:schemeClr w14:val="tx1"/>
            </w14:solidFill>
          </w14:textFill>
        </w:rPr>
        <w:t>，如按现行国家标准《自动喷水灭火系统设计规范》G</w:t>
      </w:r>
      <w:r>
        <w:rPr>
          <w:rFonts w:ascii="宋体" w:hAnsi="宋体"/>
          <w:color w:val="000000" w:themeColor="text1"/>
          <w:sz w:val="28"/>
          <w:szCs w:val="28"/>
          <w14:textFill>
            <w14:solidFill>
              <w14:schemeClr w14:val="tx1"/>
            </w14:solidFill>
          </w14:textFill>
        </w:rPr>
        <w:t>B50084</w:t>
      </w: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14:textFill>
            <w14:solidFill>
              <w14:schemeClr w14:val="tx1"/>
            </w14:solidFill>
          </w14:textFill>
        </w:rPr>
        <w:t>2017</w:t>
      </w:r>
      <w:r>
        <w:rPr>
          <w:rFonts w:hint="eastAsia" w:ascii="宋体" w:hAnsi="宋体"/>
          <w:color w:val="000000" w:themeColor="text1"/>
          <w:sz w:val="28"/>
          <w:szCs w:val="28"/>
          <w14:textFill>
            <w14:solidFill>
              <w14:schemeClr w14:val="tx1"/>
            </w14:solidFill>
          </w14:textFill>
        </w:rPr>
        <w:t>第5</w:t>
      </w:r>
      <w:r>
        <w:rPr>
          <w:rFonts w:ascii="宋体" w:hAnsi="宋体"/>
          <w:color w:val="000000" w:themeColor="text1"/>
          <w:sz w:val="28"/>
          <w:szCs w:val="28"/>
          <w14:textFill>
            <w14:solidFill>
              <w14:schemeClr w14:val="tx1"/>
            </w14:solidFill>
          </w14:textFill>
        </w:rPr>
        <w:t>.0</w:t>
      </w: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条设置</w:t>
      </w:r>
      <w:bookmarkStart w:id="217" w:name="_Hlk141348727"/>
      <w:r>
        <w:rPr>
          <w:rFonts w:hint="eastAsia" w:ascii="宋体" w:hAnsi="宋体"/>
          <w:color w:val="000000" w:themeColor="text1"/>
          <w:sz w:val="28"/>
          <w:szCs w:val="28"/>
          <w14:textFill>
            <w14:solidFill>
              <w14:schemeClr w14:val="tx1"/>
            </w14:solidFill>
          </w14:textFill>
        </w:rPr>
        <w:t>自动喷水灭火系统</w:t>
      </w:r>
      <w:bookmarkEnd w:id="217"/>
      <w:r>
        <w:rPr>
          <w:rFonts w:hint="eastAsia" w:ascii="宋体" w:hAnsi="宋体"/>
          <w:color w:val="000000" w:themeColor="text1"/>
          <w:sz w:val="28"/>
          <w:szCs w:val="28"/>
          <w14:textFill>
            <w14:solidFill>
              <w14:schemeClr w14:val="tx1"/>
            </w14:solidFill>
          </w14:textFill>
        </w:rPr>
        <w:t>时，消防水量会大幅增加，无疑会增加消防设施及消防水池容积的改造难度，可采用自动跟踪定位射流喷水灭火系统降低改造难度，新建建筑中也有类似做法。</w:t>
      </w:r>
    </w:p>
    <w:p w14:paraId="5AAD2FB6">
      <w:pPr>
        <w:pStyle w:val="3"/>
        <w:spacing w:line="360" w:lineRule="auto"/>
        <w:rPr>
          <w:rFonts w:ascii="宋体" w:hAnsi="宋体"/>
          <w:sz w:val="28"/>
          <w:szCs w:val="28"/>
        </w:rPr>
      </w:pPr>
      <w:bookmarkStart w:id="218" w:name="_Toc151061883"/>
      <w:bookmarkStart w:id="219" w:name="_Toc151062865"/>
      <w:bookmarkStart w:id="220" w:name="_Toc151063155"/>
      <w:bookmarkStart w:id="221" w:name="_Toc151063018"/>
      <w:r>
        <w:rPr>
          <w:rFonts w:hint="eastAsia" w:ascii="宋体" w:hAnsi="宋体"/>
          <w:sz w:val="28"/>
          <w:szCs w:val="28"/>
        </w:rPr>
        <w:t>5.5</w:t>
      </w:r>
      <w:r>
        <w:rPr>
          <w:rFonts w:ascii="宋体" w:hAnsi="宋体"/>
          <w:sz w:val="28"/>
          <w:szCs w:val="28"/>
        </w:rPr>
        <w:t xml:space="preserve">  </w:t>
      </w:r>
      <w:r>
        <w:rPr>
          <w:rFonts w:hint="eastAsia" w:ascii="宋体" w:hAnsi="宋体"/>
          <w:sz w:val="28"/>
          <w:szCs w:val="28"/>
        </w:rPr>
        <w:t>防烟与排烟系统</w:t>
      </w:r>
      <w:bookmarkEnd w:id="218"/>
      <w:bookmarkEnd w:id="219"/>
      <w:bookmarkEnd w:id="220"/>
      <w:bookmarkEnd w:id="221"/>
    </w:p>
    <w:p w14:paraId="472F2926">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w:t>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5</w:t>
      </w:r>
      <w:r>
        <w:rPr>
          <w:rFonts w:ascii="宋体" w:hAnsi="宋体"/>
          <w:color w:val="000000" w:themeColor="text1"/>
          <w:sz w:val="28"/>
          <w:szCs w:val="28"/>
          <w14:textFill>
            <w14:solidFill>
              <w14:schemeClr w14:val="tx1"/>
            </w14:solidFill>
          </w14:textFill>
        </w:rPr>
        <w:t xml:space="preserve">.1  </w:t>
      </w:r>
      <w:r>
        <w:rPr>
          <w:rFonts w:hint="eastAsia" w:ascii="宋体" w:hAnsi="宋体"/>
          <w:color w:val="000000" w:themeColor="text1"/>
          <w:sz w:val="28"/>
          <w:szCs w:val="28"/>
          <w14:textFill>
            <w14:solidFill>
              <w14:schemeClr w14:val="tx1"/>
            </w14:solidFill>
          </w14:textFill>
        </w:rPr>
        <w:t>整体改造工程按改造后火灾危险是否增加，规定了防烟和排烟系统设置执行标准的原则。按照表3.0.1的火灾危险分类规定，火灾危险等级越高，人员疏散能力越弱，对防排烟系统的保障性要求越高，因此当改造后火灾危险增加或为F类火灾危险（最高级）时，执行标准的原则应从严，即全部执行现行标准。对于改造后火灾危险未增加的整体改造，除本节规定外，其他应执行现行标准。</w:t>
      </w:r>
    </w:p>
    <w:p w14:paraId="13139D14">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w:t>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5</w:t>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2</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与整体改造相比，局部改造工程的防排烟系统设置要求相对放宽。F类火灾危险场所因人员疏散能力弱，其防排烟系统设置仍须全部执行现行标准，其他局部改造工程，按照改造后火灾危险是否增加，分别规定了执行标准的原则。</w:t>
      </w:r>
    </w:p>
    <w:p w14:paraId="6B176605">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w:t>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5</w:t>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3</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现行国家标准《消防设施通用规范》GB55036第11.2.2条第2款要求剪刀楼梯两个楼梯间的机械加压送风系统应分别独立设置，而原国家标准《高层建筑防火设计规范》GB50045-1995（2005版）第8.3.4条“剪刀楼梯间可合用一个风道，其风量应按二个楼梯间风量计算，送风口应分别设置。”</w:t>
      </w:r>
    </w:p>
    <w:p w14:paraId="5324D178">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既有住宅剪刀楼梯间加压送风大多采用合用风道、风机，风量加倍的系统，当楼梯间土建条件不改造时，无法增加送风竖井，分设系统实施困难，故放宽要求，可维持原系统形式，但加压送风机的风量、风压应符合《建筑防烟排烟系统技术标准》GB51251第3.4.2条、《消防设施通用规范》GB55036第11.1.4、11.2.5条相关规定。</w:t>
      </w:r>
    </w:p>
    <w:p w14:paraId="46788A32">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w:t>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5</w:t>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4</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现行国家标准《建筑防烟排烟系统技术标准》GB51251第3.3.5条、第4.4.5条规定机械加压送风机、排烟风机应设置在专用机房内，原规范标准无相关要求。既有建筑加压送风机、排烟风机与其他风机合用机房、室内吊装或露天设置的情况普遍，改造工程因为限制增加建筑面积，为加压送风机、排烟风机设置专用机房实施困难，因此放宽了相关要求，但对于加压送风机、排烟风机与其他风机合用机房或室内吊装的情形，还应符合《建筑防火通用规范》GB55037第4.1.3条的相关规定，对于露天设置的风机，应为室外机型或设置防雨雪侵蚀罩或防风雨篷等。</w:t>
      </w:r>
    </w:p>
    <w:p w14:paraId="0857FE1C">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w:t>
      </w:r>
      <w:r>
        <w:rPr>
          <w:rFonts w:ascii="宋体" w:hAnsi="宋体"/>
          <w:color w:val="000000" w:themeColor="text1"/>
          <w:sz w:val="28"/>
          <w:szCs w:val="28"/>
          <w14:textFill>
            <w14:solidFill>
              <w14:schemeClr w14:val="tx1"/>
            </w14:solidFill>
          </w14:textFill>
        </w:rPr>
        <w:t>.5.</w:t>
      </w:r>
      <w:r>
        <w:rPr>
          <w:rFonts w:hint="eastAsia" w:ascii="宋体" w:hAnsi="宋体"/>
          <w:color w:val="000000" w:themeColor="text1"/>
          <w:sz w:val="28"/>
          <w:szCs w:val="28"/>
          <w14:textFill>
            <w14:solidFill>
              <w14:schemeClr w14:val="tx1"/>
            </w14:solidFill>
          </w14:textFill>
        </w:rPr>
        <w:t>6</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现行国家标准《建筑防烟排烟系统技术标准》GB51251对中庭及净空高度大于6m场所的排烟量提高了要求，对自然排烟场所的排烟窗开启方式、有效面积计算及安装高度做出了严格规定。改造工程中原自然排烟场所排烟口一般难以满足现行消防技术标准的要求，同时受建筑立面、层高、平面布局等土建条件制约，自然排烟及机械排烟设施改造往往难以实施，因此本条放宽了自然排烟场所的排烟窗开启方式、有效面积计算及安装高度的要求。</w:t>
      </w:r>
    </w:p>
    <w:p w14:paraId="76710096">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w:t>
      </w:r>
      <w:r>
        <w:rPr>
          <w:rFonts w:ascii="宋体" w:hAnsi="宋体"/>
          <w:color w:val="000000" w:themeColor="text1"/>
          <w:sz w:val="28"/>
          <w:szCs w:val="28"/>
          <w14:textFill>
            <w14:solidFill>
              <w14:schemeClr w14:val="tx1"/>
            </w14:solidFill>
          </w14:textFill>
        </w:rPr>
        <w:t>.5.</w:t>
      </w:r>
      <w:r>
        <w:rPr>
          <w:rFonts w:hint="eastAsia" w:ascii="宋体" w:hAnsi="宋体"/>
          <w:color w:val="000000" w:themeColor="text1"/>
          <w:sz w:val="28"/>
          <w:szCs w:val="28"/>
          <w14:textFill>
            <w14:solidFill>
              <w14:schemeClr w14:val="tx1"/>
            </w14:solidFill>
          </w14:textFill>
        </w:rPr>
        <w:t>7</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现行国家标准《建筑防烟排烟系统技术标准》GB51251第4.6.14条规定了每个排烟口最大排烟量宜按照计算公式计算或采用附录B选择。排烟口最大排烟量与房间高度和烟层厚度有关，对于房间高度及烟层厚度均较小的空间，排烟口最大排烟量非常小，所需排烟口数量较多。改造工程吊顶空间复杂，布置过多排烟风口较为困难，故放宽要求，可按《建筑防烟排烟系统技术标准》GB51251第4.4.12条第7款规定的风速计算排烟口的排烟量。</w:t>
      </w:r>
    </w:p>
    <w:p w14:paraId="37F9BC1B">
      <w:pPr>
        <w:pStyle w:val="3"/>
        <w:spacing w:line="360" w:lineRule="auto"/>
        <w:rPr>
          <w:rFonts w:ascii="宋体" w:hAnsi="宋体"/>
          <w:sz w:val="28"/>
          <w:szCs w:val="28"/>
        </w:rPr>
      </w:pPr>
      <w:bookmarkStart w:id="222" w:name="_Toc151063019"/>
      <w:bookmarkStart w:id="223" w:name="_Toc151062866"/>
      <w:bookmarkStart w:id="224" w:name="_Toc151063156"/>
      <w:bookmarkStart w:id="225" w:name="_Toc151061884"/>
      <w:r>
        <w:rPr>
          <w:rFonts w:hint="eastAsia" w:ascii="宋体" w:hAnsi="宋体"/>
          <w:sz w:val="28"/>
          <w:szCs w:val="28"/>
        </w:rPr>
        <w:t>5</w:t>
      </w:r>
      <w:r>
        <w:rPr>
          <w:rFonts w:ascii="宋体" w:hAnsi="宋体"/>
          <w:sz w:val="28"/>
          <w:szCs w:val="28"/>
        </w:rPr>
        <w:t>.</w:t>
      </w:r>
      <w:r>
        <w:rPr>
          <w:rFonts w:hint="eastAsia" w:ascii="宋体" w:hAnsi="宋体"/>
          <w:sz w:val="28"/>
          <w:szCs w:val="28"/>
        </w:rPr>
        <w:t>6</w:t>
      </w:r>
      <w:r>
        <w:rPr>
          <w:rFonts w:ascii="宋体" w:hAnsi="宋体"/>
          <w:sz w:val="28"/>
          <w:szCs w:val="28"/>
        </w:rPr>
        <w:t xml:space="preserve">  火灾自动报警系统</w:t>
      </w:r>
      <w:bookmarkEnd w:id="222"/>
      <w:bookmarkEnd w:id="223"/>
      <w:bookmarkEnd w:id="224"/>
      <w:bookmarkEnd w:id="225"/>
    </w:p>
    <w:p w14:paraId="13A9C9D5">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w:t>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6</w:t>
      </w:r>
      <w:r>
        <w:rPr>
          <w:rFonts w:ascii="宋体" w:hAnsi="宋体"/>
          <w:color w:val="000000" w:themeColor="text1"/>
          <w:sz w:val="28"/>
          <w:szCs w:val="28"/>
          <w14:textFill>
            <w14:solidFill>
              <w14:schemeClr w14:val="tx1"/>
            </w14:solidFill>
          </w14:textFill>
        </w:rPr>
        <w:t>.2  可燃气体探测报警系统应独立组成,可燃气体探测器不应接入火灾报警控制器的探测器回路。当发生火灾时应能自动联锁切断燃气。</w:t>
      </w:r>
    </w:p>
    <w:p w14:paraId="272E08D0">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w:t>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6</w:t>
      </w:r>
      <w:r>
        <w:rPr>
          <w:rFonts w:ascii="宋体" w:hAnsi="宋体"/>
          <w:color w:val="000000" w:themeColor="text1"/>
          <w:sz w:val="28"/>
          <w:szCs w:val="28"/>
          <w14:textFill>
            <w14:solidFill>
              <w14:schemeClr w14:val="tx1"/>
            </w14:solidFill>
          </w14:textFill>
        </w:rPr>
        <w:t>.4  人员属性为E类或F类的</w:t>
      </w:r>
      <w:r>
        <w:rPr>
          <w:rFonts w:hint="eastAsia" w:ascii="宋体" w:hAnsi="宋体"/>
          <w:color w:val="000000" w:themeColor="text1"/>
          <w:sz w:val="28"/>
          <w:szCs w:val="28"/>
          <w14:textFill>
            <w14:solidFill>
              <w14:schemeClr w14:val="tx1"/>
            </w14:solidFill>
          </w14:textFill>
        </w:rPr>
        <w:t>火灾危险</w:t>
      </w:r>
      <w:r>
        <w:rPr>
          <w:rFonts w:ascii="宋体" w:hAnsi="宋体"/>
          <w:color w:val="000000" w:themeColor="text1"/>
          <w:sz w:val="28"/>
          <w:szCs w:val="28"/>
          <w14:textFill>
            <w14:solidFill>
              <w14:schemeClr w14:val="tx1"/>
            </w14:solidFill>
          </w14:textFill>
        </w:rPr>
        <w:t>场所，人员不熟悉疏散路径或无自主疏散能力，设置带有语音提示的火灾声警报器，有助于人员的有序疏散</w:t>
      </w: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14:textFill>
            <w14:solidFill>
              <w14:schemeClr w14:val="tx1"/>
            </w14:solidFill>
          </w14:textFill>
        </w:rPr>
        <w:t>为避免语音不同步造成混乱，应设置语音同步器。</w:t>
      </w:r>
    </w:p>
    <w:p w14:paraId="0F3301DE">
      <w:pPr>
        <w:pStyle w:val="3"/>
        <w:spacing w:line="360" w:lineRule="auto"/>
        <w:rPr>
          <w:rFonts w:ascii="宋体" w:hAnsi="宋体"/>
          <w:szCs w:val="28"/>
        </w:rPr>
      </w:pPr>
      <w:r>
        <w:rPr>
          <w:rFonts w:ascii="宋体" w:hAnsi="宋体"/>
          <w:szCs w:val="28"/>
        </w:rPr>
        <w:br w:type="page"/>
      </w:r>
    </w:p>
    <w:p w14:paraId="4B947D23">
      <w:pPr>
        <w:pStyle w:val="3"/>
        <w:spacing w:line="360" w:lineRule="auto"/>
        <w:rPr>
          <w:sz w:val="36"/>
          <w:szCs w:val="36"/>
        </w:rPr>
      </w:pPr>
      <w:bookmarkStart w:id="226" w:name="_Toc151061885"/>
      <w:bookmarkStart w:id="227" w:name="_Toc151063020"/>
      <w:bookmarkStart w:id="228" w:name="_Toc151062867"/>
      <w:bookmarkStart w:id="229" w:name="_Toc151063157"/>
      <w:r>
        <w:rPr>
          <w:rFonts w:hint="eastAsia"/>
          <w:sz w:val="36"/>
          <w:szCs w:val="36"/>
        </w:rPr>
        <w:t>6</w:t>
      </w:r>
      <w:r>
        <w:rPr>
          <w:sz w:val="36"/>
          <w:szCs w:val="36"/>
        </w:rPr>
        <w:t xml:space="preserve">  消防电气</w:t>
      </w:r>
      <w:bookmarkEnd w:id="226"/>
      <w:bookmarkEnd w:id="227"/>
      <w:bookmarkEnd w:id="228"/>
      <w:bookmarkEnd w:id="229"/>
    </w:p>
    <w:p w14:paraId="468BD417">
      <w:pPr>
        <w:pStyle w:val="3"/>
        <w:spacing w:line="360" w:lineRule="auto"/>
        <w:rPr>
          <w:rFonts w:ascii="宋体" w:hAnsi="宋体"/>
          <w:sz w:val="28"/>
          <w:szCs w:val="28"/>
        </w:rPr>
      </w:pPr>
      <w:bookmarkStart w:id="230" w:name="_Toc151063158"/>
      <w:bookmarkStart w:id="231" w:name="_Toc151063021"/>
      <w:bookmarkStart w:id="232" w:name="_Toc151061886"/>
      <w:bookmarkStart w:id="233" w:name="_Toc151062868"/>
      <w:r>
        <w:rPr>
          <w:rFonts w:hint="eastAsia" w:ascii="宋体" w:hAnsi="宋体"/>
          <w:sz w:val="28"/>
          <w:szCs w:val="28"/>
        </w:rPr>
        <w:t>6</w:t>
      </w:r>
      <w:r>
        <w:rPr>
          <w:rFonts w:ascii="宋体" w:hAnsi="宋体"/>
          <w:sz w:val="28"/>
          <w:szCs w:val="28"/>
        </w:rPr>
        <w:t>.3  非消防电气线路</w:t>
      </w:r>
      <w:bookmarkEnd w:id="230"/>
      <w:bookmarkEnd w:id="231"/>
      <w:bookmarkEnd w:id="232"/>
      <w:bookmarkEnd w:id="233"/>
    </w:p>
    <w:p w14:paraId="52B312AF">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6</w:t>
      </w:r>
      <w:r>
        <w:rPr>
          <w:rFonts w:ascii="宋体" w:hAnsi="宋体"/>
          <w:color w:val="000000" w:themeColor="text1"/>
          <w:sz w:val="28"/>
          <w:szCs w:val="28"/>
          <w14:textFill>
            <w14:solidFill>
              <w14:schemeClr w14:val="tx1"/>
            </w14:solidFill>
          </w14:textFill>
        </w:rPr>
        <w:t>.3.2  为了有效防范电气火灾的发生，提出对非消防配电回路应根据现行消防技术标准设置电气火灾监控系统或装置的要求。电气火灾监控报警器应 具有联网用的通讯接口，其位置可设在消防控制室，也可设置在有人值班的场所。当改造区域的上一级配电系统设有电气火灾监控系统或装置，且根据消防安全</w:t>
      </w:r>
      <w:r>
        <w:rPr>
          <w:rFonts w:hint="eastAsia" w:ascii="宋体" w:hAnsi="宋体"/>
          <w:color w:val="000000" w:themeColor="text1"/>
          <w:sz w:val="28"/>
          <w:szCs w:val="28"/>
          <w14:textFill>
            <w14:solidFill>
              <w14:schemeClr w14:val="tx1"/>
            </w14:solidFill>
          </w14:textFill>
        </w:rPr>
        <w:t>评价</w:t>
      </w:r>
      <w:r>
        <w:rPr>
          <w:rFonts w:ascii="宋体" w:hAnsi="宋体"/>
          <w:color w:val="000000" w:themeColor="text1"/>
          <w:sz w:val="28"/>
          <w:szCs w:val="28"/>
          <w14:textFill>
            <w14:solidFill>
              <w14:schemeClr w14:val="tx1"/>
            </w14:solidFill>
          </w14:textFill>
        </w:rPr>
        <w:t>的结果确定本区域可以满足现行消防技术标准要求时，改造区域内可不重复设置电气火灾监控系统或装置，但应在《消防安全</w:t>
      </w:r>
      <w:r>
        <w:rPr>
          <w:rFonts w:hint="eastAsia" w:ascii="宋体" w:hAnsi="宋体"/>
          <w:color w:val="000000" w:themeColor="text1"/>
          <w:sz w:val="28"/>
          <w:szCs w:val="28"/>
          <w14:textFill>
            <w14:solidFill>
              <w14:schemeClr w14:val="tx1"/>
            </w14:solidFill>
          </w14:textFill>
        </w:rPr>
        <w:t>评价</w:t>
      </w:r>
      <w:r>
        <w:rPr>
          <w:rFonts w:ascii="宋体" w:hAnsi="宋体"/>
          <w:color w:val="000000" w:themeColor="text1"/>
          <w:sz w:val="28"/>
          <w:szCs w:val="28"/>
          <w14:textFill>
            <w14:solidFill>
              <w14:schemeClr w14:val="tx1"/>
            </w14:solidFill>
          </w14:textFill>
        </w:rPr>
        <w:t>报告》或设计说明中予以说明。</w:t>
      </w:r>
      <w:bookmarkStart w:id="234" w:name="bookmark29"/>
      <w:bookmarkEnd w:id="234"/>
      <w:bookmarkStart w:id="235" w:name="bookmark28"/>
      <w:bookmarkEnd w:id="235"/>
    </w:p>
    <w:p w14:paraId="115ECAD6">
      <w:pPr>
        <w:pStyle w:val="3"/>
        <w:spacing w:line="360" w:lineRule="auto"/>
        <w:rPr>
          <w:rFonts w:ascii="宋体" w:hAnsi="宋体"/>
          <w:szCs w:val="28"/>
        </w:rPr>
      </w:pPr>
      <w:r>
        <w:rPr>
          <w:rFonts w:ascii="宋体" w:hAnsi="宋体"/>
          <w:szCs w:val="28"/>
        </w:rPr>
        <w:br w:type="page"/>
      </w:r>
    </w:p>
    <w:p w14:paraId="2B869415">
      <w:pPr>
        <w:pStyle w:val="3"/>
        <w:spacing w:line="360" w:lineRule="auto"/>
        <w:rPr>
          <w:sz w:val="36"/>
          <w:szCs w:val="36"/>
        </w:rPr>
      </w:pPr>
      <w:bookmarkStart w:id="236" w:name="_Toc151063159"/>
      <w:bookmarkStart w:id="237" w:name="_Toc151061887"/>
      <w:bookmarkStart w:id="238" w:name="_Toc151062869"/>
      <w:bookmarkStart w:id="239" w:name="_Toc151063022"/>
      <w:r>
        <w:rPr>
          <w:rFonts w:hint="eastAsia"/>
          <w:sz w:val="36"/>
          <w:szCs w:val="36"/>
        </w:rPr>
        <w:t xml:space="preserve">7 </w:t>
      </w:r>
      <w:r>
        <w:rPr>
          <w:sz w:val="36"/>
          <w:szCs w:val="36"/>
        </w:rPr>
        <w:t xml:space="preserve"> </w:t>
      </w:r>
      <w:r>
        <w:rPr>
          <w:rFonts w:hint="eastAsia"/>
          <w:sz w:val="36"/>
          <w:szCs w:val="36"/>
        </w:rPr>
        <w:t>平房院落</w:t>
      </w:r>
      <w:bookmarkEnd w:id="236"/>
      <w:bookmarkEnd w:id="237"/>
      <w:bookmarkEnd w:id="238"/>
      <w:bookmarkEnd w:id="239"/>
    </w:p>
    <w:p w14:paraId="11DD8AE9">
      <w:pPr>
        <w:pStyle w:val="3"/>
        <w:spacing w:line="360" w:lineRule="auto"/>
        <w:rPr>
          <w:rFonts w:ascii="宋体" w:hAnsi="宋体"/>
          <w:sz w:val="28"/>
          <w:szCs w:val="28"/>
        </w:rPr>
      </w:pPr>
      <w:bookmarkStart w:id="240" w:name="_Toc151063160"/>
      <w:bookmarkStart w:id="241" w:name="_Toc151061888"/>
      <w:bookmarkStart w:id="242" w:name="_Toc151062870"/>
      <w:bookmarkStart w:id="243" w:name="_Toc151063023"/>
      <w:r>
        <w:rPr>
          <w:rFonts w:hint="eastAsia" w:ascii="宋体" w:hAnsi="宋体"/>
          <w:sz w:val="28"/>
          <w:szCs w:val="28"/>
        </w:rPr>
        <w:t>7.</w:t>
      </w:r>
      <w:r>
        <w:rPr>
          <w:rFonts w:ascii="宋体" w:hAnsi="宋体"/>
          <w:sz w:val="28"/>
          <w:szCs w:val="28"/>
        </w:rPr>
        <w:t xml:space="preserve">1  </w:t>
      </w:r>
      <w:r>
        <w:rPr>
          <w:rFonts w:hint="eastAsia" w:ascii="宋体" w:hAnsi="宋体"/>
          <w:sz w:val="28"/>
          <w:szCs w:val="28"/>
        </w:rPr>
        <w:t>平房区</w:t>
      </w:r>
      <w:bookmarkEnd w:id="240"/>
      <w:bookmarkEnd w:id="241"/>
      <w:bookmarkEnd w:id="242"/>
      <w:bookmarkEnd w:id="243"/>
    </w:p>
    <w:p w14:paraId="3AF380FC">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7.</w:t>
      </w:r>
      <w:r>
        <w:rPr>
          <w:rFonts w:ascii="宋体" w:hAnsi="宋体"/>
          <w:color w:val="000000" w:themeColor="text1"/>
          <w:sz w:val="28"/>
          <w:szCs w:val="28"/>
          <w14:textFill>
            <w14:solidFill>
              <w14:schemeClr w14:val="tx1"/>
            </w14:solidFill>
          </w14:textFill>
        </w:rPr>
        <w:t>1</w:t>
      </w:r>
      <w:r>
        <w:rPr>
          <w:rFonts w:hint="eastAsia" w:ascii="宋体" w:hAnsi="宋体"/>
          <w:color w:val="000000" w:themeColor="text1"/>
          <w:sz w:val="28"/>
          <w:szCs w:val="28"/>
          <w14:textFill>
            <w14:solidFill>
              <w14:schemeClr w14:val="tx1"/>
            </w14:solidFill>
          </w14:textFill>
        </w:rPr>
        <w:t>.1</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《建筑设计防火规范》GB50016规定，街区道路中心线间的距离不宜大于160m，意味着单侧实施灭火救援的距离控制在8</w:t>
      </w:r>
      <w:r>
        <w:rPr>
          <w:rFonts w:ascii="宋体" w:hAnsi="宋体"/>
          <w:color w:val="000000" w:themeColor="text1"/>
          <w:sz w:val="28"/>
          <w:szCs w:val="28"/>
          <w14:textFill>
            <w14:solidFill>
              <w14:schemeClr w14:val="tx1"/>
            </w14:solidFill>
          </w14:textFill>
        </w:rPr>
        <w:t>0</w:t>
      </w:r>
      <w:r>
        <w:rPr>
          <w:rFonts w:hint="eastAsia" w:ascii="宋体" w:hAnsi="宋体"/>
          <w:color w:val="000000" w:themeColor="text1"/>
          <w:sz w:val="28"/>
          <w:szCs w:val="28"/>
          <w14:textFill>
            <w14:solidFill>
              <w14:schemeClr w14:val="tx1"/>
            </w14:solidFill>
          </w14:textFill>
        </w:rPr>
        <w:t>m左右比较好。基于此，提出本条的要求。大型的胡同区在整体更新时，应对内部的消防车道和其他可供消防车通行的道路进行统一规划，打通断头路，确保各区域的消防可达性。</w:t>
      </w:r>
    </w:p>
    <w:p w14:paraId="549B52A8">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由于平房区的平房院落除对胡同开门之外，与其他方向相邻的院落之间互相不通，因此，尚需要考虑灭火救援时，实际水带的铺设路径。当绕行距离过远时，建议在在院落之间设置消防水带穿越孔，减小水带铺设长度。</w:t>
      </w:r>
    </w:p>
    <w:p w14:paraId="1B0DA1B8">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当受限于客观条件，内部的最远点距离消防车道超过80m时，应采取补充性措施。沿胡同设置室外消火栓时，由于消防车难以靠近，消火栓的供水压力可能难以满足远处的灭火要求，因此，对室外消火栓的保护半径减小为6</w:t>
      </w:r>
      <w:r>
        <w:rPr>
          <w:rFonts w:ascii="宋体" w:hAnsi="宋体"/>
          <w:color w:val="000000" w:themeColor="text1"/>
          <w:sz w:val="28"/>
          <w:szCs w:val="28"/>
          <w14:textFill>
            <w14:solidFill>
              <w14:schemeClr w14:val="tx1"/>
            </w14:solidFill>
          </w14:textFill>
        </w:rPr>
        <w:t>0</w:t>
      </w:r>
      <w:r>
        <w:rPr>
          <w:rFonts w:hint="eastAsia" w:ascii="宋体" w:hAnsi="宋体"/>
          <w:color w:val="000000" w:themeColor="text1"/>
          <w:sz w:val="28"/>
          <w:szCs w:val="28"/>
          <w14:textFill>
            <w14:solidFill>
              <w14:schemeClr w14:val="tx1"/>
            </w14:solidFill>
          </w14:textFill>
        </w:rPr>
        <w:t>m。当难以设置室外消火栓时，也可铺设供水干管，利用消防车在市政道路边为胡同区内部提供灭火水源。</w:t>
      </w:r>
    </w:p>
    <w:p w14:paraId="35643E41">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7.</w:t>
      </w:r>
      <w:r>
        <w:rPr>
          <w:rFonts w:ascii="宋体" w:hAnsi="宋体"/>
          <w:color w:val="000000" w:themeColor="text1"/>
          <w:sz w:val="28"/>
          <w:szCs w:val="28"/>
          <w14:textFill>
            <w14:solidFill>
              <w14:schemeClr w14:val="tx1"/>
            </w14:solidFill>
          </w14:textFill>
        </w:rPr>
        <w:t>1</w:t>
      </w:r>
      <w:r>
        <w:rPr>
          <w:rFonts w:hint="eastAsia" w:ascii="宋体" w:hAnsi="宋体"/>
          <w:color w:val="000000" w:themeColor="text1"/>
          <w:sz w:val="28"/>
          <w:szCs w:val="28"/>
          <w14:textFill>
            <w14:solidFill>
              <w14:schemeClr w14:val="tx1"/>
            </w14:solidFill>
          </w14:textFill>
        </w:rPr>
        <w:t>.2  根据目前调研的几个历史街区的情况来看，在完全不改变现有胡同格局的情况下，难以通过设置隔离带的方式划分防火控制区。通过对既有的几个平房区的整理情况来看，前门草厂三条</w:t>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十条地区，以≥</w:t>
      </w:r>
      <w:r>
        <w:rPr>
          <w:rFonts w:ascii="宋体" w:hAnsi="宋体"/>
          <w:color w:val="000000" w:themeColor="text1"/>
          <w:sz w:val="28"/>
          <w:szCs w:val="28"/>
          <w14:textFill>
            <w14:solidFill>
              <w14:schemeClr w14:val="tx1"/>
            </w14:solidFill>
          </w14:textFill>
        </w:rPr>
        <w:t>6</w:t>
      </w:r>
      <w:r>
        <w:rPr>
          <w:rFonts w:hint="eastAsia" w:ascii="宋体" w:hAnsi="宋体"/>
          <w:color w:val="000000" w:themeColor="text1"/>
          <w:sz w:val="28"/>
          <w:szCs w:val="28"/>
          <w14:textFill>
            <w14:solidFill>
              <w14:schemeClr w14:val="tx1"/>
            </w14:solidFill>
          </w14:textFill>
        </w:rPr>
        <w:t>m街道围成的区域占地面积约为1</w:t>
      </w:r>
      <w:r>
        <w:rPr>
          <w:rFonts w:ascii="宋体" w:hAnsi="宋体"/>
          <w:color w:val="000000" w:themeColor="text1"/>
          <w:sz w:val="28"/>
          <w:szCs w:val="28"/>
          <w14:textFill>
            <w14:solidFill>
              <w14:schemeClr w14:val="tx1"/>
            </w14:solidFill>
          </w14:textFill>
        </w:rPr>
        <w:t>4</w:t>
      </w:r>
      <w:r>
        <w:rPr>
          <w:rFonts w:hint="eastAsia" w:ascii="宋体" w:hAnsi="宋体"/>
          <w:color w:val="000000" w:themeColor="text1"/>
          <w:sz w:val="28"/>
          <w:szCs w:val="28"/>
          <w14:textFill>
            <w14:solidFill>
              <w14:schemeClr w14:val="tx1"/>
            </w14:solidFill>
          </w14:textFill>
        </w:rPr>
        <w:t>万平方米，建国门街道西总布街区，以≥</w:t>
      </w:r>
      <w:r>
        <w:rPr>
          <w:rFonts w:ascii="宋体" w:hAnsi="宋体"/>
          <w:color w:val="000000" w:themeColor="text1"/>
          <w:sz w:val="28"/>
          <w:szCs w:val="28"/>
          <w14:textFill>
            <w14:solidFill>
              <w14:schemeClr w14:val="tx1"/>
            </w14:solidFill>
          </w14:textFill>
        </w:rPr>
        <w:t>6</w:t>
      </w:r>
      <w:r>
        <w:rPr>
          <w:rFonts w:hint="eastAsia" w:ascii="宋体" w:hAnsi="宋体"/>
          <w:color w:val="000000" w:themeColor="text1"/>
          <w:sz w:val="28"/>
          <w:szCs w:val="28"/>
          <w14:textFill>
            <w14:solidFill>
              <w14:schemeClr w14:val="tx1"/>
            </w14:solidFill>
          </w14:textFill>
        </w:rPr>
        <w:t>m街道围成的总规模约为2</w:t>
      </w:r>
      <w:r>
        <w:rPr>
          <w:rFonts w:ascii="宋体" w:hAnsi="宋体"/>
          <w:color w:val="000000" w:themeColor="text1"/>
          <w:sz w:val="28"/>
          <w:szCs w:val="28"/>
          <w14:textFill>
            <w14:solidFill>
              <w14:schemeClr w14:val="tx1"/>
            </w14:solidFill>
          </w14:textFill>
        </w:rPr>
        <w:t>3.7</w:t>
      </w:r>
      <w:r>
        <w:rPr>
          <w:rFonts w:hint="eastAsia" w:ascii="宋体" w:hAnsi="宋体"/>
          <w:color w:val="000000" w:themeColor="text1"/>
          <w:sz w:val="28"/>
          <w:szCs w:val="28"/>
          <w14:textFill>
            <w14:solidFill>
              <w14:schemeClr w14:val="tx1"/>
            </w14:solidFill>
          </w14:textFill>
        </w:rPr>
        <w:t>万平方米。在完全保存现状胡同肌理和尺度的情况下，难以在区域内部设置6m宽的防火隔离带。因此，本条的要求为宜，建议尽量将院落的背墙和侧墙提升为防火墙，即便不能形成连贯设置的防火墙和完整划分的“防火控制区”，也可以极大提升区域的防止火灾蔓延的能力。</w:t>
      </w:r>
    </w:p>
    <w:p w14:paraId="7DDBBD28">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7.</w:t>
      </w:r>
      <w:r>
        <w:rPr>
          <w:rFonts w:ascii="宋体" w:hAnsi="宋体"/>
          <w:color w:val="000000" w:themeColor="text1"/>
          <w:sz w:val="28"/>
          <w:szCs w:val="28"/>
          <w14:textFill>
            <w14:solidFill>
              <w14:schemeClr w14:val="tx1"/>
            </w14:solidFill>
          </w14:textFill>
        </w:rPr>
        <w:t>1</w:t>
      </w:r>
      <w:r>
        <w:rPr>
          <w:rFonts w:hint="eastAsia" w:ascii="宋体" w:hAnsi="宋体"/>
          <w:color w:val="000000" w:themeColor="text1"/>
          <w:sz w:val="28"/>
          <w:szCs w:val="28"/>
          <w14:textFill>
            <w14:solidFill>
              <w14:schemeClr w14:val="tx1"/>
            </w14:solidFill>
          </w14:textFill>
        </w:rPr>
        <w:t>.3</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袋型胡同区可能发生大面积单向疏散的情况。此时，应注意对唯一疏散路径的疏散宽度和疏散安全性进行校核。</w:t>
      </w:r>
    </w:p>
    <w:p w14:paraId="18E00E06">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7.</w:t>
      </w:r>
      <w:r>
        <w:rPr>
          <w:rFonts w:ascii="宋体" w:hAnsi="宋体"/>
          <w:color w:val="000000" w:themeColor="text1"/>
          <w:sz w:val="28"/>
          <w:szCs w:val="28"/>
          <w14:textFill>
            <w14:solidFill>
              <w14:schemeClr w14:val="tx1"/>
            </w14:solidFill>
          </w14:textFill>
        </w:rPr>
        <w:t>1</w:t>
      </w: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14:textFill>
            <w14:solidFill>
              <w14:schemeClr w14:val="tx1"/>
            </w14:solidFill>
          </w14:textFill>
        </w:rPr>
        <w:t xml:space="preserve">4  </w:t>
      </w:r>
      <w:r>
        <w:rPr>
          <w:rFonts w:hint="eastAsia" w:ascii="宋体" w:hAnsi="宋体"/>
          <w:color w:val="000000" w:themeColor="text1"/>
          <w:sz w:val="28"/>
          <w:szCs w:val="28"/>
          <w14:textFill>
            <w14:solidFill>
              <w14:schemeClr w14:val="tx1"/>
            </w14:solidFill>
          </w14:textFill>
        </w:rPr>
        <w:t>胡同道路狭窄，消防车通行困难。因此，应尽量避免在胡同内设置机动车停车位。对共享单车和居民自用的自行车等，应在恰当的位置规划停车位，避免乱停乱放影响胡同的通行能力。</w:t>
      </w:r>
    </w:p>
    <w:p w14:paraId="020F0969">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7.</w:t>
      </w:r>
      <w:r>
        <w:rPr>
          <w:rFonts w:ascii="宋体" w:hAnsi="宋体"/>
          <w:color w:val="000000" w:themeColor="text1"/>
          <w:sz w:val="28"/>
          <w:szCs w:val="28"/>
          <w14:textFill>
            <w14:solidFill>
              <w14:schemeClr w14:val="tx1"/>
            </w14:solidFill>
          </w14:textFill>
        </w:rPr>
        <w:t>1</w:t>
      </w:r>
      <w:r>
        <w:rPr>
          <w:rFonts w:hint="eastAsia" w:ascii="宋体" w:hAnsi="宋体"/>
          <w:color w:val="000000" w:themeColor="text1"/>
          <w:sz w:val="28"/>
          <w:szCs w:val="28"/>
          <w14:textFill>
            <w14:solidFill>
              <w14:schemeClr w14:val="tx1"/>
            </w14:solidFill>
          </w14:textFill>
        </w:rPr>
        <w:t>.5</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平房区缺乏设置消防水池的条件。为了鼓励平房区尽量设置自动灭火系统，提出本条要求。其中，不带消防水池的自动灭火系统，其设计要求可以执行《自动喷水灭火系统设计规范》GB50084中的局部应用系统的相关规定。利用生活供水系统设置的简易式喷淋则不对系统形式、流量和压力等做要求，只需满足《自动喷水灭火系统设计规范》GB50084中喷头布置的相关要求即可。</w:t>
      </w:r>
    </w:p>
    <w:p w14:paraId="1C01C322">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本条中允许对平房区结合安防系统设置火情视频监控系统作为缺乏火灾报警系统时的补充措施。当按设置无线火灾报警系统或独立式火灾探测报警器时，可以视为设置了火灾自动报警系统。消防值班室可以与安防值班室合并设置。</w:t>
      </w:r>
    </w:p>
    <w:p w14:paraId="7DF083A8">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胡同内设置的疏散指示标志应尽量与常用的疏散安全标志一致，可以采用蓄光型标志，其背景颜色和图形符号颜色不符合《</w:t>
      </w:r>
      <w:r>
        <w:fldChar w:fldCharType="begin"/>
      </w:r>
      <w:r>
        <w:instrText xml:space="preserve"> HYPERLINK "https://gf.1190119.com/list-678.htm" </w:instrText>
      </w:r>
      <w:r>
        <w:fldChar w:fldCharType="separate"/>
      </w:r>
      <w:r>
        <w:rPr>
          <w:rFonts w:hint="eastAsia" w:ascii="宋体" w:hAnsi="宋体"/>
          <w:color w:val="000000" w:themeColor="text1"/>
          <w:sz w:val="28"/>
          <w:szCs w:val="28"/>
          <w14:textFill>
            <w14:solidFill>
              <w14:schemeClr w14:val="tx1"/>
            </w14:solidFill>
          </w14:textFill>
        </w:rPr>
        <w:t>消防安全标志 第1部分：标志》GB13495.1-2015</w:t>
      </w:r>
      <w:r>
        <w:rPr>
          <w:rFonts w:hint="eastAsia" w:ascii="宋体" w:hAnsi="宋体"/>
          <w:color w:val="000000" w:themeColor="text1"/>
          <w:sz w:val="28"/>
          <w:szCs w:val="28"/>
          <w14:textFill>
            <w14:solidFill>
              <w14:schemeClr w14:val="tx1"/>
            </w14:solidFill>
          </w14:textFill>
        </w:rPr>
        <w:fldChar w:fldCharType="end"/>
      </w:r>
      <w:r>
        <w:rPr>
          <w:rFonts w:hint="eastAsia" w:ascii="宋体" w:hAnsi="宋体"/>
          <w:color w:val="000000" w:themeColor="text1"/>
          <w:sz w:val="28"/>
          <w:szCs w:val="28"/>
          <w14:textFill>
            <w14:solidFill>
              <w14:schemeClr w14:val="tx1"/>
            </w14:solidFill>
          </w14:textFill>
        </w:rPr>
        <w:t>的相关要求时，宜适当扩大标志的尺寸，以提升可视性。</w:t>
      </w:r>
    </w:p>
    <w:p w14:paraId="4833186E">
      <w:pPr>
        <w:pStyle w:val="3"/>
        <w:spacing w:line="360" w:lineRule="auto"/>
        <w:rPr>
          <w:rFonts w:ascii="宋体" w:hAnsi="宋体"/>
          <w:sz w:val="28"/>
          <w:szCs w:val="28"/>
        </w:rPr>
      </w:pPr>
      <w:bookmarkStart w:id="244" w:name="_Toc151063024"/>
      <w:bookmarkStart w:id="245" w:name="_Toc151063161"/>
      <w:bookmarkStart w:id="246" w:name="_Toc151062871"/>
      <w:bookmarkStart w:id="247" w:name="_Toc151061889"/>
      <w:r>
        <w:rPr>
          <w:rFonts w:hint="eastAsia" w:ascii="宋体" w:hAnsi="宋体"/>
          <w:sz w:val="28"/>
          <w:szCs w:val="28"/>
        </w:rPr>
        <w:t>7.</w:t>
      </w:r>
      <w:r>
        <w:rPr>
          <w:rFonts w:ascii="宋体" w:hAnsi="宋体"/>
          <w:sz w:val="28"/>
          <w:szCs w:val="28"/>
        </w:rPr>
        <w:t>2</w:t>
      </w: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平房院落</w:t>
      </w:r>
      <w:bookmarkEnd w:id="244"/>
      <w:bookmarkEnd w:id="245"/>
      <w:bookmarkEnd w:id="246"/>
      <w:bookmarkEnd w:id="247"/>
    </w:p>
    <w:p w14:paraId="3F7C1362">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7.</w:t>
      </w:r>
      <w:r>
        <w:rPr>
          <w:rFonts w:ascii="宋体" w:hAnsi="宋体"/>
          <w:color w:val="000000" w:themeColor="text1"/>
          <w:sz w:val="28"/>
          <w:szCs w:val="28"/>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.1</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根据《城市消防站建设标准》，我国消防站的建设一般以街道出动指令后5min到达辖区边缘为原则，其中，消防车的行车到场时间为4min。可以根据从附近的消防站至项目所在地区的实际距离和速度估算，其中，考虑到平房区的具体情况，可以采用消防车道的行驶速度为35km/h，其他小型消防摩托的行驶速度不大于20km/h进行计算。</w:t>
      </w:r>
    </w:p>
    <w:p w14:paraId="20B27955">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消防道路与消防装备的对应关系，参考《文物建筑防火设计导则（试行）》可以取为一般消防车道应≥4m，供小型消防车通行的道路宽度应≥3m，供消防摩托车通行的道路宽度应≥2m。</w:t>
      </w:r>
    </w:p>
    <w:p w14:paraId="5228BD61">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当消防车道难以直接靠近平房院落周边时，除按公安部和北京市有关规定设置微型消防站外，宜提升微型消防站的移动能力和灭火能力的建设，如增设小型车辆并在车辆上配备移动式高压细水雾灭火装置、手抬泵等可利于消防员到场操作的工具。详细的配置要求宜和当地消防救援单位协商确定，并制定合适的救火进攻路线和方案。</w:t>
      </w:r>
    </w:p>
    <w:p w14:paraId="68430D8F">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按微型消防站设置可通行于道路宽度≥2</w:t>
      </w:r>
      <w:r>
        <w:rPr>
          <w:rFonts w:ascii="宋体" w:hAnsi="宋体"/>
          <w:color w:val="000000" w:themeColor="text1"/>
          <w:sz w:val="28"/>
          <w:szCs w:val="28"/>
          <w14:textFill>
            <w14:solidFill>
              <w14:schemeClr w14:val="tx1"/>
            </w14:solidFill>
          </w14:textFill>
        </w:rPr>
        <w:t>.0m</w:t>
      </w:r>
      <w:r>
        <w:rPr>
          <w:rFonts w:hint="eastAsia" w:ascii="宋体" w:hAnsi="宋体"/>
          <w:color w:val="000000" w:themeColor="text1"/>
          <w:sz w:val="28"/>
          <w:szCs w:val="28"/>
          <w14:textFill>
            <w14:solidFill>
              <w14:schemeClr w14:val="tx1"/>
            </w14:solidFill>
          </w14:textFill>
        </w:rPr>
        <w:t>的消防摩托为例，取摩托车行驶速度为2</w:t>
      </w:r>
      <w:r>
        <w:rPr>
          <w:rFonts w:ascii="宋体" w:hAnsi="宋体"/>
          <w:color w:val="000000" w:themeColor="text1"/>
          <w:sz w:val="28"/>
          <w:szCs w:val="28"/>
          <w14:textFill>
            <w14:solidFill>
              <w14:schemeClr w14:val="tx1"/>
            </w14:solidFill>
          </w14:textFill>
        </w:rPr>
        <w:t>0km/h</w:t>
      </w:r>
      <w:r>
        <w:rPr>
          <w:rFonts w:hint="eastAsia" w:ascii="宋体" w:hAnsi="宋体"/>
          <w:color w:val="000000" w:themeColor="text1"/>
          <w:sz w:val="28"/>
          <w:szCs w:val="28"/>
          <w14:textFill>
            <w14:solidFill>
              <w14:schemeClr w14:val="tx1"/>
            </w14:solidFill>
          </w14:textFill>
        </w:rPr>
        <w:t>，则4min到达可以覆盖的距离为1</w:t>
      </w:r>
      <w:r>
        <w:rPr>
          <w:rFonts w:ascii="宋体" w:hAnsi="宋体"/>
          <w:color w:val="000000" w:themeColor="text1"/>
          <w:sz w:val="28"/>
          <w:szCs w:val="28"/>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km。</w:t>
      </w:r>
    </w:p>
    <w:p w14:paraId="5205CCD5">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7.</w:t>
      </w:r>
      <w:r>
        <w:rPr>
          <w:rFonts w:ascii="宋体" w:hAnsi="宋体"/>
          <w:color w:val="000000" w:themeColor="text1"/>
          <w:sz w:val="28"/>
          <w:szCs w:val="28"/>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.2</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本条中胡同两侧的建筑的间距取外墙之间的最近距离。当外墙上有局部突出的可燃物（比如木质屋檐或造型）时，应计算至可燃物的外边缘。</w:t>
      </w:r>
    </w:p>
    <w:p w14:paraId="38DF20C8">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7.</w:t>
      </w:r>
      <w:r>
        <w:rPr>
          <w:rFonts w:ascii="宋体" w:hAnsi="宋体"/>
          <w:color w:val="000000" w:themeColor="text1"/>
          <w:sz w:val="28"/>
          <w:szCs w:val="28"/>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14:textFill>
            <w14:solidFill>
              <w14:schemeClr w14:val="tx1"/>
            </w14:solidFill>
          </w14:textFill>
        </w:rPr>
        <w:t xml:space="preserve">7  </w:t>
      </w:r>
      <w:r>
        <w:rPr>
          <w:rFonts w:hint="eastAsia" w:ascii="宋体" w:hAnsi="宋体"/>
          <w:color w:val="000000" w:themeColor="text1"/>
          <w:sz w:val="28"/>
          <w:szCs w:val="28"/>
          <w14:textFill>
            <w14:solidFill>
              <w14:schemeClr w14:val="tx1"/>
            </w14:solidFill>
          </w14:textFill>
        </w:rPr>
        <w:t>民宿指利用私人住宅为消费者提供住宿服务的场所。适用范围为经营用客房数量不超过14个标准间，楼层不超过2层。</w:t>
      </w:r>
    </w:p>
    <w:p w14:paraId="5EF98D54">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7.</w:t>
      </w:r>
      <w:r>
        <w:rPr>
          <w:rFonts w:ascii="宋体" w:hAnsi="宋体"/>
          <w:color w:val="000000" w:themeColor="text1"/>
          <w:sz w:val="28"/>
          <w:szCs w:val="28"/>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.10</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本条说明了平房院的装修与保温材料的设置原则。其中，防止火灾发生的措施包括尽量采用不燃材料或难燃材料，对难燃材料或可燃材料外面覆盖不燃的保护层等；当采用可燃材料时，应注意对可燃材料在适当的位置采用不燃材料进行断开，防止火灾的连续延烧或蔓延。当选用难燃或可燃材料时，应尽量选用燃烧热值低的材料或限制此类材料的用量，以避免进一步扩大火势。</w:t>
      </w:r>
    </w:p>
    <w:p w14:paraId="1F20989F">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7.</w:t>
      </w:r>
      <w:r>
        <w:rPr>
          <w:rFonts w:ascii="宋体" w:hAnsi="宋体"/>
          <w:color w:val="000000" w:themeColor="text1"/>
          <w:sz w:val="28"/>
          <w:szCs w:val="28"/>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14:textFill>
            <w14:solidFill>
              <w14:schemeClr w14:val="tx1"/>
            </w14:solidFill>
          </w14:textFill>
        </w:rPr>
        <w:t>1</w:t>
      </w:r>
      <w:r>
        <w:rPr>
          <w:rFonts w:hint="eastAsia" w:ascii="宋体" w:hAnsi="宋体"/>
          <w:color w:val="000000" w:themeColor="text1"/>
          <w:sz w:val="28"/>
          <w:szCs w:val="28"/>
          <w14:textFill>
            <w14:solidFill>
              <w14:schemeClr w14:val="tx1"/>
            </w14:solidFill>
          </w14:textFill>
        </w:rPr>
        <w:t>5</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独立式感烟火灾探测报警器的选用可以参照《火灾自动报警系统规范》GB50116-2015中住宅建筑火灾自动报警系统以及验收标准中的家用火灾安全系统的相关要求。</w:t>
      </w:r>
    </w:p>
    <w:p w14:paraId="56854C68">
      <w:pPr>
        <w:pStyle w:val="3"/>
        <w:spacing w:line="360" w:lineRule="auto"/>
        <w:rPr>
          <w:rFonts w:ascii="宋体" w:hAnsi="宋体"/>
          <w:sz w:val="28"/>
          <w:szCs w:val="28"/>
        </w:rPr>
      </w:pPr>
      <w:bookmarkStart w:id="248" w:name="_Toc151061890"/>
      <w:bookmarkStart w:id="249" w:name="_Toc151062872"/>
      <w:bookmarkStart w:id="250" w:name="_Toc151063162"/>
      <w:bookmarkStart w:id="251" w:name="_Toc151063025"/>
      <w:r>
        <w:rPr>
          <w:rFonts w:hint="eastAsia" w:ascii="宋体" w:hAnsi="宋体"/>
          <w:sz w:val="28"/>
          <w:szCs w:val="28"/>
        </w:rPr>
        <w:t>7.</w:t>
      </w:r>
      <w:r>
        <w:rPr>
          <w:rFonts w:ascii="宋体" w:hAnsi="宋体"/>
          <w:sz w:val="28"/>
          <w:szCs w:val="28"/>
        </w:rPr>
        <w:t>3</w:t>
      </w: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商业设施</w:t>
      </w:r>
      <w:bookmarkEnd w:id="248"/>
      <w:bookmarkEnd w:id="249"/>
      <w:bookmarkEnd w:id="250"/>
      <w:bookmarkEnd w:id="251"/>
    </w:p>
    <w:p w14:paraId="426EFFDC">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7.</w:t>
      </w:r>
      <w:r>
        <w:rPr>
          <w:rFonts w:ascii="宋体" w:hAnsi="宋体"/>
          <w:color w:val="000000" w:themeColor="text1"/>
          <w:sz w:val="28"/>
          <w:szCs w:val="28"/>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.1</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利用平房院落设置的商业设施应在满足</w:t>
      </w:r>
      <w:r>
        <w:rPr>
          <w:rFonts w:ascii="宋体" w:hAnsi="宋体"/>
          <w:color w:val="000000" w:themeColor="text1"/>
          <w:sz w:val="28"/>
          <w:szCs w:val="28"/>
          <w14:textFill>
            <w14:solidFill>
              <w14:schemeClr w14:val="tx1"/>
            </w14:solidFill>
          </w14:textFill>
        </w:rPr>
        <w:t>7.2</w:t>
      </w:r>
      <w:r>
        <w:rPr>
          <w:rFonts w:hint="eastAsia" w:ascii="宋体" w:hAnsi="宋体"/>
          <w:color w:val="000000" w:themeColor="text1"/>
          <w:sz w:val="28"/>
          <w:szCs w:val="28"/>
          <w14:textFill>
            <w14:solidFill>
              <w14:schemeClr w14:val="tx1"/>
            </w14:solidFill>
          </w14:textFill>
        </w:rPr>
        <w:t>节的有关规定的基础上，同时满足本节的要求。</w:t>
      </w:r>
    </w:p>
    <w:p w14:paraId="504BA3BA">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7.</w:t>
      </w:r>
      <w:r>
        <w:rPr>
          <w:rFonts w:ascii="宋体" w:hAnsi="宋体"/>
          <w:color w:val="000000" w:themeColor="text1"/>
          <w:sz w:val="28"/>
          <w:szCs w:val="28"/>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14:textFill>
            <w14:solidFill>
              <w14:schemeClr w14:val="tx1"/>
            </w14:solidFill>
          </w14:textFill>
        </w:rPr>
        <w:t xml:space="preserve">4  </w:t>
      </w:r>
      <w:r>
        <w:rPr>
          <w:rFonts w:hint="eastAsia" w:ascii="宋体" w:hAnsi="宋体"/>
          <w:color w:val="000000" w:themeColor="text1"/>
          <w:sz w:val="28"/>
          <w:szCs w:val="28"/>
          <w14:textFill>
            <w14:solidFill>
              <w14:schemeClr w14:val="tx1"/>
            </w14:solidFill>
          </w14:textFill>
        </w:rPr>
        <w:t>位于同一个平房院的所有商业设施视为一个商业设施。大型的平房院落当可以划分为若干使用区域，相互之间独立疏散，且防火分隔满足8</w:t>
      </w:r>
      <w:r>
        <w:rPr>
          <w:rFonts w:ascii="宋体" w:hAnsi="宋体"/>
          <w:color w:val="000000" w:themeColor="text1"/>
          <w:sz w:val="28"/>
          <w:szCs w:val="28"/>
          <w14:textFill>
            <w14:solidFill>
              <w14:schemeClr w14:val="tx1"/>
            </w14:solidFill>
          </w14:textFill>
        </w:rPr>
        <w:t>.3.2</w:t>
      </w:r>
      <w:r>
        <w:rPr>
          <w:rFonts w:hint="eastAsia" w:ascii="宋体" w:hAnsi="宋体"/>
          <w:color w:val="000000" w:themeColor="text1"/>
          <w:sz w:val="28"/>
          <w:szCs w:val="28"/>
          <w14:textFill>
            <w14:solidFill>
              <w14:schemeClr w14:val="tx1"/>
            </w14:solidFill>
          </w14:textFill>
        </w:rPr>
        <w:t>条的要求时可以视为不同的商业设施。</w:t>
      </w:r>
    </w:p>
    <w:p w14:paraId="1A817D42">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7.</w:t>
      </w:r>
      <w:r>
        <w:rPr>
          <w:rFonts w:ascii="宋体" w:hAnsi="宋体"/>
          <w:color w:val="000000" w:themeColor="text1"/>
          <w:sz w:val="28"/>
          <w:szCs w:val="28"/>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14:textFill>
            <w14:solidFill>
              <w14:schemeClr w14:val="tx1"/>
            </w14:solidFill>
          </w14:textFill>
        </w:rPr>
        <w:t xml:space="preserve">9  </w:t>
      </w:r>
      <w:r>
        <w:rPr>
          <w:rFonts w:hint="eastAsia" w:ascii="宋体" w:hAnsi="宋体"/>
          <w:color w:val="000000" w:themeColor="text1"/>
          <w:sz w:val="28"/>
          <w:szCs w:val="28"/>
          <w14:textFill>
            <w14:solidFill>
              <w14:schemeClr w14:val="tx1"/>
            </w14:solidFill>
          </w14:textFill>
        </w:rPr>
        <w:t>当下流行的视觉体验、虚拟现实体验以及其他存在黑暗环境、大量的镜面空间等可能影响人员第一时间发现火灾以及快速识别疏散方向。因此，此类功能区必须设置火灾自动探测器以及声光报警系统。</w:t>
      </w:r>
    </w:p>
    <w:p w14:paraId="672C9A23">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7.</w:t>
      </w:r>
      <w:r>
        <w:rPr>
          <w:rFonts w:ascii="宋体" w:hAnsi="宋体"/>
          <w:color w:val="000000" w:themeColor="text1"/>
          <w:sz w:val="28"/>
          <w:szCs w:val="28"/>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14:textFill>
            <w14:solidFill>
              <w14:schemeClr w14:val="tx1"/>
            </w14:solidFill>
          </w14:textFill>
        </w:rPr>
        <w:t xml:space="preserve">10  </w:t>
      </w:r>
      <w:r>
        <w:rPr>
          <w:rFonts w:hint="eastAsia" w:ascii="宋体" w:hAnsi="宋体"/>
          <w:color w:val="000000" w:themeColor="text1"/>
          <w:sz w:val="28"/>
          <w:szCs w:val="28"/>
          <w14:textFill>
            <w14:solidFill>
              <w14:schemeClr w14:val="tx1"/>
            </w14:solidFill>
          </w14:textFill>
        </w:rPr>
        <w:t>当商业设施位于商业集中的区域，且该区域按8</w:t>
      </w:r>
      <w:r>
        <w:rPr>
          <w:rFonts w:ascii="宋体" w:hAnsi="宋体"/>
          <w:color w:val="000000" w:themeColor="text1"/>
          <w:sz w:val="28"/>
          <w:szCs w:val="28"/>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节的有关规定设置有集中的消防供水系统时，宜利用集中的消防供水系统设置自动喷水灭火系统。当不具备属以上条件时，可根据本条的规定为单个商业设施设置简易喷淋。面积不超过1</w:t>
      </w:r>
      <w:r>
        <w:rPr>
          <w:rFonts w:ascii="宋体" w:hAnsi="宋体"/>
          <w:color w:val="000000" w:themeColor="text1"/>
          <w:sz w:val="28"/>
          <w:szCs w:val="28"/>
          <w14:textFill>
            <w14:solidFill>
              <w14:schemeClr w14:val="tx1"/>
            </w14:solidFill>
          </w14:textFill>
        </w:rPr>
        <w:t>00m</w:t>
      </w:r>
      <w:r>
        <w:rPr>
          <w:rFonts w:ascii="宋体" w:hAnsi="宋体"/>
          <w:color w:val="000000" w:themeColor="text1"/>
          <w:sz w:val="28"/>
          <w:szCs w:val="28"/>
          <w:vertAlign w:val="superscript"/>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的商业设施可不设置喷淋。</w:t>
      </w:r>
    </w:p>
    <w:p w14:paraId="7C9AED90">
      <w:pPr>
        <w:widowControl/>
        <w:snapToGrid w:val="0"/>
        <w:spacing w:line="300" w:lineRule="auto"/>
        <w:jc w:val="left"/>
        <w:rPr>
          <w:rFonts w:ascii="宋体" w:hAnsi="宋体"/>
          <w:color w:val="FF0000"/>
          <w:sz w:val="28"/>
          <w:szCs w:val="28"/>
        </w:rPr>
      </w:pPr>
    </w:p>
    <w:p w14:paraId="1076E7E4">
      <w:pPr>
        <w:widowControl/>
        <w:jc w:val="left"/>
        <w:rPr>
          <w:rFonts w:ascii="宋体" w:hAnsi="宋体"/>
          <w:color w:val="FF0000"/>
          <w:sz w:val="28"/>
          <w:szCs w:val="28"/>
        </w:rPr>
      </w:pPr>
    </w:p>
    <w:sectPr>
      <w:footerReference r:id="rId8" w:type="default"/>
      <w:pgSz w:w="11907" w:h="16840"/>
      <w:pgMar w:top="1418" w:right="1276" w:bottom="1134" w:left="1276" w:header="1418" w:footer="851" w:gutter="0"/>
      <w:cols w:space="425" w:num="1"/>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书宋">
    <w:altName w:val="宋体"/>
    <w:panose1 w:val="00000000000000000000"/>
    <w:charset w:val="86"/>
    <w:family w:val="roman"/>
    <w:pitch w:val="default"/>
    <w:sig w:usb0="00000000" w:usb1="00000000" w:usb2="00000010" w:usb3="00000000" w:csb0="00040000" w:csb1="00000000"/>
  </w:font>
  <w:font w:name="方正小标宋...">
    <w:altName w:val="宋体"/>
    <w:panose1 w:val="00000000000000000000"/>
    <w:charset w:val="86"/>
    <w:family w:val="roma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方正大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75D8A">
    <w:pPr>
      <w:pStyle w:val="2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97901285"/>
      <w:docPartObj>
        <w:docPartGallery w:val="autotext"/>
      </w:docPartObj>
    </w:sdtPr>
    <w:sdtContent>
      <w:p w14:paraId="494682B1">
        <w:pPr>
          <w:pStyle w:val="22"/>
          <w:jc w:val="center"/>
        </w:pPr>
        <w:r>
          <w:fldChar w:fldCharType="begin"/>
        </w:r>
        <w:r>
          <w:instrText xml:space="preserve"> PAGE   \* MERGEFORMAT </w:instrText>
        </w:r>
        <w:r>
          <w:fldChar w:fldCharType="separate"/>
        </w:r>
        <w:r>
          <w:rPr>
            <w:lang w:val="zh-CN"/>
          </w:rPr>
          <w:t>II</w:t>
        </w:r>
        <w:r>
          <w:rPr>
            <w:lang w:val="zh-CN"/>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2094655"/>
      <w:docPartObj>
        <w:docPartGallery w:val="autotext"/>
      </w:docPartObj>
    </w:sdtPr>
    <w:sdtContent>
      <w:p w14:paraId="0999DC00">
        <w:pPr>
          <w:pStyle w:val="22"/>
          <w:jc w:val="center"/>
        </w:pPr>
        <w:r>
          <w:fldChar w:fldCharType="begin"/>
        </w:r>
        <w:r>
          <w:instrText xml:space="preserve"> PAGE   \* MERGEFORMAT </w:instrText>
        </w:r>
        <w:r>
          <w:fldChar w:fldCharType="separate"/>
        </w:r>
        <w:r>
          <w:rPr>
            <w:lang w:val="zh-CN"/>
          </w:rPr>
          <w:t>6</w:t>
        </w:r>
        <w:r>
          <w:rPr>
            <w:lang w:val="zh-CN"/>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34EBB">
    <w:pPr>
      <w:pStyle w:val="22"/>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2745875"/>
      <w:docPartObj>
        <w:docPartGallery w:val="autotext"/>
      </w:docPartObj>
    </w:sdtPr>
    <w:sdtContent>
      <w:p w14:paraId="25B1D955">
        <w:pPr>
          <w:pStyle w:val="22"/>
          <w:jc w:val="center"/>
        </w:pPr>
        <w:r>
          <w:fldChar w:fldCharType="begin"/>
        </w:r>
        <w:r>
          <w:instrText xml:space="preserve"> PAGE   \* MERGEFORMAT </w:instrText>
        </w:r>
        <w:r>
          <w:fldChar w:fldCharType="separate"/>
        </w:r>
        <w:r>
          <w:rPr>
            <w:lang w:val="zh-CN"/>
          </w:rPr>
          <w:t>I</w:t>
        </w:r>
        <w:r>
          <w:rPr>
            <w:lang w:val="zh-CN"/>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400721"/>
      <w:docPartObj>
        <w:docPartGallery w:val="autotext"/>
      </w:docPartObj>
    </w:sdtPr>
    <w:sdtContent>
      <w:p w14:paraId="7C9C6D11">
        <w:pPr>
          <w:pStyle w:val="22"/>
          <w:jc w:val="center"/>
        </w:pPr>
        <w:r>
          <w:fldChar w:fldCharType="begin"/>
        </w:r>
        <w:r>
          <w:instrText xml:space="preserve"> PAGE   \* MERGEFORMAT </w:instrText>
        </w:r>
        <w:r>
          <w:fldChar w:fldCharType="separate"/>
        </w:r>
        <w:r>
          <w:rPr>
            <w:lang w:val="zh-CN"/>
          </w:rPr>
          <w:t>30</w:t>
        </w:r>
        <w:r>
          <w:rPr>
            <w:lang w:val="zh-CN"/>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1B0E9B"/>
    <w:multiLevelType w:val="multilevel"/>
    <w:tmpl w:val="011B0E9B"/>
    <w:lvl w:ilvl="0" w:tentative="0">
      <w:start w:val="1"/>
      <w:numFmt w:val="decimal"/>
      <w:pStyle w:val="69"/>
      <w:lvlText w:val="3.2.%1 "/>
      <w:lvlJc w:val="left"/>
      <w:pPr>
        <w:ind w:left="644" w:hanging="360"/>
      </w:pPr>
      <w:rPr>
        <w:rFonts w:hint="default" w:ascii="Times New Roman" w:hAnsi="Times New Roman" w:cs="Times New Roman"/>
        <w:b/>
        <w:bCs w:val="0"/>
        <w:i w:val="0"/>
        <w:iCs w:val="0"/>
        <w:caps w:val="0"/>
        <w:smallCaps w:val="0"/>
        <w:strike w:val="0"/>
        <w:dstrike w:val="0"/>
        <w:vanish w:val="0"/>
        <w:color w:val="000000"/>
        <w:spacing w:val="0"/>
        <w:position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5C32AD3"/>
    <w:multiLevelType w:val="multilevel"/>
    <w:tmpl w:val="05C32AD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92046EA"/>
    <w:multiLevelType w:val="multilevel"/>
    <w:tmpl w:val="092046EA"/>
    <w:lvl w:ilvl="0" w:tentative="0">
      <w:start w:val="1"/>
      <w:numFmt w:val="decimal"/>
      <w:pStyle w:val="71"/>
      <w:lvlText w:val="3.4.%1 "/>
      <w:lvlJc w:val="left"/>
      <w:pPr>
        <w:ind w:left="1495" w:hanging="360"/>
      </w:pPr>
      <w:rPr>
        <w:rFonts w:hint="default" w:ascii="Times New Roman" w:hAnsi="Times New Roman" w:cs="Times New Roman"/>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ED77295"/>
    <w:multiLevelType w:val="multilevel"/>
    <w:tmpl w:val="0ED77295"/>
    <w:lvl w:ilvl="0" w:tentative="0">
      <w:start w:val="7"/>
      <w:numFmt w:val="decimal"/>
      <w:lvlText w:val="%1"/>
      <w:lvlJc w:val="left"/>
      <w:pPr>
        <w:tabs>
          <w:tab w:val="left" w:pos="360"/>
        </w:tabs>
        <w:ind w:left="0" w:firstLine="0"/>
      </w:pPr>
      <w:rPr>
        <w:rFonts w:hint="eastAsia"/>
      </w:rPr>
    </w:lvl>
    <w:lvl w:ilvl="1" w:tentative="0">
      <w:start w:val="1"/>
      <w:numFmt w:val="decimal"/>
      <w:pStyle w:val="66"/>
      <w:lvlText w:val="%1.%2"/>
      <w:lvlJc w:val="left"/>
      <w:pPr>
        <w:tabs>
          <w:tab w:val="left" w:pos="360"/>
        </w:tabs>
        <w:ind w:left="0" w:firstLine="0"/>
      </w:pPr>
      <w:rPr>
        <w:rFonts w:hint="default" w:ascii="Times New Roman" w:hAnsi="Times New Roman" w:eastAsia="黑体" w:cs="Times New Roman"/>
        <w:b/>
        <w:i w:val="0"/>
        <w:sz w:val="24"/>
      </w:rPr>
    </w:lvl>
    <w:lvl w:ilvl="2" w:tentative="0">
      <w:start w:val="1"/>
      <w:numFmt w:val="decimal"/>
      <w:pStyle w:val="67"/>
      <w:lvlText w:val="%1.%2.%3"/>
      <w:lvlJc w:val="left"/>
      <w:pPr>
        <w:ind w:left="357" w:hanging="357"/>
      </w:pPr>
      <w:rPr>
        <w:rFonts w:hint="default" w:ascii="Times New Roman" w:hAnsi="Times New Roman"/>
        <w:b/>
      </w:rPr>
    </w:lvl>
    <w:lvl w:ilvl="3" w:tentative="0">
      <w:start w:val="1"/>
      <w:numFmt w:val="decimal"/>
      <w:lvlText w:val="%1.%2.%3.%4"/>
      <w:lvlJc w:val="left"/>
      <w:pPr>
        <w:tabs>
          <w:tab w:val="left" w:pos="360"/>
        </w:tabs>
        <w:ind w:left="0" w:firstLine="0"/>
      </w:pPr>
      <w:rPr>
        <w:rFonts w:hint="eastAsia"/>
      </w:rPr>
    </w:lvl>
    <w:lvl w:ilvl="4" w:tentative="0">
      <w:start w:val="1"/>
      <w:numFmt w:val="decimal"/>
      <w:lvlText w:val="%1.%2.%3.%4.%5"/>
      <w:lvlJc w:val="left"/>
      <w:pPr>
        <w:tabs>
          <w:tab w:val="left" w:pos="360"/>
        </w:tabs>
        <w:ind w:left="0" w:firstLine="0"/>
      </w:pPr>
      <w:rPr>
        <w:rFonts w:hint="eastAsia"/>
      </w:rPr>
    </w:lvl>
    <w:lvl w:ilvl="5" w:tentative="0">
      <w:start w:val="1"/>
      <w:numFmt w:val="decimal"/>
      <w:lvlText w:val="%1.%2.%3.%4.%5.%6"/>
      <w:lvlJc w:val="left"/>
      <w:pPr>
        <w:tabs>
          <w:tab w:val="left" w:pos="360"/>
        </w:tabs>
        <w:ind w:left="0" w:firstLine="0"/>
      </w:pPr>
      <w:rPr>
        <w:rFonts w:hint="eastAsia"/>
      </w:rPr>
    </w:lvl>
    <w:lvl w:ilvl="6" w:tentative="0">
      <w:start w:val="1"/>
      <w:numFmt w:val="decimal"/>
      <w:lvlText w:val="%1.%2.%3.%4.%5.%6.%7"/>
      <w:lvlJc w:val="left"/>
      <w:pPr>
        <w:tabs>
          <w:tab w:val="left" w:pos="360"/>
        </w:tabs>
        <w:ind w:left="0" w:firstLine="0"/>
      </w:pPr>
      <w:rPr>
        <w:rFonts w:hint="eastAsia"/>
      </w:rPr>
    </w:lvl>
    <w:lvl w:ilvl="7" w:tentative="0">
      <w:start w:val="1"/>
      <w:numFmt w:val="decimal"/>
      <w:lvlText w:val="%1.%2.%3.%4.%5.%6.%7.%8"/>
      <w:lvlJc w:val="left"/>
      <w:pPr>
        <w:tabs>
          <w:tab w:val="left" w:pos="360"/>
        </w:tabs>
        <w:ind w:left="0" w:firstLine="0"/>
      </w:pPr>
      <w:rPr>
        <w:rFonts w:hint="eastAsia"/>
      </w:rPr>
    </w:lvl>
    <w:lvl w:ilvl="8" w:tentative="0">
      <w:start w:val="1"/>
      <w:numFmt w:val="decimal"/>
      <w:lvlText w:val="%1.%2.%3.%4.%5.%6.%7.%8.%9"/>
      <w:lvlJc w:val="left"/>
      <w:pPr>
        <w:tabs>
          <w:tab w:val="left" w:pos="360"/>
        </w:tabs>
        <w:ind w:left="0" w:firstLine="0"/>
      </w:pPr>
      <w:rPr>
        <w:rFonts w:hint="eastAsia"/>
      </w:rPr>
    </w:lvl>
  </w:abstractNum>
  <w:abstractNum w:abstractNumId="4">
    <w:nsid w:val="138F1A26"/>
    <w:multiLevelType w:val="multilevel"/>
    <w:tmpl w:val="138F1A26"/>
    <w:lvl w:ilvl="0" w:tentative="0">
      <w:start w:val="1"/>
      <w:numFmt w:val="decimal"/>
      <w:pStyle w:val="79"/>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8356CD2"/>
    <w:multiLevelType w:val="multilevel"/>
    <w:tmpl w:val="18356CD2"/>
    <w:lvl w:ilvl="0" w:tentative="0">
      <w:start w:val="1"/>
      <w:numFmt w:val="decimal"/>
      <w:pStyle w:val="76"/>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879299E"/>
    <w:multiLevelType w:val="multilevel"/>
    <w:tmpl w:val="3879299E"/>
    <w:lvl w:ilvl="0" w:tentative="0">
      <w:start w:val="1"/>
      <w:numFmt w:val="decimal"/>
      <w:pStyle w:val="77"/>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B6639DE"/>
    <w:multiLevelType w:val="multilevel"/>
    <w:tmpl w:val="4B6639DE"/>
    <w:lvl w:ilvl="0" w:tentative="0">
      <w:start w:val="1"/>
      <w:numFmt w:val="decimal"/>
      <w:pStyle w:val="74"/>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8306CE6"/>
    <w:multiLevelType w:val="multilevel"/>
    <w:tmpl w:val="58306CE6"/>
    <w:lvl w:ilvl="0" w:tentative="0">
      <w:start w:val="1"/>
      <w:numFmt w:val="decimal"/>
      <w:pStyle w:val="75"/>
      <w:lvlText w:val="%1 "/>
      <w:lvlJc w:val="left"/>
      <w:pPr>
        <w:ind w:left="420" w:hanging="420"/>
      </w:pPr>
      <w:rPr>
        <w:rFonts w:hint="eastAsia" w:ascii="Times New Roman" w:hAnsi="Times New Roman" w:eastAsia="宋体"/>
        <w:b w:val="0"/>
        <w:bCs w:val="0"/>
        <w:i w:val="0"/>
        <w:iCs w:val="0"/>
        <w:caps w:val="0"/>
        <w:smallCaps w:val="0"/>
        <w:strike w:val="0"/>
        <w:dstrike w:val="0"/>
        <w:color w:val="auto"/>
        <w:spacing w:val="0"/>
        <w:w w:val="100"/>
        <w:kern w:val="0"/>
        <w:position w:val="0"/>
        <w:sz w:val="24"/>
        <w:u w:val="none"/>
        <w:shd w:val="clear" w:color="auto" w:fill="auto"/>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D793030"/>
    <w:multiLevelType w:val="multilevel"/>
    <w:tmpl w:val="5D793030"/>
    <w:lvl w:ilvl="0" w:tentative="0">
      <w:start w:val="1"/>
      <w:numFmt w:val="decimal"/>
      <w:pStyle w:val="78"/>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679348EB"/>
    <w:multiLevelType w:val="multilevel"/>
    <w:tmpl w:val="679348EB"/>
    <w:lvl w:ilvl="0" w:tentative="0">
      <w:start w:val="1"/>
      <w:numFmt w:val="decimal"/>
      <w:pStyle w:val="68"/>
      <w:lvlText w:val="3.1.%1 "/>
      <w:lvlJc w:val="left"/>
      <w:pPr>
        <w:ind w:left="360" w:hanging="360"/>
      </w:pPr>
      <w:rPr>
        <w:rFonts w:hint="default" w:ascii="Times New Roman" w:hAnsi="Times New Roman" w:cs="Times New Roman"/>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6BB5435A"/>
    <w:multiLevelType w:val="multilevel"/>
    <w:tmpl w:val="6BB5435A"/>
    <w:lvl w:ilvl="0" w:tentative="0">
      <w:start w:val="3"/>
      <w:numFmt w:val="decimal"/>
      <w:lvlText w:val="%1"/>
      <w:lvlJc w:val="left"/>
      <w:pPr>
        <w:ind w:left="425" w:hanging="425"/>
      </w:pPr>
      <w:rPr>
        <w:rFonts w:hint="eastAsia"/>
      </w:rPr>
    </w:lvl>
    <w:lvl w:ilvl="1" w:tentative="0">
      <w:start w:val="6"/>
      <w:numFmt w:val="decimal"/>
      <w:lvlText w:val="%1.%2"/>
      <w:lvlJc w:val="left"/>
      <w:pPr>
        <w:ind w:left="992" w:hanging="567"/>
      </w:pPr>
      <w:rPr>
        <w:rFonts w:hint="eastAsia"/>
      </w:rPr>
    </w:lvl>
    <w:lvl w:ilvl="2" w:tentative="0">
      <w:start w:val="1"/>
      <w:numFmt w:val="decimal"/>
      <w:pStyle w:val="73"/>
      <w:lvlText w:val="%1.%2.%3 "/>
      <w:lvlJc w:val="left"/>
      <w:pPr>
        <w:tabs>
          <w:tab w:val="left" w:pos="0"/>
        </w:tabs>
        <w:ind w:left="0" w:firstLine="0"/>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2">
    <w:nsid w:val="70596262"/>
    <w:multiLevelType w:val="multilevel"/>
    <w:tmpl w:val="70596262"/>
    <w:lvl w:ilvl="0" w:tentative="0">
      <w:start w:val="1"/>
      <w:numFmt w:val="decimal"/>
      <w:pStyle w:val="70"/>
      <w:lvlText w:val="3.3.%1 "/>
      <w:lvlJc w:val="left"/>
      <w:pPr>
        <w:ind w:left="3905" w:hanging="360"/>
      </w:pPr>
      <w:rPr>
        <w:rFonts w:hint="default" w:ascii="Times New Roman" w:hAnsi="Times New Roman" w:cs="Times New Roman"/>
        <w:b/>
        <w:bCs w:val="0"/>
        <w:i w:val="0"/>
        <w:iCs w:val="0"/>
        <w:caps w:val="0"/>
        <w:smallCaps w:val="0"/>
        <w:strike w:val="0"/>
        <w:dstrike w:val="0"/>
        <w:vanish w:val="0"/>
        <w:color w:val="000000"/>
        <w:spacing w:val="0"/>
        <w:position w:val="0"/>
        <w:u w:val="none"/>
        <w:vertAlign w:val="baseline"/>
      </w:rPr>
    </w:lvl>
    <w:lvl w:ilvl="1" w:tentative="0">
      <w:start w:val="1"/>
      <w:numFmt w:val="decimal"/>
      <w:lvlText w:val="%2."/>
      <w:lvlJc w:val="left"/>
      <w:pPr>
        <w:ind w:left="780" w:hanging="360"/>
      </w:pPr>
      <w:rPr>
        <w:rFonts w:hint="default" w:ascii="Times New Roman" w:hAnsi="Times New Roman"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0"/>
  </w:num>
  <w:num w:numId="3">
    <w:abstractNumId w:val="0"/>
  </w:num>
  <w:num w:numId="4">
    <w:abstractNumId w:val="12"/>
  </w:num>
  <w:num w:numId="5">
    <w:abstractNumId w:val="2"/>
  </w:num>
  <w:num w:numId="6">
    <w:abstractNumId w:val="11"/>
  </w:num>
  <w:num w:numId="7">
    <w:abstractNumId w:val="7"/>
  </w:num>
  <w:num w:numId="8">
    <w:abstractNumId w:val="8"/>
  </w:num>
  <w:num w:numId="9">
    <w:abstractNumId w:val="5"/>
  </w:num>
  <w:num w:numId="10">
    <w:abstractNumId w:val="6"/>
  </w:num>
  <w:num w:numId="11">
    <w:abstractNumId w:val="9"/>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hideGrammaticalErrors/>
  <w:documentProtection w:enforcement="0"/>
  <w:defaultTabStop w:val="420"/>
  <w:drawingGridHorizontalSpacing w:val="104"/>
  <w:drawingGridVerticalSpacing w:val="16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4C4"/>
    <w:rsid w:val="00003FA0"/>
    <w:rsid w:val="00006901"/>
    <w:rsid w:val="000117EA"/>
    <w:rsid w:val="00012254"/>
    <w:rsid w:val="000138AB"/>
    <w:rsid w:val="0001688B"/>
    <w:rsid w:val="0002095C"/>
    <w:rsid w:val="00022578"/>
    <w:rsid w:val="000271FF"/>
    <w:rsid w:val="00030056"/>
    <w:rsid w:val="00031506"/>
    <w:rsid w:val="0003438A"/>
    <w:rsid w:val="00035EF7"/>
    <w:rsid w:val="0003621C"/>
    <w:rsid w:val="00037954"/>
    <w:rsid w:val="000415CC"/>
    <w:rsid w:val="00046DEF"/>
    <w:rsid w:val="0004787C"/>
    <w:rsid w:val="00051A52"/>
    <w:rsid w:val="00055640"/>
    <w:rsid w:val="00057323"/>
    <w:rsid w:val="00061CDC"/>
    <w:rsid w:val="00064419"/>
    <w:rsid w:val="00064C6B"/>
    <w:rsid w:val="00071AEE"/>
    <w:rsid w:val="000720E1"/>
    <w:rsid w:val="000741B1"/>
    <w:rsid w:val="000774AB"/>
    <w:rsid w:val="00077D94"/>
    <w:rsid w:val="000810E3"/>
    <w:rsid w:val="0008466C"/>
    <w:rsid w:val="0008557D"/>
    <w:rsid w:val="000856CF"/>
    <w:rsid w:val="0008660F"/>
    <w:rsid w:val="0008668E"/>
    <w:rsid w:val="00086C7E"/>
    <w:rsid w:val="00093445"/>
    <w:rsid w:val="00095767"/>
    <w:rsid w:val="000A0344"/>
    <w:rsid w:val="000A3572"/>
    <w:rsid w:val="000A50FA"/>
    <w:rsid w:val="000A5C6E"/>
    <w:rsid w:val="000A719A"/>
    <w:rsid w:val="000A7A19"/>
    <w:rsid w:val="000C1786"/>
    <w:rsid w:val="000C1EC7"/>
    <w:rsid w:val="000C2B0E"/>
    <w:rsid w:val="000C2C8B"/>
    <w:rsid w:val="000C3F99"/>
    <w:rsid w:val="000C58FC"/>
    <w:rsid w:val="000C6981"/>
    <w:rsid w:val="000C6A97"/>
    <w:rsid w:val="000D0E11"/>
    <w:rsid w:val="000D2DF5"/>
    <w:rsid w:val="000E20F0"/>
    <w:rsid w:val="000E4020"/>
    <w:rsid w:val="000E4113"/>
    <w:rsid w:val="000E76E8"/>
    <w:rsid w:val="000F7217"/>
    <w:rsid w:val="00100B4A"/>
    <w:rsid w:val="00102330"/>
    <w:rsid w:val="0010358F"/>
    <w:rsid w:val="00106C03"/>
    <w:rsid w:val="00113774"/>
    <w:rsid w:val="0011473F"/>
    <w:rsid w:val="00114785"/>
    <w:rsid w:val="00121BDA"/>
    <w:rsid w:val="0012575D"/>
    <w:rsid w:val="00125A0C"/>
    <w:rsid w:val="0013053C"/>
    <w:rsid w:val="001306B8"/>
    <w:rsid w:val="001318DE"/>
    <w:rsid w:val="00132705"/>
    <w:rsid w:val="001338BB"/>
    <w:rsid w:val="001351F8"/>
    <w:rsid w:val="001400DC"/>
    <w:rsid w:val="00146B15"/>
    <w:rsid w:val="00147128"/>
    <w:rsid w:val="0014717A"/>
    <w:rsid w:val="00150F65"/>
    <w:rsid w:val="001522DF"/>
    <w:rsid w:val="0015265F"/>
    <w:rsid w:val="0016339D"/>
    <w:rsid w:val="0016444F"/>
    <w:rsid w:val="00165CE0"/>
    <w:rsid w:val="001671A9"/>
    <w:rsid w:val="001704A8"/>
    <w:rsid w:val="001708C0"/>
    <w:rsid w:val="00171D6E"/>
    <w:rsid w:val="00171E75"/>
    <w:rsid w:val="00172C46"/>
    <w:rsid w:val="00173BE1"/>
    <w:rsid w:val="00174FAC"/>
    <w:rsid w:val="00182C4A"/>
    <w:rsid w:val="00182F35"/>
    <w:rsid w:val="00183CDE"/>
    <w:rsid w:val="00185674"/>
    <w:rsid w:val="0018567F"/>
    <w:rsid w:val="00191173"/>
    <w:rsid w:val="00196082"/>
    <w:rsid w:val="0019612C"/>
    <w:rsid w:val="00197958"/>
    <w:rsid w:val="001A0713"/>
    <w:rsid w:val="001A1647"/>
    <w:rsid w:val="001A61E2"/>
    <w:rsid w:val="001A677A"/>
    <w:rsid w:val="001A7B66"/>
    <w:rsid w:val="001B005A"/>
    <w:rsid w:val="001B28DD"/>
    <w:rsid w:val="001B73F1"/>
    <w:rsid w:val="001C0E54"/>
    <w:rsid w:val="001C16C3"/>
    <w:rsid w:val="001C441B"/>
    <w:rsid w:val="001C5BA0"/>
    <w:rsid w:val="001C7C33"/>
    <w:rsid w:val="001D0E90"/>
    <w:rsid w:val="001D20A6"/>
    <w:rsid w:val="001D43A7"/>
    <w:rsid w:val="001D4D1E"/>
    <w:rsid w:val="001E168A"/>
    <w:rsid w:val="001E52B8"/>
    <w:rsid w:val="001E545B"/>
    <w:rsid w:val="001F0163"/>
    <w:rsid w:val="001F0519"/>
    <w:rsid w:val="001F5FA0"/>
    <w:rsid w:val="001F65BA"/>
    <w:rsid w:val="001F67D6"/>
    <w:rsid w:val="001F7DC1"/>
    <w:rsid w:val="00204773"/>
    <w:rsid w:val="00206631"/>
    <w:rsid w:val="00210042"/>
    <w:rsid w:val="002111E9"/>
    <w:rsid w:val="00211646"/>
    <w:rsid w:val="002128DD"/>
    <w:rsid w:val="00213616"/>
    <w:rsid w:val="00216AB3"/>
    <w:rsid w:val="00216E61"/>
    <w:rsid w:val="00217F9E"/>
    <w:rsid w:val="00220461"/>
    <w:rsid w:val="00221BA8"/>
    <w:rsid w:val="0022232B"/>
    <w:rsid w:val="002258E5"/>
    <w:rsid w:val="0023016A"/>
    <w:rsid w:val="00231729"/>
    <w:rsid w:val="0023331C"/>
    <w:rsid w:val="00234438"/>
    <w:rsid w:val="00235AD3"/>
    <w:rsid w:val="00236498"/>
    <w:rsid w:val="00236C32"/>
    <w:rsid w:val="00240B14"/>
    <w:rsid w:val="00244463"/>
    <w:rsid w:val="002444D5"/>
    <w:rsid w:val="00244E35"/>
    <w:rsid w:val="0024552A"/>
    <w:rsid w:val="0024666B"/>
    <w:rsid w:val="002476C6"/>
    <w:rsid w:val="0025123F"/>
    <w:rsid w:val="002514B3"/>
    <w:rsid w:val="002528F7"/>
    <w:rsid w:val="002544FB"/>
    <w:rsid w:val="002576E0"/>
    <w:rsid w:val="0026773C"/>
    <w:rsid w:val="00271B22"/>
    <w:rsid w:val="00272A0E"/>
    <w:rsid w:val="00275E8D"/>
    <w:rsid w:val="0028008B"/>
    <w:rsid w:val="00281C31"/>
    <w:rsid w:val="0028254E"/>
    <w:rsid w:val="00282AAC"/>
    <w:rsid w:val="00282F00"/>
    <w:rsid w:val="0028345E"/>
    <w:rsid w:val="00284317"/>
    <w:rsid w:val="0028465F"/>
    <w:rsid w:val="002865C1"/>
    <w:rsid w:val="002869E1"/>
    <w:rsid w:val="00287A0D"/>
    <w:rsid w:val="00290702"/>
    <w:rsid w:val="002924C4"/>
    <w:rsid w:val="0029279D"/>
    <w:rsid w:val="0029401F"/>
    <w:rsid w:val="002940B8"/>
    <w:rsid w:val="0029417B"/>
    <w:rsid w:val="0029439F"/>
    <w:rsid w:val="00294EED"/>
    <w:rsid w:val="00295308"/>
    <w:rsid w:val="00296766"/>
    <w:rsid w:val="002A01E0"/>
    <w:rsid w:val="002A1E61"/>
    <w:rsid w:val="002B0F7C"/>
    <w:rsid w:val="002B5C9C"/>
    <w:rsid w:val="002B7A5A"/>
    <w:rsid w:val="002C01E2"/>
    <w:rsid w:val="002C08E8"/>
    <w:rsid w:val="002C1497"/>
    <w:rsid w:val="002C23AC"/>
    <w:rsid w:val="002C33E6"/>
    <w:rsid w:val="002C656B"/>
    <w:rsid w:val="002C7F56"/>
    <w:rsid w:val="002D0C37"/>
    <w:rsid w:val="002D334A"/>
    <w:rsid w:val="002D3EB4"/>
    <w:rsid w:val="002D766D"/>
    <w:rsid w:val="002D78A5"/>
    <w:rsid w:val="002E2A6A"/>
    <w:rsid w:val="002E3F35"/>
    <w:rsid w:val="002E7584"/>
    <w:rsid w:val="002F3A5B"/>
    <w:rsid w:val="002F5FCC"/>
    <w:rsid w:val="002F7055"/>
    <w:rsid w:val="003017FD"/>
    <w:rsid w:val="00303D3F"/>
    <w:rsid w:val="0031253D"/>
    <w:rsid w:val="003136B6"/>
    <w:rsid w:val="003146DD"/>
    <w:rsid w:val="003147ED"/>
    <w:rsid w:val="003167E6"/>
    <w:rsid w:val="0031746E"/>
    <w:rsid w:val="00321DF9"/>
    <w:rsid w:val="00324083"/>
    <w:rsid w:val="0032523F"/>
    <w:rsid w:val="00327185"/>
    <w:rsid w:val="00332D80"/>
    <w:rsid w:val="00334CCD"/>
    <w:rsid w:val="003360F1"/>
    <w:rsid w:val="00340D67"/>
    <w:rsid w:val="0034392A"/>
    <w:rsid w:val="00345EC4"/>
    <w:rsid w:val="00352286"/>
    <w:rsid w:val="003522FC"/>
    <w:rsid w:val="00354DCB"/>
    <w:rsid w:val="00355498"/>
    <w:rsid w:val="00357203"/>
    <w:rsid w:val="00360DA9"/>
    <w:rsid w:val="003616EF"/>
    <w:rsid w:val="0036229C"/>
    <w:rsid w:val="003633DD"/>
    <w:rsid w:val="0036497A"/>
    <w:rsid w:val="00365E4C"/>
    <w:rsid w:val="0036798D"/>
    <w:rsid w:val="00374DDE"/>
    <w:rsid w:val="0038006A"/>
    <w:rsid w:val="00385B27"/>
    <w:rsid w:val="003861E9"/>
    <w:rsid w:val="003872BA"/>
    <w:rsid w:val="0039184A"/>
    <w:rsid w:val="003921C4"/>
    <w:rsid w:val="00392B25"/>
    <w:rsid w:val="003930A5"/>
    <w:rsid w:val="0039576C"/>
    <w:rsid w:val="003957D8"/>
    <w:rsid w:val="00397D6B"/>
    <w:rsid w:val="003A1FDF"/>
    <w:rsid w:val="003A3974"/>
    <w:rsid w:val="003A6429"/>
    <w:rsid w:val="003B15C0"/>
    <w:rsid w:val="003B1836"/>
    <w:rsid w:val="003B18B2"/>
    <w:rsid w:val="003B32F5"/>
    <w:rsid w:val="003B6982"/>
    <w:rsid w:val="003C61CE"/>
    <w:rsid w:val="003C6972"/>
    <w:rsid w:val="003D04FF"/>
    <w:rsid w:val="003D2129"/>
    <w:rsid w:val="003D4072"/>
    <w:rsid w:val="003E4B13"/>
    <w:rsid w:val="003E7D68"/>
    <w:rsid w:val="003F326D"/>
    <w:rsid w:val="003F3A66"/>
    <w:rsid w:val="003F4B4D"/>
    <w:rsid w:val="003F7D8F"/>
    <w:rsid w:val="004031B5"/>
    <w:rsid w:val="00404356"/>
    <w:rsid w:val="0040508A"/>
    <w:rsid w:val="004144D7"/>
    <w:rsid w:val="00425598"/>
    <w:rsid w:val="00425865"/>
    <w:rsid w:val="0042604C"/>
    <w:rsid w:val="00426F9B"/>
    <w:rsid w:val="00426FF0"/>
    <w:rsid w:val="0043178F"/>
    <w:rsid w:val="00431EFF"/>
    <w:rsid w:val="00432239"/>
    <w:rsid w:val="0043238B"/>
    <w:rsid w:val="004329E1"/>
    <w:rsid w:val="004355FE"/>
    <w:rsid w:val="00436996"/>
    <w:rsid w:val="00436D46"/>
    <w:rsid w:val="00437558"/>
    <w:rsid w:val="00440154"/>
    <w:rsid w:val="0044368C"/>
    <w:rsid w:val="00444739"/>
    <w:rsid w:val="00445AB3"/>
    <w:rsid w:val="00446134"/>
    <w:rsid w:val="0045029F"/>
    <w:rsid w:val="00454335"/>
    <w:rsid w:val="00461204"/>
    <w:rsid w:val="00461879"/>
    <w:rsid w:val="00461B42"/>
    <w:rsid w:val="00461F80"/>
    <w:rsid w:val="004621EF"/>
    <w:rsid w:val="00463500"/>
    <w:rsid w:val="004711C4"/>
    <w:rsid w:val="004731CF"/>
    <w:rsid w:val="0047389A"/>
    <w:rsid w:val="004741B1"/>
    <w:rsid w:val="00480673"/>
    <w:rsid w:val="00481EC1"/>
    <w:rsid w:val="00483696"/>
    <w:rsid w:val="00483DD3"/>
    <w:rsid w:val="0048459F"/>
    <w:rsid w:val="00490C1F"/>
    <w:rsid w:val="00494039"/>
    <w:rsid w:val="004A0FFD"/>
    <w:rsid w:val="004A328D"/>
    <w:rsid w:val="004A38ED"/>
    <w:rsid w:val="004A7958"/>
    <w:rsid w:val="004B07FF"/>
    <w:rsid w:val="004B1897"/>
    <w:rsid w:val="004B293F"/>
    <w:rsid w:val="004B5F6A"/>
    <w:rsid w:val="004C53D3"/>
    <w:rsid w:val="004C6EE5"/>
    <w:rsid w:val="004C768B"/>
    <w:rsid w:val="004D1773"/>
    <w:rsid w:val="004E1DC8"/>
    <w:rsid w:val="00500809"/>
    <w:rsid w:val="00502F87"/>
    <w:rsid w:val="0050338C"/>
    <w:rsid w:val="005061E6"/>
    <w:rsid w:val="00511D1B"/>
    <w:rsid w:val="0051351A"/>
    <w:rsid w:val="00514231"/>
    <w:rsid w:val="00517797"/>
    <w:rsid w:val="00520CC7"/>
    <w:rsid w:val="005211F1"/>
    <w:rsid w:val="00522CF5"/>
    <w:rsid w:val="005250B6"/>
    <w:rsid w:val="005262DE"/>
    <w:rsid w:val="005272FA"/>
    <w:rsid w:val="0053153C"/>
    <w:rsid w:val="00531C04"/>
    <w:rsid w:val="00533812"/>
    <w:rsid w:val="00543A30"/>
    <w:rsid w:val="00547A48"/>
    <w:rsid w:val="00550767"/>
    <w:rsid w:val="00552B82"/>
    <w:rsid w:val="005549EA"/>
    <w:rsid w:val="00556C07"/>
    <w:rsid w:val="00557E20"/>
    <w:rsid w:val="00560B00"/>
    <w:rsid w:val="00563F51"/>
    <w:rsid w:val="005645D5"/>
    <w:rsid w:val="005652BF"/>
    <w:rsid w:val="005729BF"/>
    <w:rsid w:val="00575E6A"/>
    <w:rsid w:val="00576CC7"/>
    <w:rsid w:val="00576D30"/>
    <w:rsid w:val="00577F9D"/>
    <w:rsid w:val="005815D2"/>
    <w:rsid w:val="00582C7C"/>
    <w:rsid w:val="0058411B"/>
    <w:rsid w:val="005868A5"/>
    <w:rsid w:val="00586ABB"/>
    <w:rsid w:val="00590324"/>
    <w:rsid w:val="00590C85"/>
    <w:rsid w:val="005916C8"/>
    <w:rsid w:val="00593114"/>
    <w:rsid w:val="00593DA7"/>
    <w:rsid w:val="00595F57"/>
    <w:rsid w:val="00597402"/>
    <w:rsid w:val="005978FA"/>
    <w:rsid w:val="005A13DE"/>
    <w:rsid w:val="005A19E3"/>
    <w:rsid w:val="005A23C5"/>
    <w:rsid w:val="005A3F96"/>
    <w:rsid w:val="005B12B3"/>
    <w:rsid w:val="005B5E1F"/>
    <w:rsid w:val="005B69ED"/>
    <w:rsid w:val="005B7C2E"/>
    <w:rsid w:val="005C0064"/>
    <w:rsid w:val="005C1722"/>
    <w:rsid w:val="005C1B82"/>
    <w:rsid w:val="005C222E"/>
    <w:rsid w:val="005C2BE8"/>
    <w:rsid w:val="005C3988"/>
    <w:rsid w:val="005C7F7C"/>
    <w:rsid w:val="005D3319"/>
    <w:rsid w:val="005D77E0"/>
    <w:rsid w:val="005E5E88"/>
    <w:rsid w:val="005E6DC3"/>
    <w:rsid w:val="005F22E1"/>
    <w:rsid w:val="0060160D"/>
    <w:rsid w:val="00602241"/>
    <w:rsid w:val="00604FAE"/>
    <w:rsid w:val="0061022B"/>
    <w:rsid w:val="0061087B"/>
    <w:rsid w:val="0061191B"/>
    <w:rsid w:val="00612610"/>
    <w:rsid w:val="006158C3"/>
    <w:rsid w:val="00615A16"/>
    <w:rsid w:val="00616D47"/>
    <w:rsid w:val="00626844"/>
    <w:rsid w:val="00626A71"/>
    <w:rsid w:val="00632565"/>
    <w:rsid w:val="00633AF5"/>
    <w:rsid w:val="00643E77"/>
    <w:rsid w:val="00644D0B"/>
    <w:rsid w:val="006476CF"/>
    <w:rsid w:val="006504EF"/>
    <w:rsid w:val="00650C8C"/>
    <w:rsid w:val="00652367"/>
    <w:rsid w:val="0065316F"/>
    <w:rsid w:val="006555FD"/>
    <w:rsid w:val="006558C3"/>
    <w:rsid w:val="00656A6F"/>
    <w:rsid w:val="00657096"/>
    <w:rsid w:val="00660B10"/>
    <w:rsid w:val="00661FF7"/>
    <w:rsid w:val="006625CE"/>
    <w:rsid w:val="00665C98"/>
    <w:rsid w:val="00667E82"/>
    <w:rsid w:val="00672473"/>
    <w:rsid w:val="00676F56"/>
    <w:rsid w:val="00677A8B"/>
    <w:rsid w:val="0068219E"/>
    <w:rsid w:val="006821D2"/>
    <w:rsid w:val="006821EB"/>
    <w:rsid w:val="006828EA"/>
    <w:rsid w:val="00682F3B"/>
    <w:rsid w:val="00686810"/>
    <w:rsid w:val="00692138"/>
    <w:rsid w:val="00694471"/>
    <w:rsid w:val="0069567F"/>
    <w:rsid w:val="00697794"/>
    <w:rsid w:val="006A0C87"/>
    <w:rsid w:val="006A3FEF"/>
    <w:rsid w:val="006A4780"/>
    <w:rsid w:val="006A522E"/>
    <w:rsid w:val="006A5D20"/>
    <w:rsid w:val="006B0378"/>
    <w:rsid w:val="006B03D3"/>
    <w:rsid w:val="006B2152"/>
    <w:rsid w:val="006B2A46"/>
    <w:rsid w:val="006B3462"/>
    <w:rsid w:val="006B5B36"/>
    <w:rsid w:val="006B62E4"/>
    <w:rsid w:val="006B6EDA"/>
    <w:rsid w:val="006B7F23"/>
    <w:rsid w:val="006C0B30"/>
    <w:rsid w:val="006C38C3"/>
    <w:rsid w:val="006C3BE3"/>
    <w:rsid w:val="006C41C3"/>
    <w:rsid w:val="006C4249"/>
    <w:rsid w:val="006C6D53"/>
    <w:rsid w:val="006D0020"/>
    <w:rsid w:val="006D10CB"/>
    <w:rsid w:val="006D39FF"/>
    <w:rsid w:val="006D424F"/>
    <w:rsid w:val="006D4D3C"/>
    <w:rsid w:val="006E1068"/>
    <w:rsid w:val="006E1A59"/>
    <w:rsid w:val="006E1A8A"/>
    <w:rsid w:val="006E1CFF"/>
    <w:rsid w:val="006E3461"/>
    <w:rsid w:val="006E52F2"/>
    <w:rsid w:val="006E5C97"/>
    <w:rsid w:val="006E7AFE"/>
    <w:rsid w:val="006F2B61"/>
    <w:rsid w:val="006F6E2E"/>
    <w:rsid w:val="00706F9D"/>
    <w:rsid w:val="00707446"/>
    <w:rsid w:val="00714AEE"/>
    <w:rsid w:val="007154D0"/>
    <w:rsid w:val="00715CA8"/>
    <w:rsid w:val="00715DC2"/>
    <w:rsid w:val="007222C2"/>
    <w:rsid w:val="00724F83"/>
    <w:rsid w:val="0072775B"/>
    <w:rsid w:val="007302E8"/>
    <w:rsid w:val="00730513"/>
    <w:rsid w:val="007352EB"/>
    <w:rsid w:val="00736B9D"/>
    <w:rsid w:val="00737EF2"/>
    <w:rsid w:val="00740443"/>
    <w:rsid w:val="007421B6"/>
    <w:rsid w:val="00743A8E"/>
    <w:rsid w:val="00744EAA"/>
    <w:rsid w:val="00745821"/>
    <w:rsid w:val="0075000E"/>
    <w:rsid w:val="007529E4"/>
    <w:rsid w:val="00752FA6"/>
    <w:rsid w:val="007544CB"/>
    <w:rsid w:val="00755EF4"/>
    <w:rsid w:val="0076150F"/>
    <w:rsid w:val="00765051"/>
    <w:rsid w:val="00765538"/>
    <w:rsid w:val="00765AF2"/>
    <w:rsid w:val="00766AC4"/>
    <w:rsid w:val="00770241"/>
    <w:rsid w:val="0077061C"/>
    <w:rsid w:val="00773270"/>
    <w:rsid w:val="00774F32"/>
    <w:rsid w:val="007759EF"/>
    <w:rsid w:val="00782216"/>
    <w:rsid w:val="00787A2F"/>
    <w:rsid w:val="00792A08"/>
    <w:rsid w:val="00793BAF"/>
    <w:rsid w:val="00796167"/>
    <w:rsid w:val="007A22D5"/>
    <w:rsid w:val="007A3509"/>
    <w:rsid w:val="007A38AD"/>
    <w:rsid w:val="007A503F"/>
    <w:rsid w:val="007A785D"/>
    <w:rsid w:val="007B6138"/>
    <w:rsid w:val="007C2701"/>
    <w:rsid w:val="007C28A2"/>
    <w:rsid w:val="007C3617"/>
    <w:rsid w:val="007C3701"/>
    <w:rsid w:val="007C3B19"/>
    <w:rsid w:val="007C4C74"/>
    <w:rsid w:val="007C5D4C"/>
    <w:rsid w:val="007C6E20"/>
    <w:rsid w:val="007D0E38"/>
    <w:rsid w:val="007D3E33"/>
    <w:rsid w:val="007D4E3E"/>
    <w:rsid w:val="007D7FD4"/>
    <w:rsid w:val="007E169A"/>
    <w:rsid w:val="007E3C2D"/>
    <w:rsid w:val="007E4270"/>
    <w:rsid w:val="007E5229"/>
    <w:rsid w:val="007E6853"/>
    <w:rsid w:val="007F0319"/>
    <w:rsid w:val="007F415C"/>
    <w:rsid w:val="00804E71"/>
    <w:rsid w:val="008074BB"/>
    <w:rsid w:val="00813BB0"/>
    <w:rsid w:val="008176E2"/>
    <w:rsid w:val="008218AF"/>
    <w:rsid w:val="00825DDE"/>
    <w:rsid w:val="0082629C"/>
    <w:rsid w:val="00832197"/>
    <w:rsid w:val="008330F8"/>
    <w:rsid w:val="00836BFA"/>
    <w:rsid w:val="008374D0"/>
    <w:rsid w:val="008375D4"/>
    <w:rsid w:val="008421FB"/>
    <w:rsid w:val="008469A9"/>
    <w:rsid w:val="00854015"/>
    <w:rsid w:val="008557B3"/>
    <w:rsid w:val="008557FA"/>
    <w:rsid w:val="00862956"/>
    <w:rsid w:val="00865ED5"/>
    <w:rsid w:val="00865FF3"/>
    <w:rsid w:val="00876863"/>
    <w:rsid w:val="00877CAA"/>
    <w:rsid w:val="00877E12"/>
    <w:rsid w:val="0088355D"/>
    <w:rsid w:val="008847C8"/>
    <w:rsid w:val="008849F6"/>
    <w:rsid w:val="00886C2D"/>
    <w:rsid w:val="00890DF1"/>
    <w:rsid w:val="00891F1C"/>
    <w:rsid w:val="0089513A"/>
    <w:rsid w:val="0089712F"/>
    <w:rsid w:val="00897D78"/>
    <w:rsid w:val="008A5657"/>
    <w:rsid w:val="008A7C6E"/>
    <w:rsid w:val="008B1509"/>
    <w:rsid w:val="008B2580"/>
    <w:rsid w:val="008B29A6"/>
    <w:rsid w:val="008B413E"/>
    <w:rsid w:val="008B67E9"/>
    <w:rsid w:val="008C047F"/>
    <w:rsid w:val="008C5A0A"/>
    <w:rsid w:val="008C5CDB"/>
    <w:rsid w:val="008C6252"/>
    <w:rsid w:val="008C73B9"/>
    <w:rsid w:val="008D287D"/>
    <w:rsid w:val="008D3A31"/>
    <w:rsid w:val="008D3D69"/>
    <w:rsid w:val="008D42F1"/>
    <w:rsid w:val="008D5228"/>
    <w:rsid w:val="008D79CF"/>
    <w:rsid w:val="008E0029"/>
    <w:rsid w:val="008E0DEF"/>
    <w:rsid w:val="008E3F86"/>
    <w:rsid w:val="008E5261"/>
    <w:rsid w:val="008F0912"/>
    <w:rsid w:val="008F0C09"/>
    <w:rsid w:val="008F30A4"/>
    <w:rsid w:val="008F57C7"/>
    <w:rsid w:val="008F7F3C"/>
    <w:rsid w:val="008F7F4E"/>
    <w:rsid w:val="00900FD4"/>
    <w:rsid w:val="00903191"/>
    <w:rsid w:val="00903357"/>
    <w:rsid w:val="00904909"/>
    <w:rsid w:val="00907CAF"/>
    <w:rsid w:val="00910B04"/>
    <w:rsid w:val="00910C48"/>
    <w:rsid w:val="0091169A"/>
    <w:rsid w:val="00911A30"/>
    <w:rsid w:val="00911B7B"/>
    <w:rsid w:val="00913708"/>
    <w:rsid w:val="009166AC"/>
    <w:rsid w:val="00917177"/>
    <w:rsid w:val="009174CC"/>
    <w:rsid w:val="009214B3"/>
    <w:rsid w:val="00924E5B"/>
    <w:rsid w:val="00925484"/>
    <w:rsid w:val="0093007A"/>
    <w:rsid w:val="00936A9B"/>
    <w:rsid w:val="00941150"/>
    <w:rsid w:val="00941B4D"/>
    <w:rsid w:val="009443F1"/>
    <w:rsid w:val="009453E8"/>
    <w:rsid w:val="00945A1A"/>
    <w:rsid w:val="00945E34"/>
    <w:rsid w:val="00956A23"/>
    <w:rsid w:val="00960A98"/>
    <w:rsid w:val="009666AE"/>
    <w:rsid w:val="0097059C"/>
    <w:rsid w:val="0098236C"/>
    <w:rsid w:val="00984A86"/>
    <w:rsid w:val="00985504"/>
    <w:rsid w:val="00986628"/>
    <w:rsid w:val="00986D00"/>
    <w:rsid w:val="0098714B"/>
    <w:rsid w:val="00990B31"/>
    <w:rsid w:val="00991794"/>
    <w:rsid w:val="00991B8D"/>
    <w:rsid w:val="00994260"/>
    <w:rsid w:val="009976B4"/>
    <w:rsid w:val="009A104D"/>
    <w:rsid w:val="009A1D7D"/>
    <w:rsid w:val="009A2965"/>
    <w:rsid w:val="009A2F8E"/>
    <w:rsid w:val="009A5D7B"/>
    <w:rsid w:val="009A6A33"/>
    <w:rsid w:val="009A7423"/>
    <w:rsid w:val="009A7A06"/>
    <w:rsid w:val="009B0C4E"/>
    <w:rsid w:val="009B4DF4"/>
    <w:rsid w:val="009B6B04"/>
    <w:rsid w:val="009B7E42"/>
    <w:rsid w:val="009C002E"/>
    <w:rsid w:val="009C10D3"/>
    <w:rsid w:val="009C1E13"/>
    <w:rsid w:val="009C1F7B"/>
    <w:rsid w:val="009C27CA"/>
    <w:rsid w:val="009C4750"/>
    <w:rsid w:val="009C611A"/>
    <w:rsid w:val="009C76D6"/>
    <w:rsid w:val="009C7A1C"/>
    <w:rsid w:val="009D1DC9"/>
    <w:rsid w:val="009D22C1"/>
    <w:rsid w:val="009D2570"/>
    <w:rsid w:val="009D758E"/>
    <w:rsid w:val="009E1205"/>
    <w:rsid w:val="009E2FB8"/>
    <w:rsid w:val="009E3F75"/>
    <w:rsid w:val="009E4359"/>
    <w:rsid w:val="009E50A2"/>
    <w:rsid w:val="009E5F9E"/>
    <w:rsid w:val="009E7328"/>
    <w:rsid w:val="009F0458"/>
    <w:rsid w:val="009F058D"/>
    <w:rsid w:val="009F0CDE"/>
    <w:rsid w:val="009F1B7D"/>
    <w:rsid w:val="009F70CA"/>
    <w:rsid w:val="009F77D5"/>
    <w:rsid w:val="009F7BB3"/>
    <w:rsid w:val="009F7DAC"/>
    <w:rsid w:val="00A00A33"/>
    <w:rsid w:val="00A01253"/>
    <w:rsid w:val="00A02913"/>
    <w:rsid w:val="00A049B1"/>
    <w:rsid w:val="00A0728D"/>
    <w:rsid w:val="00A0784D"/>
    <w:rsid w:val="00A0795B"/>
    <w:rsid w:val="00A131B2"/>
    <w:rsid w:val="00A13BA7"/>
    <w:rsid w:val="00A15AE0"/>
    <w:rsid w:val="00A23943"/>
    <w:rsid w:val="00A2494A"/>
    <w:rsid w:val="00A25014"/>
    <w:rsid w:val="00A25D48"/>
    <w:rsid w:val="00A26695"/>
    <w:rsid w:val="00A311C9"/>
    <w:rsid w:val="00A35D62"/>
    <w:rsid w:val="00A37F42"/>
    <w:rsid w:val="00A402D6"/>
    <w:rsid w:val="00A42DA7"/>
    <w:rsid w:val="00A4494D"/>
    <w:rsid w:val="00A45C7C"/>
    <w:rsid w:val="00A50DE4"/>
    <w:rsid w:val="00A51CCD"/>
    <w:rsid w:val="00A5648F"/>
    <w:rsid w:val="00A56C08"/>
    <w:rsid w:val="00A571E0"/>
    <w:rsid w:val="00A61E50"/>
    <w:rsid w:val="00A64E80"/>
    <w:rsid w:val="00A65965"/>
    <w:rsid w:val="00A66662"/>
    <w:rsid w:val="00A72479"/>
    <w:rsid w:val="00A74F00"/>
    <w:rsid w:val="00A752AD"/>
    <w:rsid w:val="00A7692B"/>
    <w:rsid w:val="00A76F4F"/>
    <w:rsid w:val="00A83E2D"/>
    <w:rsid w:val="00A8528B"/>
    <w:rsid w:val="00A8696D"/>
    <w:rsid w:val="00A86EB9"/>
    <w:rsid w:val="00A87C21"/>
    <w:rsid w:val="00A9019C"/>
    <w:rsid w:val="00A9072D"/>
    <w:rsid w:val="00A964E7"/>
    <w:rsid w:val="00AA062B"/>
    <w:rsid w:val="00AA358F"/>
    <w:rsid w:val="00AA3E43"/>
    <w:rsid w:val="00AA4091"/>
    <w:rsid w:val="00AA46C7"/>
    <w:rsid w:val="00AA4A44"/>
    <w:rsid w:val="00AA7C61"/>
    <w:rsid w:val="00AB3DB9"/>
    <w:rsid w:val="00AB4916"/>
    <w:rsid w:val="00AB6786"/>
    <w:rsid w:val="00AC0C49"/>
    <w:rsid w:val="00AC15D5"/>
    <w:rsid w:val="00AC1833"/>
    <w:rsid w:val="00AC1981"/>
    <w:rsid w:val="00AC37B2"/>
    <w:rsid w:val="00AC5C3D"/>
    <w:rsid w:val="00AC5FC6"/>
    <w:rsid w:val="00AC6047"/>
    <w:rsid w:val="00AC77BE"/>
    <w:rsid w:val="00AC79C2"/>
    <w:rsid w:val="00AD0FEF"/>
    <w:rsid w:val="00AD1216"/>
    <w:rsid w:val="00AD2493"/>
    <w:rsid w:val="00AD55FC"/>
    <w:rsid w:val="00AD6131"/>
    <w:rsid w:val="00AE2233"/>
    <w:rsid w:val="00AE47DF"/>
    <w:rsid w:val="00AE57D0"/>
    <w:rsid w:val="00AE79CE"/>
    <w:rsid w:val="00AF230F"/>
    <w:rsid w:val="00B01B12"/>
    <w:rsid w:val="00B111DC"/>
    <w:rsid w:val="00B13554"/>
    <w:rsid w:val="00B20783"/>
    <w:rsid w:val="00B240E5"/>
    <w:rsid w:val="00B24884"/>
    <w:rsid w:val="00B258EF"/>
    <w:rsid w:val="00B262E5"/>
    <w:rsid w:val="00B319AE"/>
    <w:rsid w:val="00B3415B"/>
    <w:rsid w:val="00B36747"/>
    <w:rsid w:val="00B367E1"/>
    <w:rsid w:val="00B36A43"/>
    <w:rsid w:val="00B36F36"/>
    <w:rsid w:val="00B37E4A"/>
    <w:rsid w:val="00B40F58"/>
    <w:rsid w:val="00B41437"/>
    <w:rsid w:val="00B416F0"/>
    <w:rsid w:val="00B41BC8"/>
    <w:rsid w:val="00B45527"/>
    <w:rsid w:val="00B4746E"/>
    <w:rsid w:val="00B47E00"/>
    <w:rsid w:val="00B53F4E"/>
    <w:rsid w:val="00B540E9"/>
    <w:rsid w:val="00B55704"/>
    <w:rsid w:val="00B56608"/>
    <w:rsid w:val="00B60858"/>
    <w:rsid w:val="00B622E8"/>
    <w:rsid w:val="00B65534"/>
    <w:rsid w:val="00B65F87"/>
    <w:rsid w:val="00B739BA"/>
    <w:rsid w:val="00B7401C"/>
    <w:rsid w:val="00B7518F"/>
    <w:rsid w:val="00B757B4"/>
    <w:rsid w:val="00B816EA"/>
    <w:rsid w:val="00B82305"/>
    <w:rsid w:val="00B863B9"/>
    <w:rsid w:val="00B90F2F"/>
    <w:rsid w:val="00B95C6C"/>
    <w:rsid w:val="00BA2617"/>
    <w:rsid w:val="00BA43E1"/>
    <w:rsid w:val="00BA58BA"/>
    <w:rsid w:val="00BA617B"/>
    <w:rsid w:val="00BA75B3"/>
    <w:rsid w:val="00BA7775"/>
    <w:rsid w:val="00BA7FE4"/>
    <w:rsid w:val="00BB2246"/>
    <w:rsid w:val="00BB4A3B"/>
    <w:rsid w:val="00BB5AFB"/>
    <w:rsid w:val="00BB63F6"/>
    <w:rsid w:val="00BB675E"/>
    <w:rsid w:val="00BB6A90"/>
    <w:rsid w:val="00BC21C7"/>
    <w:rsid w:val="00BD042B"/>
    <w:rsid w:val="00BD0D04"/>
    <w:rsid w:val="00BD280D"/>
    <w:rsid w:val="00BD49DF"/>
    <w:rsid w:val="00BE119C"/>
    <w:rsid w:val="00BE2905"/>
    <w:rsid w:val="00BE3F9F"/>
    <w:rsid w:val="00BE6319"/>
    <w:rsid w:val="00BE73D9"/>
    <w:rsid w:val="00BE780E"/>
    <w:rsid w:val="00BF15BD"/>
    <w:rsid w:val="00BF604E"/>
    <w:rsid w:val="00BF6ADD"/>
    <w:rsid w:val="00BF72C5"/>
    <w:rsid w:val="00C01BCE"/>
    <w:rsid w:val="00C02D63"/>
    <w:rsid w:val="00C039D4"/>
    <w:rsid w:val="00C05A81"/>
    <w:rsid w:val="00C07014"/>
    <w:rsid w:val="00C07BC4"/>
    <w:rsid w:val="00C1074D"/>
    <w:rsid w:val="00C10EF4"/>
    <w:rsid w:val="00C1455D"/>
    <w:rsid w:val="00C17ED2"/>
    <w:rsid w:val="00C242FD"/>
    <w:rsid w:val="00C25213"/>
    <w:rsid w:val="00C35744"/>
    <w:rsid w:val="00C36160"/>
    <w:rsid w:val="00C37DEB"/>
    <w:rsid w:val="00C4525E"/>
    <w:rsid w:val="00C46AFE"/>
    <w:rsid w:val="00C50926"/>
    <w:rsid w:val="00C55F16"/>
    <w:rsid w:val="00C61317"/>
    <w:rsid w:val="00C67B7B"/>
    <w:rsid w:val="00C76164"/>
    <w:rsid w:val="00C77F94"/>
    <w:rsid w:val="00C85684"/>
    <w:rsid w:val="00C911D6"/>
    <w:rsid w:val="00C92A8C"/>
    <w:rsid w:val="00C942B7"/>
    <w:rsid w:val="00C95CC1"/>
    <w:rsid w:val="00C963AB"/>
    <w:rsid w:val="00C96C26"/>
    <w:rsid w:val="00CA0675"/>
    <w:rsid w:val="00CA6FE4"/>
    <w:rsid w:val="00CA7642"/>
    <w:rsid w:val="00CA78C1"/>
    <w:rsid w:val="00CB181B"/>
    <w:rsid w:val="00CB3243"/>
    <w:rsid w:val="00CB4011"/>
    <w:rsid w:val="00CB69D2"/>
    <w:rsid w:val="00CC1D98"/>
    <w:rsid w:val="00CC263C"/>
    <w:rsid w:val="00CC3303"/>
    <w:rsid w:val="00CC4487"/>
    <w:rsid w:val="00CC5A55"/>
    <w:rsid w:val="00CC76EE"/>
    <w:rsid w:val="00CD48D0"/>
    <w:rsid w:val="00CD56B1"/>
    <w:rsid w:val="00CD5879"/>
    <w:rsid w:val="00CE235C"/>
    <w:rsid w:val="00CE29B9"/>
    <w:rsid w:val="00CE3336"/>
    <w:rsid w:val="00CE4707"/>
    <w:rsid w:val="00CF116F"/>
    <w:rsid w:val="00CF2677"/>
    <w:rsid w:val="00CF29BA"/>
    <w:rsid w:val="00CF6C50"/>
    <w:rsid w:val="00CF7C1C"/>
    <w:rsid w:val="00D005A4"/>
    <w:rsid w:val="00D00BEC"/>
    <w:rsid w:val="00D01BE6"/>
    <w:rsid w:val="00D01D0E"/>
    <w:rsid w:val="00D0297A"/>
    <w:rsid w:val="00D06851"/>
    <w:rsid w:val="00D11C25"/>
    <w:rsid w:val="00D15A06"/>
    <w:rsid w:val="00D15A9B"/>
    <w:rsid w:val="00D15B3C"/>
    <w:rsid w:val="00D17FAF"/>
    <w:rsid w:val="00D203A8"/>
    <w:rsid w:val="00D20986"/>
    <w:rsid w:val="00D22039"/>
    <w:rsid w:val="00D23187"/>
    <w:rsid w:val="00D27190"/>
    <w:rsid w:val="00D32285"/>
    <w:rsid w:val="00D35B20"/>
    <w:rsid w:val="00D3660D"/>
    <w:rsid w:val="00D37099"/>
    <w:rsid w:val="00D37FF2"/>
    <w:rsid w:val="00D4626E"/>
    <w:rsid w:val="00D47897"/>
    <w:rsid w:val="00D47E63"/>
    <w:rsid w:val="00D502E4"/>
    <w:rsid w:val="00D503BD"/>
    <w:rsid w:val="00D520A8"/>
    <w:rsid w:val="00D5255D"/>
    <w:rsid w:val="00D52F44"/>
    <w:rsid w:val="00D53DA2"/>
    <w:rsid w:val="00D57C13"/>
    <w:rsid w:val="00D60798"/>
    <w:rsid w:val="00D61CAA"/>
    <w:rsid w:val="00D70E1F"/>
    <w:rsid w:val="00D73C93"/>
    <w:rsid w:val="00D73F45"/>
    <w:rsid w:val="00D752C9"/>
    <w:rsid w:val="00D75A38"/>
    <w:rsid w:val="00D770F6"/>
    <w:rsid w:val="00D7725D"/>
    <w:rsid w:val="00D77277"/>
    <w:rsid w:val="00D77A1D"/>
    <w:rsid w:val="00D82509"/>
    <w:rsid w:val="00D829DD"/>
    <w:rsid w:val="00D83DEE"/>
    <w:rsid w:val="00D84453"/>
    <w:rsid w:val="00D8724B"/>
    <w:rsid w:val="00D87F74"/>
    <w:rsid w:val="00D9078F"/>
    <w:rsid w:val="00D90D76"/>
    <w:rsid w:val="00D93633"/>
    <w:rsid w:val="00D9498F"/>
    <w:rsid w:val="00D9611B"/>
    <w:rsid w:val="00D97A80"/>
    <w:rsid w:val="00DA260E"/>
    <w:rsid w:val="00DA53A2"/>
    <w:rsid w:val="00DA54C7"/>
    <w:rsid w:val="00DB08CD"/>
    <w:rsid w:val="00DB2730"/>
    <w:rsid w:val="00DB5081"/>
    <w:rsid w:val="00DC2680"/>
    <w:rsid w:val="00DC2A1F"/>
    <w:rsid w:val="00DC2BD3"/>
    <w:rsid w:val="00DC4C77"/>
    <w:rsid w:val="00DC4DBA"/>
    <w:rsid w:val="00DC5C6D"/>
    <w:rsid w:val="00DC5CA4"/>
    <w:rsid w:val="00DC6BEC"/>
    <w:rsid w:val="00DD1818"/>
    <w:rsid w:val="00DD290F"/>
    <w:rsid w:val="00DD2F78"/>
    <w:rsid w:val="00DE1D92"/>
    <w:rsid w:val="00DE2FA5"/>
    <w:rsid w:val="00DF27FD"/>
    <w:rsid w:val="00DF39F1"/>
    <w:rsid w:val="00DF4299"/>
    <w:rsid w:val="00DF51AB"/>
    <w:rsid w:val="00DF6F9A"/>
    <w:rsid w:val="00E04883"/>
    <w:rsid w:val="00E04FD3"/>
    <w:rsid w:val="00E06266"/>
    <w:rsid w:val="00E1429B"/>
    <w:rsid w:val="00E150E6"/>
    <w:rsid w:val="00E15893"/>
    <w:rsid w:val="00E15BF1"/>
    <w:rsid w:val="00E15C06"/>
    <w:rsid w:val="00E20100"/>
    <w:rsid w:val="00E24100"/>
    <w:rsid w:val="00E24D17"/>
    <w:rsid w:val="00E26B7B"/>
    <w:rsid w:val="00E27C78"/>
    <w:rsid w:val="00E31762"/>
    <w:rsid w:val="00E328D8"/>
    <w:rsid w:val="00E34C13"/>
    <w:rsid w:val="00E37073"/>
    <w:rsid w:val="00E37686"/>
    <w:rsid w:val="00E37CED"/>
    <w:rsid w:val="00E43690"/>
    <w:rsid w:val="00E45640"/>
    <w:rsid w:val="00E4605C"/>
    <w:rsid w:val="00E46454"/>
    <w:rsid w:val="00E478B4"/>
    <w:rsid w:val="00E513F2"/>
    <w:rsid w:val="00E52720"/>
    <w:rsid w:val="00E5420F"/>
    <w:rsid w:val="00E557A8"/>
    <w:rsid w:val="00E558E6"/>
    <w:rsid w:val="00E56EC5"/>
    <w:rsid w:val="00E61BEF"/>
    <w:rsid w:val="00E64F81"/>
    <w:rsid w:val="00E66A68"/>
    <w:rsid w:val="00E712B1"/>
    <w:rsid w:val="00E73E31"/>
    <w:rsid w:val="00E744D7"/>
    <w:rsid w:val="00E746FB"/>
    <w:rsid w:val="00E7559E"/>
    <w:rsid w:val="00E76AB9"/>
    <w:rsid w:val="00E773DA"/>
    <w:rsid w:val="00E80632"/>
    <w:rsid w:val="00E8207C"/>
    <w:rsid w:val="00E82DD0"/>
    <w:rsid w:val="00E84C17"/>
    <w:rsid w:val="00E9186A"/>
    <w:rsid w:val="00E933A2"/>
    <w:rsid w:val="00E9455B"/>
    <w:rsid w:val="00EA0574"/>
    <w:rsid w:val="00EA0641"/>
    <w:rsid w:val="00EA0E42"/>
    <w:rsid w:val="00EA20FA"/>
    <w:rsid w:val="00EA3441"/>
    <w:rsid w:val="00EA402B"/>
    <w:rsid w:val="00EA7596"/>
    <w:rsid w:val="00EB05BE"/>
    <w:rsid w:val="00EB1274"/>
    <w:rsid w:val="00EB3F0E"/>
    <w:rsid w:val="00EB60D2"/>
    <w:rsid w:val="00EC03D2"/>
    <w:rsid w:val="00EC0702"/>
    <w:rsid w:val="00EC3736"/>
    <w:rsid w:val="00EC4CDF"/>
    <w:rsid w:val="00EC5A85"/>
    <w:rsid w:val="00EC5D52"/>
    <w:rsid w:val="00ED1FCA"/>
    <w:rsid w:val="00ED2908"/>
    <w:rsid w:val="00ED5248"/>
    <w:rsid w:val="00ED6F72"/>
    <w:rsid w:val="00EE5490"/>
    <w:rsid w:val="00EE5A0F"/>
    <w:rsid w:val="00EE7BF0"/>
    <w:rsid w:val="00EF3FF6"/>
    <w:rsid w:val="00EF4D66"/>
    <w:rsid w:val="00EF5589"/>
    <w:rsid w:val="00EF6BE2"/>
    <w:rsid w:val="00F00DD4"/>
    <w:rsid w:val="00F05B8F"/>
    <w:rsid w:val="00F0672B"/>
    <w:rsid w:val="00F06A1A"/>
    <w:rsid w:val="00F0707A"/>
    <w:rsid w:val="00F1060A"/>
    <w:rsid w:val="00F114B5"/>
    <w:rsid w:val="00F11B7D"/>
    <w:rsid w:val="00F12A3E"/>
    <w:rsid w:val="00F15897"/>
    <w:rsid w:val="00F170CA"/>
    <w:rsid w:val="00F24A50"/>
    <w:rsid w:val="00F2639D"/>
    <w:rsid w:val="00F27125"/>
    <w:rsid w:val="00F31474"/>
    <w:rsid w:val="00F329A5"/>
    <w:rsid w:val="00F343DC"/>
    <w:rsid w:val="00F35C4E"/>
    <w:rsid w:val="00F40C64"/>
    <w:rsid w:val="00F42F4A"/>
    <w:rsid w:val="00F43857"/>
    <w:rsid w:val="00F45C13"/>
    <w:rsid w:val="00F5129B"/>
    <w:rsid w:val="00F531BD"/>
    <w:rsid w:val="00F53E53"/>
    <w:rsid w:val="00F54FEC"/>
    <w:rsid w:val="00F57DA3"/>
    <w:rsid w:val="00F57E72"/>
    <w:rsid w:val="00F6259F"/>
    <w:rsid w:val="00F63D2D"/>
    <w:rsid w:val="00F6526B"/>
    <w:rsid w:val="00F65D51"/>
    <w:rsid w:val="00F674AF"/>
    <w:rsid w:val="00F721BD"/>
    <w:rsid w:val="00F72471"/>
    <w:rsid w:val="00F72AE6"/>
    <w:rsid w:val="00F740CB"/>
    <w:rsid w:val="00F74481"/>
    <w:rsid w:val="00F81089"/>
    <w:rsid w:val="00F81C79"/>
    <w:rsid w:val="00F84F66"/>
    <w:rsid w:val="00F90446"/>
    <w:rsid w:val="00F90A1E"/>
    <w:rsid w:val="00F97915"/>
    <w:rsid w:val="00FA5754"/>
    <w:rsid w:val="00FA59D4"/>
    <w:rsid w:val="00FA7542"/>
    <w:rsid w:val="00FB18E8"/>
    <w:rsid w:val="00FB3993"/>
    <w:rsid w:val="00FC165A"/>
    <w:rsid w:val="00FC168D"/>
    <w:rsid w:val="00FC513D"/>
    <w:rsid w:val="00FC7F69"/>
    <w:rsid w:val="00FD5552"/>
    <w:rsid w:val="00FE1EA8"/>
    <w:rsid w:val="00FE2733"/>
    <w:rsid w:val="00FE2950"/>
    <w:rsid w:val="00FF3B63"/>
    <w:rsid w:val="00FF46CA"/>
    <w:rsid w:val="00FF639E"/>
    <w:rsid w:val="00FF6A7E"/>
    <w:rsid w:val="066F0179"/>
    <w:rsid w:val="22C52AE8"/>
    <w:rsid w:val="2E426D9D"/>
    <w:rsid w:val="7BD85C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name="Body Text Indent 2"/>
    <w:lsdException w:uiPriority="99" w:name="Body Text Indent 3"/>
    <w:lsdException w:uiPriority="99" w:name="Block Text"/>
    <w:lsdException w:qFormat="1" w:uiPriority="99" w:semiHidden="0" w:name="Hyperlink"/>
    <w:lsdException w:qFormat="1" w:unhideWhenUsed="0" w:uiPriority="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pacing w:val="4"/>
      <w:kern w:val="2"/>
      <w:szCs w:val="24"/>
      <w:lang w:val="en-US" w:eastAsia="zh-CN" w:bidi="ar-SA"/>
    </w:rPr>
  </w:style>
  <w:style w:type="paragraph" w:styleId="2">
    <w:name w:val="heading 1"/>
    <w:basedOn w:val="1"/>
    <w:next w:val="1"/>
    <w:link w:val="41"/>
    <w:qFormat/>
    <w:uiPriority w:val="9"/>
    <w:pPr>
      <w:keepNext/>
      <w:keepLines/>
      <w:snapToGrid w:val="0"/>
      <w:spacing w:beforeLines="190" w:afterLines="190"/>
      <w:jc w:val="center"/>
      <w:outlineLvl w:val="0"/>
    </w:pPr>
    <w:rPr>
      <w:rFonts w:ascii="Arial" w:hAnsi="Arial" w:eastAsia="黑体" w:cs="Arial"/>
      <w:bCs/>
      <w:kern w:val="44"/>
      <w:sz w:val="32"/>
      <w:szCs w:val="44"/>
    </w:rPr>
  </w:style>
  <w:style w:type="paragraph" w:styleId="3">
    <w:name w:val="heading 2"/>
    <w:basedOn w:val="1"/>
    <w:next w:val="1"/>
    <w:link w:val="42"/>
    <w:qFormat/>
    <w:uiPriority w:val="0"/>
    <w:pPr>
      <w:keepNext/>
      <w:keepLines/>
      <w:snapToGrid w:val="0"/>
      <w:spacing w:before="260" w:after="260"/>
      <w:jc w:val="center"/>
      <w:outlineLvl w:val="1"/>
    </w:pPr>
    <w:rPr>
      <w:rFonts w:ascii="Arial" w:hAnsi="Arial" w:eastAsia="黑体"/>
      <w:bCs/>
      <w:sz w:val="24"/>
      <w:szCs w:val="32"/>
    </w:rPr>
  </w:style>
  <w:style w:type="paragraph" w:styleId="4">
    <w:name w:val="heading 3"/>
    <w:basedOn w:val="1"/>
    <w:next w:val="1"/>
    <w:link w:val="43"/>
    <w:qFormat/>
    <w:uiPriority w:val="9"/>
    <w:pPr>
      <w:keepNext/>
      <w:keepLines/>
      <w:snapToGrid w:val="0"/>
      <w:spacing w:before="60" w:after="40"/>
      <w:jc w:val="center"/>
      <w:outlineLvl w:val="2"/>
    </w:pPr>
    <w:rPr>
      <w:rFonts w:ascii="Arial" w:hAnsi="Arial" w:eastAsia="黑体"/>
      <w:bCs/>
      <w:sz w:val="18"/>
      <w:szCs w:val="32"/>
    </w:rPr>
  </w:style>
  <w:style w:type="paragraph" w:styleId="5">
    <w:name w:val="heading 4"/>
    <w:basedOn w:val="1"/>
    <w:next w:val="1"/>
    <w:link w:val="44"/>
    <w:qFormat/>
    <w:uiPriority w:val="0"/>
    <w:pPr>
      <w:keepNext/>
      <w:spacing w:beforeLines="30" w:afterLines="30"/>
      <w:jc w:val="center"/>
      <w:outlineLvl w:val="3"/>
    </w:pPr>
    <w:rPr>
      <w:b/>
      <w:sz w:val="30"/>
    </w:rPr>
  </w:style>
  <w:style w:type="paragraph" w:styleId="6">
    <w:name w:val="heading 5"/>
    <w:basedOn w:val="1"/>
    <w:next w:val="1"/>
    <w:link w:val="45"/>
    <w:qFormat/>
    <w:uiPriority w:val="0"/>
    <w:pPr>
      <w:keepNext/>
      <w:jc w:val="center"/>
      <w:outlineLvl w:val="4"/>
    </w:pPr>
    <w:rPr>
      <w:b/>
      <w:bCs/>
      <w:sz w:val="22"/>
    </w:rPr>
  </w:style>
  <w:style w:type="paragraph" w:styleId="7">
    <w:name w:val="heading 6"/>
    <w:basedOn w:val="1"/>
    <w:next w:val="1"/>
    <w:link w:val="46"/>
    <w:qFormat/>
    <w:uiPriority w:val="0"/>
    <w:pPr>
      <w:keepNext/>
      <w:jc w:val="center"/>
      <w:outlineLvl w:val="5"/>
    </w:pPr>
    <w:rPr>
      <w:i/>
      <w:iCs/>
      <w:sz w:val="15"/>
    </w:rPr>
  </w:style>
  <w:style w:type="paragraph" w:styleId="8">
    <w:name w:val="heading 7"/>
    <w:basedOn w:val="1"/>
    <w:next w:val="1"/>
    <w:link w:val="47"/>
    <w:qFormat/>
    <w:uiPriority w:val="0"/>
    <w:pPr>
      <w:keepNext/>
      <w:jc w:val="center"/>
      <w:outlineLvl w:val="6"/>
    </w:pPr>
    <w:rPr>
      <w:sz w:val="15"/>
      <w:szCs w:val="18"/>
    </w:rPr>
  </w:style>
  <w:style w:type="paragraph" w:styleId="9">
    <w:name w:val="heading 8"/>
    <w:basedOn w:val="1"/>
    <w:next w:val="1"/>
    <w:link w:val="48"/>
    <w:qFormat/>
    <w:uiPriority w:val="0"/>
    <w:pPr>
      <w:keepNext/>
      <w:keepLines/>
      <w:spacing w:before="240" w:after="64" w:line="320" w:lineRule="auto"/>
      <w:ind w:left="1440" w:hanging="1440"/>
      <w:outlineLvl w:val="7"/>
    </w:pPr>
    <w:rPr>
      <w:rFonts w:ascii="Cambria" w:hAnsi="Cambria"/>
      <w:spacing w:val="0"/>
      <w:kern w:val="0"/>
      <w:sz w:val="24"/>
    </w:rPr>
  </w:style>
  <w:style w:type="paragraph" w:styleId="10">
    <w:name w:val="heading 9"/>
    <w:basedOn w:val="1"/>
    <w:next w:val="1"/>
    <w:link w:val="49"/>
    <w:qFormat/>
    <w:uiPriority w:val="0"/>
    <w:pPr>
      <w:keepNext/>
      <w:keepLines/>
      <w:spacing w:before="240" w:after="64" w:line="320" w:lineRule="auto"/>
      <w:ind w:left="1584" w:hanging="1584"/>
      <w:outlineLvl w:val="8"/>
    </w:pPr>
    <w:rPr>
      <w:rFonts w:ascii="Cambria" w:hAnsi="Cambria"/>
      <w:spacing w:val="0"/>
      <w:kern w:val="0"/>
      <w:szCs w:val="20"/>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2520" w:leftChars="1200"/>
    </w:pPr>
  </w:style>
  <w:style w:type="paragraph" w:styleId="12">
    <w:name w:val="annotation text"/>
    <w:basedOn w:val="1"/>
    <w:link w:val="50"/>
    <w:unhideWhenUsed/>
    <w:qFormat/>
    <w:uiPriority w:val="99"/>
    <w:pPr>
      <w:jc w:val="left"/>
    </w:pPr>
  </w:style>
  <w:style w:type="paragraph" w:styleId="13">
    <w:name w:val="Body Text"/>
    <w:basedOn w:val="1"/>
    <w:link w:val="51"/>
    <w:unhideWhenUsed/>
    <w:qFormat/>
    <w:uiPriority w:val="1"/>
    <w:pPr>
      <w:spacing w:after="120"/>
    </w:pPr>
  </w:style>
  <w:style w:type="paragraph" w:styleId="14">
    <w:name w:val="Body Text Indent"/>
    <w:basedOn w:val="1"/>
    <w:semiHidden/>
    <w:qFormat/>
    <w:uiPriority w:val="0"/>
    <w:pPr>
      <w:ind w:firstLine="416" w:firstLineChars="200"/>
    </w:pPr>
  </w:style>
  <w:style w:type="paragraph" w:styleId="15">
    <w:name w:val="toc 5"/>
    <w:basedOn w:val="1"/>
    <w:next w:val="1"/>
    <w:qFormat/>
    <w:uiPriority w:val="39"/>
    <w:pPr>
      <w:ind w:left="1680" w:leftChars="800"/>
    </w:pPr>
  </w:style>
  <w:style w:type="paragraph" w:styleId="16">
    <w:name w:val="toc 3"/>
    <w:basedOn w:val="1"/>
    <w:next w:val="1"/>
    <w:qFormat/>
    <w:uiPriority w:val="39"/>
    <w:pPr>
      <w:ind w:left="840" w:leftChars="400"/>
    </w:pPr>
  </w:style>
  <w:style w:type="paragraph" w:styleId="17">
    <w:name w:val="Plain Text"/>
    <w:basedOn w:val="1"/>
    <w:link w:val="52"/>
    <w:qFormat/>
    <w:uiPriority w:val="0"/>
    <w:rPr>
      <w:rFonts w:ascii="宋体" w:hAnsi="Courier New"/>
      <w:spacing w:val="0"/>
      <w:sz w:val="21"/>
      <w:szCs w:val="20"/>
    </w:rPr>
  </w:style>
  <w:style w:type="paragraph" w:styleId="18">
    <w:name w:val="toc 8"/>
    <w:basedOn w:val="1"/>
    <w:next w:val="1"/>
    <w:qFormat/>
    <w:uiPriority w:val="39"/>
    <w:pPr>
      <w:ind w:left="2940" w:leftChars="1400"/>
    </w:pPr>
  </w:style>
  <w:style w:type="paragraph" w:styleId="19">
    <w:name w:val="Date"/>
    <w:basedOn w:val="1"/>
    <w:next w:val="1"/>
    <w:link w:val="53"/>
    <w:semiHidden/>
    <w:unhideWhenUsed/>
    <w:qFormat/>
    <w:uiPriority w:val="99"/>
    <w:pPr>
      <w:ind w:left="100" w:leftChars="2500"/>
    </w:pPr>
  </w:style>
  <w:style w:type="paragraph" w:styleId="20">
    <w:name w:val="Body Text Indent 2"/>
    <w:basedOn w:val="1"/>
    <w:semiHidden/>
    <w:qFormat/>
    <w:uiPriority w:val="0"/>
    <w:pPr>
      <w:spacing w:after="120" w:line="480" w:lineRule="auto"/>
      <w:ind w:left="420" w:leftChars="200"/>
    </w:pPr>
    <w:rPr>
      <w:spacing w:val="0"/>
      <w:sz w:val="21"/>
    </w:rPr>
  </w:style>
  <w:style w:type="paragraph" w:styleId="21">
    <w:name w:val="Balloon Text"/>
    <w:basedOn w:val="1"/>
    <w:link w:val="54"/>
    <w:semiHidden/>
    <w:unhideWhenUsed/>
    <w:qFormat/>
    <w:uiPriority w:val="99"/>
    <w:rPr>
      <w:sz w:val="18"/>
      <w:szCs w:val="18"/>
    </w:rPr>
  </w:style>
  <w:style w:type="paragraph" w:styleId="22">
    <w:name w:val="footer"/>
    <w:basedOn w:val="1"/>
    <w:link w:val="55"/>
    <w:qFormat/>
    <w:uiPriority w:val="99"/>
    <w:pPr>
      <w:tabs>
        <w:tab w:val="center" w:pos="4153"/>
        <w:tab w:val="right" w:pos="8306"/>
      </w:tabs>
      <w:snapToGrid w:val="0"/>
      <w:jc w:val="left"/>
    </w:pPr>
    <w:rPr>
      <w:sz w:val="18"/>
      <w:szCs w:val="18"/>
    </w:rPr>
  </w:style>
  <w:style w:type="paragraph" w:styleId="23">
    <w:name w:val="header"/>
    <w:basedOn w:val="1"/>
    <w:link w:val="56"/>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pPr>
      <w:tabs>
        <w:tab w:val="right" w:leader="dot" w:pos="9345"/>
      </w:tabs>
    </w:pPr>
    <w:rPr>
      <w:rFonts w:ascii="Arial" w:hAnsi="Arial" w:cs="Arial"/>
      <w:sz w:val="22"/>
      <w:szCs w:val="22"/>
    </w:rPr>
  </w:style>
  <w:style w:type="paragraph" w:styleId="25">
    <w:name w:val="toc 4"/>
    <w:basedOn w:val="1"/>
    <w:next w:val="1"/>
    <w:qFormat/>
    <w:uiPriority w:val="39"/>
    <w:pPr>
      <w:ind w:left="1260" w:leftChars="600"/>
    </w:pPr>
  </w:style>
  <w:style w:type="paragraph" w:styleId="26">
    <w:name w:val="Subtitle"/>
    <w:basedOn w:val="1"/>
    <w:next w:val="1"/>
    <w:link w:val="57"/>
    <w:qFormat/>
    <w:uiPriority w:val="11"/>
    <w:pPr>
      <w:spacing w:before="240" w:after="60" w:line="312" w:lineRule="auto"/>
      <w:jc w:val="center"/>
      <w:outlineLvl w:val="1"/>
    </w:pPr>
    <w:rPr>
      <w:rFonts w:asciiTheme="minorHAnsi" w:hAnsiTheme="minorHAnsi" w:eastAsiaTheme="minorEastAsia" w:cstheme="minorBidi"/>
      <w:b/>
      <w:bCs/>
      <w:spacing w:val="0"/>
      <w:kern w:val="28"/>
      <w:sz w:val="32"/>
      <w:szCs w:val="32"/>
    </w:rPr>
  </w:style>
  <w:style w:type="paragraph" w:styleId="27">
    <w:name w:val="toc 6"/>
    <w:basedOn w:val="1"/>
    <w:next w:val="1"/>
    <w:qFormat/>
    <w:uiPriority w:val="39"/>
    <w:pPr>
      <w:ind w:left="2100" w:leftChars="1000"/>
    </w:pPr>
  </w:style>
  <w:style w:type="paragraph" w:styleId="28">
    <w:name w:val="toc 2"/>
    <w:basedOn w:val="1"/>
    <w:next w:val="1"/>
    <w:qFormat/>
    <w:uiPriority w:val="39"/>
    <w:pPr>
      <w:tabs>
        <w:tab w:val="left" w:pos="940"/>
        <w:tab w:val="right" w:leader="dot" w:pos="9345"/>
      </w:tabs>
      <w:ind w:left="416" w:leftChars="200"/>
    </w:pPr>
    <w:rPr>
      <w:rFonts w:ascii="Arial" w:hAnsi="Arial" w:cs="Arial"/>
    </w:rPr>
  </w:style>
  <w:style w:type="paragraph" w:styleId="29">
    <w:name w:val="toc 9"/>
    <w:basedOn w:val="1"/>
    <w:next w:val="1"/>
    <w:qFormat/>
    <w:uiPriority w:val="39"/>
    <w:pPr>
      <w:ind w:left="3360" w:leftChars="1600"/>
    </w:pPr>
  </w:style>
  <w:style w:type="paragraph" w:styleId="30">
    <w:name w:val="HTML Preformatted"/>
    <w:basedOn w:val="1"/>
    <w:link w:val="122"/>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pacing w:val="0"/>
      <w:kern w:val="0"/>
      <w:sz w:val="24"/>
    </w:rPr>
  </w:style>
  <w:style w:type="paragraph" w:styleId="31">
    <w:name w:val="Normal (Web)"/>
    <w:basedOn w:val="1"/>
    <w:unhideWhenUsed/>
    <w:qFormat/>
    <w:uiPriority w:val="99"/>
    <w:pPr>
      <w:widowControl/>
      <w:spacing w:before="100" w:beforeAutospacing="1" w:after="100" w:afterAutospacing="1"/>
      <w:jc w:val="left"/>
    </w:pPr>
    <w:rPr>
      <w:rFonts w:ascii="宋体" w:hAnsi="宋体" w:cs="宋体"/>
      <w:spacing w:val="0"/>
      <w:kern w:val="0"/>
      <w:sz w:val="24"/>
    </w:rPr>
  </w:style>
  <w:style w:type="paragraph" w:styleId="32">
    <w:name w:val="annotation subject"/>
    <w:basedOn w:val="12"/>
    <w:next w:val="12"/>
    <w:link w:val="58"/>
    <w:semiHidden/>
    <w:unhideWhenUsed/>
    <w:qFormat/>
    <w:uiPriority w:val="99"/>
    <w:rPr>
      <w:b/>
      <w:bCs/>
      <w:spacing w:val="0"/>
      <w:sz w:val="21"/>
    </w:rPr>
  </w:style>
  <w:style w:type="table" w:styleId="34">
    <w:name w:val="Table Grid"/>
    <w:basedOn w:val="3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qFormat/>
    <w:uiPriority w:val="22"/>
    <w:rPr>
      <w:b/>
      <w:bCs/>
    </w:rPr>
  </w:style>
  <w:style w:type="character" w:styleId="37">
    <w:name w:val="page number"/>
    <w:basedOn w:val="35"/>
    <w:qFormat/>
    <w:uiPriority w:val="0"/>
  </w:style>
  <w:style w:type="character" w:styleId="38">
    <w:name w:val="FollowedHyperlink"/>
    <w:basedOn w:val="35"/>
    <w:semiHidden/>
    <w:qFormat/>
    <w:uiPriority w:val="0"/>
    <w:rPr>
      <w:color w:val="800080"/>
      <w:u w:val="single"/>
    </w:rPr>
  </w:style>
  <w:style w:type="character" w:styleId="39">
    <w:name w:val="Hyperlink"/>
    <w:basedOn w:val="35"/>
    <w:unhideWhenUsed/>
    <w:qFormat/>
    <w:uiPriority w:val="99"/>
    <w:rPr>
      <w:color w:val="0000FF" w:themeColor="hyperlink"/>
      <w:u w:val="single"/>
      <w14:textFill>
        <w14:solidFill>
          <w14:schemeClr w14:val="hlink"/>
        </w14:solidFill>
      </w14:textFill>
    </w:rPr>
  </w:style>
  <w:style w:type="character" w:styleId="40">
    <w:name w:val="annotation reference"/>
    <w:basedOn w:val="35"/>
    <w:semiHidden/>
    <w:unhideWhenUsed/>
    <w:qFormat/>
    <w:uiPriority w:val="99"/>
    <w:rPr>
      <w:sz w:val="21"/>
      <w:szCs w:val="21"/>
    </w:rPr>
  </w:style>
  <w:style w:type="character" w:customStyle="1" w:styleId="41">
    <w:name w:val="标题 1 Char"/>
    <w:basedOn w:val="35"/>
    <w:link w:val="2"/>
    <w:qFormat/>
    <w:uiPriority w:val="9"/>
    <w:rPr>
      <w:rFonts w:ascii="Arial" w:hAnsi="Arial" w:eastAsia="黑体" w:cs="Arial"/>
      <w:bCs/>
      <w:spacing w:val="4"/>
      <w:kern w:val="44"/>
      <w:sz w:val="32"/>
      <w:szCs w:val="44"/>
    </w:rPr>
  </w:style>
  <w:style w:type="character" w:customStyle="1" w:styleId="42">
    <w:name w:val="标题 2 Char"/>
    <w:basedOn w:val="35"/>
    <w:link w:val="3"/>
    <w:qFormat/>
    <w:uiPriority w:val="0"/>
    <w:rPr>
      <w:rFonts w:ascii="Arial" w:hAnsi="Arial" w:eastAsia="黑体"/>
      <w:bCs/>
      <w:spacing w:val="4"/>
      <w:kern w:val="2"/>
      <w:sz w:val="24"/>
      <w:szCs w:val="32"/>
    </w:rPr>
  </w:style>
  <w:style w:type="character" w:customStyle="1" w:styleId="43">
    <w:name w:val="标题 3 Char"/>
    <w:basedOn w:val="35"/>
    <w:link w:val="4"/>
    <w:qFormat/>
    <w:uiPriority w:val="9"/>
    <w:rPr>
      <w:rFonts w:ascii="Arial" w:hAnsi="Arial" w:eastAsia="黑体"/>
      <w:bCs/>
      <w:spacing w:val="4"/>
      <w:kern w:val="2"/>
      <w:sz w:val="18"/>
      <w:szCs w:val="32"/>
    </w:rPr>
  </w:style>
  <w:style w:type="character" w:customStyle="1" w:styleId="44">
    <w:name w:val="标题 4 Char"/>
    <w:basedOn w:val="35"/>
    <w:link w:val="5"/>
    <w:qFormat/>
    <w:uiPriority w:val="0"/>
    <w:rPr>
      <w:b/>
      <w:spacing w:val="4"/>
      <w:kern w:val="2"/>
      <w:sz w:val="30"/>
      <w:szCs w:val="24"/>
    </w:rPr>
  </w:style>
  <w:style w:type="character" w:customStyle="1" w:styleId="45">
    <w:name w:val="标题 5 Char"/>
    <w:basedOn w:val="35"/>
    <w:link w:val="6"/>
    <w:qFormat/>
    <w:uiPriority w:val="0"/>
    <w:rPr>
      <w:b/>
      <w:bCs/>
      <w:spacing w:val="4"/>
      <w:kern w:val="2"/>
      <w:sz w:val="22"/>
      <w:szCs w:val="24"/>
    </w:rPr>
  </w:style>
  <w:style w:type="character" w:customStyle="1" w:styleId="46">
    <w:name w:val="标题 6 Char"/>
    <w:basedOn w:val="35"/>
    <w:link w:val="7"/>
    <w:qFormat/>
    <w:uiPriority w:val="0"/>
    <w:rPr>
      <w:i/>
      <w:iCs/>
      <w:spacing w:val="4"/>
      <w:kern w:val="2"/>
      <w:sz w:val="15"/>
      <w:szCs w:val="24"/>
    </w:rPr>
  </w:style>
  <w:style w:type="character" w:customStyle="1" w:styleId="47">
    <w:name w:val="标题 7 Char"/>
    <w:basedOn w:val="35"/>
    <w:link w:val="8"/>
    <w:qFormat/>
    <w:uiPriority w:val="0"/>
    <w:rPr>
      <w:spacing w:val="4"/>
      <w:kern w:val="2"/>
      <w:sz w:val="15"/>
      <w:szCs w:val="18"/>
    </w:rPr>
  </w:style>
  <w:style w:type="character" w:customStyle="1" w:styleId="48">
    <w:name w:val="标题 8 Char"/>
    <w:basedOn w:val="35"/>
    <w:link w:val="9"/>
    <w:qFormat/>
    <w:uiPriority w:val="0"/>
    <w:rPr>
      <w:rFonts w:ascii="Cambria" w:hAnsi="Cambria"/>
      <w:sz w:val="24"/>
      <w:szCs w:val="24"/>
    </w:rPr>
  </w:style>
  <w:style w:type="character" w:customStyle="1" w:styleId="49">
    <w:name w:val="标题 9 Char"/>
    <w:basedOn w:val="35"/>
    <w:link w:val="10"/>
    <w:qFormat/>
    <w:uiPriority w:val="0"/>
    <w:rPr>
      <w:rFonts w:ascii="Cambria" w:hAnsi="Cambria"/>
    </w:rPr>
  </w:style>
  <w:style w:type="character" w:customStyle="1" w:styleId="50">
    <w:name w:val="批注文字 Char"/>
    <w:basedOn w:val="35"/>
    <w:link w:val="12"/>
    <w:qFormat/>
    <w:uiPriority w:val="99"/>
    <w:rPr>
      <w:spacing w:val="4"/>
      <w:kern w:val="2"/>
      <w:szCs w:val="24"/>
    </w:rPr>
  </w:style>
  <w:style w:type="character" w:customStyle="1" w:styleId="51">
    <w:name w:val="正文文本 Char"/>
    <w:basedOn w:val="35"/>
    <w:link w:val="13"/>
    <w:qFormat/>
    <w:uiPriority w:val="1"/>
    <w:rPr>
      <w:spacing w:val="4"/>
      <w:kern w:val="2"/>
      <w:szCs w:val="24"/>
    </w:rPr>
  </w:style>
  <w:style w:type="character" w:customStyle="1" w:styleId="52">
    <w:name w:val="纯文本 Char"/>
    <w:basedOn w:val="35"/>
    <w:link w:val="17"/>
    <w:qFormat/>
    <w:uiPriority w:val="0"/>
    <w:rPr>
      <w:rFonts w:ascii="宋体" w:hAnsi="Courier New"/>
      <w:kern w:val="2"/>
      <w:sz w:val="21"/>
    </w:rPr>
  </w:style>
  <w:style w:type="character" w:customStyle="1" w:styleId="53">
    <w:name w:val="日期 Char"/>
    <w:basedOn w:val="35"/>
    <w:link w:val="19"/>
    <w:semiHidden/>
    <w:qFormat/>
    <w:uiPriority w:val="99"/>
    <w:rPr>
      <w:spacing w:val="4"/>
      <w:kern w:val="2"/>
      <w:szCs w:val="24"/>
    </w:rPr>
  </w:style>
  <w:style w:type="character" w:customStyle="1" w:styleId="54">
    <w:name w:val="批注框文本 Char"/>
    <w:basedOn w:val="35"/>
    <w:link w:val="21"/>
    <w:semiHidden/>
    <w:qFormat/>
    <w:uiPriority w:val="99"/>
    <w:rPr>
      <w:spacing w:val="4"/>
      <w:kern w:val="2"/>
      <w:sz w:val="18"/>
      <w:szCs w:val="18"/>
    </w:rPr>
  </w:style>
  <w:style w:type="character" w:customStyle="1" w:styleId="55">
    <w:name w:val="页脚 Char"/>
    <w:basedOn w:val="35"/>
    <w:link w:val="22"/>
    <w:qFormat/>
    <w:uiPriority w:val="99"/>
    <w:rPr>
      <w:spacing w:val="4"/>
      <w:kern w:val="2"/>
      <w:sz w:val="18"/>
      <w:szCs w:val="18"/>
    </w:rPr>
  </w:style>
  <w:style w:type="character" w:customStyle="1" w:styleId="56">
    <w:name w:val="页眉 Char"/>
    <w:basedOn w:val="35"/>
    <w:link w:val="23"/>
    <w:qFormat/>
    <w:uiPriority w:val="99"/>
    <w:rPr>
      <w:spacing w:val="4"/>
      <w:kern w:val="2"/>
      <w:sz w:val="18"/>
      <w:szCs w:val="18"/>
    </w:rPr>
  </w:style>
  <w:style w:type="character" w:customStyle="1" w:styleId="57">
    <w:name w:val="副标题 Char"/>
    <w:basedOn w:val="35"/>
    <w:link w:val="26"/>
    <w:qFormat/>
    <w:uiPriority w:val="11"/>
    <w:rPr>
      <w:rFonts w:asciiTheme="minorHAnsi" w:hAnsiTheme="minorHAnsi" w:eastAsiaTheme="minorEastAsia" w:cstheme="minorBidi"/>
      <w:b/>
      <w:bCs/>
      <w:kern w:val="28"/>
      <w:sz w:val="32"/>
      <w:szCs w:val="32"/>
    </w:rPr>
  </w:style>
  <w:style w:type="character" w:customStyle="1" w:styleId="58">
    <w:name w:val="批注主题 Char"/>
    <w:basedOn w:val="50"/>
    <w:link w:val="32"/>
    <w:semiHidden/>
    <w:qFormat/>
    <w:uiPriority w:val="99"/>
    <w:rPr>
      <w:b/>
      <w:bCs/>
      <w:spacing w:val="4"/>
      <w:kern w:val="2"/>
      <w:sz w:val="21"/>
      <w:szCs w:val="24"/>
    </w:rPr>
  </w:style>
  <w:style w:type="paragraph" w:customStyle="1" w:styleId="59">
    <w:name w:val="标准标志"/>
    <w:next w:val="1"/>
    <w:qFormat/>
    <w:uiPriority w:val="0"/>
    <w:pPr>
      <w:framePr w:w="2268" w:h="1392" w:hRule="exact" w:wrap="auto" w:vAnchor="margin" w:hAnchor="margin" w:x="6748" w:y="171" w:anchorLock="1"/>
      <w:shd w:val="solid" w:color="FFFFFF" w:fill="FFFFFF"/>
      <w:spacing w:line="240" w:lineRule="atLeast"/>
      <w:jc w:val="right"/>
    </w:pPr>
    <w:rPr>
      <w:rFonts w:ascii="Times New Roman" w:hAnsi="Times New Roman" w:eastAsia="宋体" w:cs="Times New Roman"/>
      <w:b/>
      <w:bCs/>
      <w:w w:val="130"/>
      <w:sz w:val="96"/>
      <w:szCs w:val="96"/>
      <w:lang w:val="en-US" w:eastAsia="zh-CN" w:bidi="ar-SA"/>
    </w:rPr>
  </w:style>
  <w:style w:type="paragraph" w:customStyle="1" w:styleId="60">
    <w:name w:val="标准称谓"/>
    <w:next w:val="1"/>
    <w:qFormat/>
    <w:uiPriority w:val="0"/>
    <w:pPr>
      <w:framePr w:w="9638" w:h="754" w:hRule="exact" w:hSpace="180" w:vSpace="180" w:wrap="auto" w:vAnchor="page" w:hAnchor="margin" w:xAlign="center" w:y="2128" w:anchorLock="1"/>
      <w:widowControl w:val="0"/>
      <w:kinsoku w:val="0"/>
      <w:overflowPunct w:val="0"/>
      <w:autoSpaceDE w:val="0"/>
      <w:autoSpaceDN w:val="0"/>
      <w:spacing w:line="240" w:lineRule="atLeast"/>
      <w:jc w:val="distribute"/>
    </w:pPr>
    <w:rPr>
      <w:rFonts w:ascii="宋体" w:hAnsi="Times New Roman" w:eastAsia="宋体" w:cs="Times New Roman"/>
      <w:b/>
      <w:bCs/>
      <w:spacing w:val="20"/>
      <w:w w:val="148"/>
      <w:sz w:val="52"/>
      <w:szCs w:val="52"/>
      <w:lang w:val="en-US" w:eastAsia="zh-CN" w:bidi="ar-SA"/>
    </w:rPr>
  </w:style>
  <w:style w:type="paragraph" w:customStyle="1" w:styleId="61">
    <w:name w:val="标准书脚_偶数页"/>
    <w:qFormat/>
    <w:uiPriority w:val="0"/>
    <w:pPr>
      <w:spacing w:before="120"/>
    </w:pPr>
    <w:rPr>
      <w:rFonts w:ascii="Times New Roman" w:hAnsi="Times New Roman" w:eastAsia="宋体" w:cs="Times New Roman"/>
      <w:sz w:val="18"/>
      <w:szCs w:val="18"/>
      <w:lang w:val="en-US" w:eastAsia="zh-CN" w:bidi="ar-SA"/>
    </w:rPr>
  </w:style>
  <w:style w:type="paragraph" w:customStyle="1" w:styleId="62">
    <w:name w:val="标准书脚_奇数页"/>
    <w:qFormat/>
    <w:uiPriority w:val="0"/>
    <w:pPr>
      <w:spacing w:before="120"/>
      <w:jc w:val="right"/>
    </w:pPr>
    <w:rPr>
      <w:rFonts w:ascii="Times New Roman" w:hAnsi="Times New Roman" w:eastAsia="宋体" w:cs="Times New Roman"/>
      <w:sz w:val="18"/>
      <w:szCs w:val="18"/>
      <w:lang w:val="en-US" w:eastAsia="zh-CN" w:bidi="ar-SA"/>
    </w:rPr>
  </w:style>
  <w:style w:type="paragraph" w:customStyle="1" w:styleId="6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szCs w:val="21"/>
      <w:lang w:val="en-US" w:eastAsia="zh-CN" w:bidi="ar-SA"/>
    </w:rPr>
  </w:style>
  <w:style w:type="paragraph" w:customStyle="1" w:styleId="64">
    <w:name w:val="标准书眉_偶数页"/>
    <w:basedOn w:val="63"/>
    <w:next w:val="1"/>
    <w:qFormat/>
    <w:uiPriority w:val="0"/>
    <w:pPr>
      <w:jc w:val="left"/>
    </w:pPr>
  </w:style>
  <w:style w:type="paragraph" w:customStyle="1" w:styleId="65">
    <w:name w:val="标准书眉一"/>
    <w:qFormat/>
    <w:uiPriority w:val="0"/>
    <w:pPr>
      <w:jc w:val="both"/>
    </w:pPr>
    <w:rPr>
      <w:rFonts w:ascii="Times New Roman" w:hAnsi="Times New Roman" w:eastAsia="宋体" w:cs="Times New Roman"/>
      <w:lang w:val="en-US" w:eastAsia="zh-CN" w:bidi="ar-SA"/>
    </w:rPr>
  </w:style>
  <w:style w:type="paragraph" w:customStyle="1" w:styleId="66">
    <w:name w:val="2级标题"/>
    <w:basedOn w:val="1"/>
    <w:qFormat/>
    <w:uiPriority w:val="0"/>
    <w:pPr>
      <w:numPr>
        <w:ilvl w:val="1"/>
        <w:numId w:val="1"/>
      </w:numPr>
      <w:tabs>
        <w:tab w:val="left" w:pos="240"/>
      </w:tabs>
      <w:spacing w:before="480" w:after="360"/>
      <w:jc w:val="left"/>
      <w:outlineLvl w:val="1"/>
    </w:pPr>
    <w:rPr>
      <w:rFonts w:eastAsia="黑体"/>
      <w:spacing w:val="0"/>
      <w:sz w:val="30"/>
      <w:szCs w:val="20"/>
    </w:rPr>
  </w:style>
  <w:style w:type="paragraph" w:customStyle="1" w:styleId="67">
    <w:name w:val="3级标题"/>
    <w:basedOn w:val="1"/>
    <w:qFormat/>
    <w:uiPriority w:val="0"/>
    <w:pPr>
      <w:numPr>
        <w:ilvl w:val="2"/>
        <w:numId w:val="1"/>
      </w:numPr>
      <w:tabs>
        <w:tab w:val="left" w:pos="240"/>
      </w:tabs>
      <w:spacing w:before="480" w:after="360"/>
      <w:jc w:val="left"/>
      <w:outlineLvl w:val="2"/>
    </w:pPr>
    <w:rPr>
      <w:rFonts w:eastAsia="黑体"/>
      <w:spacing w:val="0"/>
      <w:sz w:val="28"/>
      <w:szCs w:val="20"/>
    </w:rPr>
  </w:style>
  <w:style w:type="paragraph" w:customStyle="1" w:styleId="68">
    <w:name w:val="标题3"/>
    <w:basedOn w:val="1"/>
    <w:next w:val="4"/>
    <w:qFormat/>
    <w:uiPriority w:val="0"/>
    <w:pPr>
      <w:numPr>
        <w:ilvl w:val="0"/>
        <w:numId w:val="2"/>
      </w:numPr>
      <w:adjustRightInd w:val="0"/>
      <w:snapToGrid w:val="0"/>
      <w:spacing w:line="360" w:lineRule="auto"/>
      <w:ind w:left="0" w:firstLine="0"/>
      <w:jc w:val="left"/>
      <w:outlineLvl w:val="2"/>
    </w:pPr>
    <w:rPr>
      <w:rFonts w:ascii="Arial" w:hAnsi="Arial"/>
      <w:spacing w:val="0"/>
      <w:sz w:val="24"/>
      <w:szCs w:val="21"/>
    </w:rPr>
  </w:style>
  <w:style w:type="paragraph" w:customStyle="1" w:styleId="69">
    <w:name w:val="标题3.1"/>
    <w:basedOn w:val="1"/>
    <w:next w:val="1"/>
    <w:qFormat/>
    <w:uiPriority w:val="0"/>
    <w:pPr>
      <w:numPr>
        <w:ilvl w:val="0"/>
        <w:numId w:val="3"/>
      </w:numPr>
      <w:spacing w:line="360" w:lineRule="auto"/>
      <w:jc w:val="left"/>
      <w:outlineLvl w:val="2"/>
    </w:pPr>
    <w:rPr>
      <w:rFonts w:ascii="Arial" w:hAnsi="Arial"/>
      <w:spacing w:val="0"/>
      <w:kern w:val="0"/>
      <w:sz w:val="24"/>
      <w:szCs w:val="20"/>
    </w:rPr>
  </w:style>
  <w:style w:type="paragraph" w:customStyle="1" w:styleId="70">
    <w:name w:val="标题3.3"/>
    <w:basedOn w:val="1"/>
    <w:next w:val="1"/>
    <w:qFormat/>
    <w:uiPriority w:val="0"/>
    <w:pPr>
      <w:numPr>
        <w:ilvl w:val="0"/>
        <w:numId w:val="4"/>
      </w:numPr>
      <w:spacing w:line="360" w:lineRule="auto"/>
      <w:jc w:val="left"/>
      <w:outlineLvl w:val="2"/>
    </w:pPr>
    <w:rPr>
      <w:rFonts w:ascii="Arial" w:hAnsi="Arial"/>
      <w:spacing w:val="0"/>
      <w:kern w:val="0"/>
      <w:sz w:val="24"/>
      <w:szCs w:val="20"/>
    </w:rPr>
  </w:style>
  <w:style w:type="paragraph" w:customStyle="1" w:styleId="71">
    <w:name w:val="标题3.4"/>
    <w:basedOn w:val="1"/>
    <w:next w:val="1"/>
    <w:qFormat/>
    <w:uiPriority w:val="0"/>
    <w:pPr>
      <w:numPr>
        <w:ilvl w:val="0"/>
        <w:numId w:val="5"/>
      </w:numPr>
      <w:spacing w:line="360" w:lineRule="auto"/>
      <w:jc w:val="left"/>
      <w:outlineLvl w:val="2"/>
    </w:pPr>
    <w:rPr>
      <w:rFonts w:ascii="Arial" w:hAnsi="Arial"/>
      <w:spacing w:val="0"/>
      <w:kern w:val="0"/>
      <w:sz w:val="24"/>
      <w:szCs w:val="20"/>
    </w:rPr>
  </w:style>
  <w:style w:type="paragraph" w:customStyle="1" w:styleId="72">
    <w:name w:val="标题3.5"/>
    <w:basedOn w:val="1"/>
    <w:next w:val="1"/>
    <w:qFormat/>
    <w:uiPriority w:val="0"/>
    <w:pPr>
      <w:spacing w:line="360" w:lineRule="auto"/>
      <w:ind w:left="2100" w:hanging="420"/>
      <w:jc w:val="left"/>
      <w:outlineLvl w:val="2"/>
    </w:pPr>
    <w:rPr>
      <w:rFonts w:ascii="Arial" w:hAnsi="Arial"/>
      <w:spacing w:val="0"/>
      <w:kern w:val="0"/>
      <w:sz w:val="24"/>
      <w:szCs w:val="20"/>
    </w:rPr>
  </w:style>
  <w:style w:type="paragraph" w:customStyle="1" w:styleId="73">
    <w:name w:val="3级"/>
    <w:basedOn w:val="1"/>
    <w:next w:val="1"/>
    <w:qFormat/>
    <w:uiPriority w:val="0"/>
    <w:pPr>
      <w:numPr>
        <w:ilvl w:val="2"/>
        <w:numId w:val="6"/>
      </w:numPr>
      <w:spacing w:line="360" w:lineRule="auto"/>
      <w:jc w:val="left"/>
    </w:pPr>
    <w:rPr>
      <w:rFonts w:ascii="Arial" w:hAnsi="Arial"/>
      <w:spacing w:val="0"/>
      <w:sz w:val="24"/>
      <w:szCs w:val="21"/>
    </w:rPr>
  </w:style>
  <w:style w:type="paragraph" w:customStyle="1" w:styleId="74">
    <w:name w:val="标题4"/>
    <w:basedOn w:val="1"/>
    <w:next w:val="1"/>
    <w:qFormat/>
    <w:uiPriority w:val="0"/>
    <w:pPr>
      <w:numPr>
        <w:ilvl w:val="0"/>
        <w:numId w:val="7"/>
      </w:numPr>
      <w:autoSpaceDE w:val="0"/>
      <w:autoSpaceDN w:val="0"/>
      <w:spacing w:line="360" w:lineRule="auto"/>
      <w:ind w:left="0" w:firstLine="200" w:firstLineChars="200"/>
      <w:jc w:val="left"/>
    </w:pPr>
    <w:rPr>
      <w:color w:val="000000"/>
      <w:spacing w:val="0"/>
      <w:kern w:val="0"/>
    </w:rPr>
  </w:style>
  <w:style w:type="paragraph" w:customStyle="1" w:styleId="75">
    <w:name w:val="标题4.1"/>
    <w:basedOn w:val="1"/>
    <w:next w:val="1"/>
    <w:qFormat/>
    <w:uiPriority w:val="0"/>
    <w:pPr>
      <w:numPr>
        <w:ilvl w:val="0"/>
        <w:numId w:val="8"/>
      </w:numPr>
      <w:autoSpaceDE w:val="0"/>
      <w:autoSpaceDN w:val="0"/>
      <w:spacing w:line="360" w:lineRule="auto"/>
      <w:ind w:left="0" w:firstLine="200" w:firstLineChars="200"/>
      <w:jc w:val="left"/>
    </w:pPr>
    <w:rPr>
      <w:color w:val="000000"/>
      <w:spacing w:val="0"/>
      <w:kern w:val="0"/>
    </w:rPr>
  </w:style>
  <w:style w:type="paragraph" w:customStyle="1" w:styleId="76">
    <w:name w:val="标题4.4"/>
    <w:basedOn w:val="1"/>
    <w:next w:val="1"/>
    <w:qFormat/>
    <w:uiPriority w:val="0"/>
    <w:pPr>
      <w:numPr>
        <w:ilvl w:val="0"/>
        <w:numId w:val="9"/>
      </w:numPr>
      <w:autoSpaceDE w:val="0"/>
      <w:autoSpaceDN w:val="0"/>
      <w:adjustRightInd w:val="0"/>
      <w:spacing w:line="360" w:lineRule="auto"/>
      <w:ind w:left="0" w:firstLine="200" w:firstLineChars="200"/>
      <w:jc w:val="left"/>
      <w:outlineLvl w:val="4"/>
    </w:pPr>
    <w:rPr>
      <w:color w:val="000000"/>
      <w:spacing w:val="0"/>
      <w:kern w:val="0"/>
    </w:rPr>
  </w:style>
  <w:style w:type="paragraph" w:customStyle="1" w:styleId="77">
    <w:name w:val="标题4.5"/>
    <w:basedOn w:val="1"/>
    <w:next w:val="1"/>
    <w:qFormat/>
    <w:uiPriority w:val="0"/>
    <w:pPr>
      <w:numPr>
        <w:ilvl w:val="0"/>
        <w:numId w:val="10"/>
      </w:numPr>
      <w:autoSpaceDE w:val="0"/>
      <w:autoSpaceDN w:val="0"/>
      <w:adjustRightInd w:val="0"/>
      <w:spacing w:line="360" w:lineRule="auto"/>
      <w:ind w:left="0" w:firstLine="200" w:firstLineChars="200"/>
      <w:jc w:val="left"/>
      <w:outlineLvl w:val="4"/>
    </w:pPr>
    <w:rPr>
      <w:color w:val="000000"/>
      <w:spacing w:val="0"/>
      <w:kern w:val="0"/>
    </w:rPr>
  </w:style>
  <w:style w:type="paragraph" w:customStyle="1" w:styleId="78">
    <w:name w:val="标题4.8"/>
    <w:basedOn w:val="1"/>
    <w:next w:val="1"/>
    <w:qFormat/>
    <w:uiPriority w:val="0"/>
    <w:pPr>
      <w:numPr>
        <w:ilvl w:val="0"/>
        <w:numId w:val="11"/>
      </w:numPr>
      <w:autoSpaceDE w:val="0"/>
      <w:autoSpaceDN w:val="0"/>
      <w:adjustRightInd w:val="0"/>
      <w:spacing w:line="360" w:lineRule="auto"/>
      <w:ind w:left="0" w:firstLine="200" w:firstLineChars="200"/>
      <w:jc w:val="left"/>
    </w:pPr>
    <w:rPr>
      <w:color w:val="000000"/>
      <w:spacing w:val="0"/>
      <w:kern w:val="0"/>
    </w:rPr>
  </w:style>
  <w:style w:type="paragraph" w:customStyle="1" w:styleId="79">
    <w:name w:val="标题4.8.3"/>
    <w:basedOn w:val="1"/>
    <w:next w:val="1"/>
    <w:qFormat/>
    <w:uiPriority w:val="0"/>
    <w:pPr>
      <w:numPr>
        <w:ilvl w:val="0"/>
        <w:numId w:val="12"/>
      </w:numPr>
      <w:spacing w:line="360" w:lineRule="auto"/>
      <w:ind w:left="0" w:firstLine="200" w:firstLineChars="200"/>
      <w:jc w:val="left"/>
    </w:pPr>
    <w:rPr>
      <w:spacing w:val="0"/>
      <w:sz w:val="21"/>
    </w:rPr>
  </w:style>
  <w:style w:type="paragraph" w:customStyle="1" w:styleId="80">
    <w:name w:val="表中文字"/>
    <w:qFormat/>
    <w:uiPriority w:val="0"/>
    <w:pPr>
      <w:widowControl w:val="0"/>
      <w:adjustRightInd w:val="0"/>
      <w:snapToGrid w:val="0"/>
      <w:jc w:val="center"/>
      <w:textAlignment w:val="baseline"/>
    </w:pPr>
    <w:rPr>
      <w:rFonts w:ascii="Times New Roman" w:hAnsi="Times New Roman" w:eastAsia="宋体" w:cs="Times New Roman"/>
      <w:kern w:val="2"/>
      <w:sz w:val="21"/>
      <w:szCs w:val="21"/>
      <w:lang w:val="en-US" w:eastAsia="zh-CN" w:bidi="ar-SA"/>
    </w:rPr>
  </w:style>
  <w:style w:type="character" w:customStyle="1" w:styleId="81">
    <w:name w:val="表中文字 Char"/>
    <w:qFormat/>
    <w:uiPriority w:val="0"/>
    <w:rPr>
      <w:rFonts w:ascii="Times New Roman" w:hAnsi="Times New Roman"/>
      <w:kern w:val="2"/>
      <w:sz w:val="21"/>
      <w:szCs w:val="21"/>
      <w:lang w:val="en-US" w:eastAsia="zh-CN" w:bidi="ar-SA"/>
    </w:rPr>
  </w:style>
  <w:style w:type="paragraph" w:customStyle="1" w:styleId="82">
    <w:name w:val="表格文字图表文字"/>
    <w:basedOn w:val="1"/>
    <w:qFormat/>
    <w:uiPriority w:val="0"/>
    <w:pPr>
      <w:snapToGrid w:val="0"/>
      <w:jc w:val="center"/>
    </w:pPr>
    <w:rPr>
      <w:spacing w:val="0"/>
      <w:sz w:val="21"/>
      <w:szCs w:val="20"/>
    </w:rPr>
  </w:style>
  <w:style w:type="paragraph" w:customStyle="1" w:styleId="83">
    <w:name w:val="3"/>
    <w:basedOn w:val="4"/>
    <w:qFormat/>
    <w:uiPriority w:val="0"/>
    <w:pPr>
      <w:snapToGrid/>
      <w:spacing w:before="0" w:after="0" w:line="360" w:lineRule="auto"/>
      <w:ind w:left="567" w:hanging="567"/>
      <w:jc w:val="both"/>
    </w:pPr>
    <w:rPr>
      <w:rFonts w:ascii="Times New Roman" w:hAnsi="Times New Roman" w:eastAsia="宋体"/>
      <w:spacing w:val="0"/>
      <w:kern w:val="0"/>
      <w:sz w:val="24"/>
      <w:szCs w:val="24"/>
    </w:rPr>
  </w:style>
  <w:style w:type="character" w:customStyle="1" w:styleId="84">
    <w:name w:val="标题4 Char"/>
    <w:qFormat/>
    <w:uiPriority w:val="0"/>
    <w:rPr>
      <w:rFonts w:ascii="Times New Roman" w:hAnsi="Times New Roman" w:eastAsia="宋体" w:cs="Times New Roman"/>
      <w:color w:val="000000"/>
      <w:kern w:val="0"/>
      <w:sz w:val="20"/>
      <w:szCs w:val="24"/>
    </w:rPr>
  </w:style>
  <w:style w:type="paragraph" w:customStyle="1" w:styleId="85">
    <w:name w:val="标题4.2"/>
    <w:basedOn w:val="1"/>
    <w:next w:val="1"/>
    <w:qFormat/>
    <w:uiPriority w:val="0"/>
    <w:pPr>
      <w:adjustRightInd w:val="0"/>
      <w:spacing w:line="360" w:lineRule="auto"/>
      <w:ind w:firstLine="200" w:firstLineChars="200"/>
      <w:jc w:val="left"/>
    </w:pPr>
    <w:rPr>
      <w:spacing w:val="0"/>
      <w:kern w:val="0"/>
    </w:rPr>
  </w:style>
  <w:style w:type="character" w:customStyle="1" w:styleId="86">
    <w:name w:val="标题4.1 Char"/>
    <w:qFormat/>
    <w:uiPriority w:val="0"/>
    <w:rPr>
      <w:rFonts w:ascii="Times New Roman" w:hAnsi="Times New Roman" w:eastAsia="宋体" w:cs="Times New Roman"/>
      <w:color w:val="000000"/>
      <w:kern w:val="0"/>
      <w:sz w:val="20"/>
      <w:szCs w:val="24"/>
    </w:rPr>
  </w:style>
  <w:style w:type="character" w:customStyle="1" w:styleId="87">
    <w:name w:val="标题4.4 Char"/>
    <w:qFormat/>
    <w:uiPriority w:val="0"/>
    <w:rPr>
      <w:rFonts w:ascii="Times New Roman" w:hAnsi="Times New Roman" w:eastAsia="宋体" w:cs="Times New Roman"/>
      <w:color w:val="000000"/>
      <w:kern w:val="0"/>
      <w:sz w:val="20"/>
      <w:szCs w:val="24"/>
    </w:rPr>
  </w:style>
  <w:style w:type="character" w:customStyle="1" w:styleId="88">
    <w:name w:val="标题4.5 Char"/>
    <w:qFormat/>
    <w:uiPriority w:val="0"/>
    <w:rPr>
      <w:rFonts w:ascii="Times New Roman" w:hAnsi="Times New Roman" w:eastAsia="宋体" w:cs="Times New Roman"/>
      <w:color w:val="000000"/>
      <w:kern w:val="0"/>
      <w:sz w:val="20"/>
      <w:szCs w:val="24"/>
    </w:rPr>
  </w:style>
  <w:style w:type="paragraph" w:customStyle="1" w:styleId="89">
    <w:name w:val="标题4.8.2"/>
    <w:basedOn w:val="1"/>
    <w:next w:val="1"/>
    <w:qFormat/>
    <w:uiPriority w:val="0"/>
    <w:pPr>
      <w:spacing w:line="360" w:lineRule="auto"/>
      <w:ind w:firstLine="200" w:firstLineChars="200"/>
      <w:jc w:val="left"/>
    </w:pPr>
    <w:rPr>
      <w:color w:val="000000"/>
      <w:spacing w:val="0"/>
      <w:kern w:val="0"/>
    </w:rPr>
  </w:style>
  <w:style w:type="character" w:customStyle="1" w:styleId="90">
    <w:name w:val="标题4.8 Char"/>
    <w:qFormat/>
    <w:uiPriority w:val="0"/>
    <w:rPr>
      <w:rFonts w:ascii="Times New Roman" w:hAnsi="Times New Roman" w:eastAsia="宋体" w:cs="Times New Roman"/>
      <w:color w:val="000000"/>
      <w:kern w:val="0"/>
      <w:sz w:val="20"/>
      <w:szCs w:val="24"/>
    </w:rPr>
  </w:style>
  <w:style w:type="character" w:customStyle="1" w:styleId="91">
    <w:name w:val="标题4.8.2 Char"/>
    <w:qFormat/>
    <w:uiPriority w:val="0"/>
    <w:rPr>
      <w:rFonts w:ascii="Times New Roman" w:hAnsi="Times New Roman" w:eastAsia="宋体" w:cs="Times New Roman"/>
      <w:color w:val="000000"/>
      <w:kern w:val="0"/>
      <w:sz w:val="20"/>
      <w:szCs w:val="24"/>
    </w:rPr>
  </w:style>
  <w:style w:type="paragraph" w:customStyle="1" w:styleId="92">
    <w:name w:val="表格文字格式"/>
    <w:basedOn w:val="1"/>
    <w:qFormat/>
    <w:uiPriority w:val="0"/>
    <w:pPr>
      <w:snapToGrid w:val="0"/>
      <w:jc w:val="center"/>
    </w:pPr>
    <w:rPr>
      <w:spacing w:val="0"/>
      <w:sz w:val="21"/>
      <w:szCs w:val="20"/>
    </w:rPr>
  </w:style>
  <w:style w:type="paragraph" w:customStyle="1" w:styleId="93">
    <w:name w:val="修订1"/>
    <w:hidden/>
    <w:semiHidden/>
    <w:qFormat/>
    <w:uiPriority w:val="0"/>
    <w:rPr>
      <w:rFonts w:ascii="Times New Roman" w:hAnsi="Times New Roman" w:eastAsia="宋体" w:cs="Times New Roman"/>
      <w:kern w:val="2"/>
      <w:sz w:val="21"/>
      <w:szCs w:val="24"/>
      <w:lang w:val="en-US" w:eastAsia="zh-CN" w:bidi="ar-SA"/>
    </w:rPr>
  </w:style>
  <w:style w:type="paragraph" w:customStyle="1" w:styleId="94">
    <w:name w:val="表中注解"/>
    <w:basedOn w:val="80"/>
    <w:qFormat/>
    <w:uiPriority w:val="0"/>
    <w:pPr>
      <w:adjustRightInd/>
      <w:snapToGrid/>
      <w:spacing w:line="500" w:lineRule="exact"/>
      <w:ind w:left="781" w:leftChars="287" w:hanging="178" w:hangingChars="85"/>
      <w:jc w:val="both"/>
      <w:textAlignment w:val="auto"/>
    </w:pPr>
    <w:rPr>
      <w:sz w:val="20"/>
      <w:szCs w:val="20"/>
    </w:rPr>
  </w:style>
  <w:style w:type="paragraph" w:customStyle="1" w:styleId="95">
    <w:name w:val="表名"/>
    <w:basedOn w:val="1"/>
    <w:qFormat/>
    <w:uiPriority w:val="0"/>
    <w:pPr>
      <w:adjustRightInd w:val="0"/>
      <w:snapToGrid w:val="0"/>
      <w:spacing w:line="500" w:lineRule="exact"/>
      <w:jc w:val="center"/>
    </w:pPr>
    <w:rPr>
      <w:rFonts w:eastAsia="黑体"/>
      <w:spacing w:val="0"/>
      <w:sz w:val="21"/>
      <w:szCs w:val="21"/>
    </w:rPr>
  </w:style>
  <w:style w:type="paragraph" w:customStyle="1" w:styleId="96">
    <w:name w:val="表头居中"/>
    <w:basedOn w:val="1"/>
    <w:qFormat/>
    <w:uiPriority w:val="0"/>
    <w:pPr>
      <w:jc w:val="center"/>
    </w:pPr>
    <w:rPr>
      <w:spacing w:val="0"/>
      <w:kern w:val="0"/>
      <w:sz w:val="24"/>
      <w:szCs w:val="20"/>
    </w:rPr>
  </w:style>
  <w:style w:type="paragraph" w:customStyle="1" w:styleId="97">
    <w:name w:val="表格，五宋"/>
    <w:qFormat/>
    <w:uiPriority w:val="0"/>
    <w:pPr>
      <w:keepNext/>
      <w:widowControl w:val="0"/>
      <w:adjustRightInd w:val="0"/>
      <w:spacing w:line="360" w:lineRule="exact"/>
      <w:jc w:val="center"/>
    </w:pPr>
    <w:rPr>
      <w:rFonts w:ascii="宋体" w:hAnsi="宋体" w:eastAsia="宋体" w:cs="Times New Roman"/>
      <w:sz w:val="21"/>
      <w:lang w:val="en-US" w:eastAsia="zh-CN" w:bidi="ar-SA"/>
    </w:rPr>
  </w:style>
  <w:style w:type="paragraph" w:customStyle="1" w:styleId="98">
    <w:name w:val="标准文本"/>
    <w:basedOn w:val="1"/>
    <w:qFormat/>
    <w:uiPriority w:val="0"/>
    <w:pPr>
      <w:spacing w:line="400" w:lineRule="exact"/>
      <w:ind w:firstLine="480" w:firstLineChars="200"/>
    </w:pPr>
    <w:rPr>
      <w:rFonts w:ascii="黑体" w:hAnsi="宋体"/>
      <w:spacing w:val="0"/>
      <w:sz w:val="24"/>
    </w:rPr>
  </w:style>
  <w:style w:type="paragraph" w:customStyle="1" w:styleId="99">
    <w:name w:val="表格"/>
    <w:basedOn w:val="1"/>
    <w:qFormat/>
    <w:uiPriority w:val="0"/>
    <w:pPr>
      <w:adjustRightInd w:val="0"/>
      <w:snapToGrid w:val="0"/>
      <w:jc w:val="center"/>
    </w:pPr>
    <w:rPr>
      <w:rFonts w:ascii="宋体" w:hAnsi="宋体"/>
      <w:color w:val="000000"/>
      <w:spacing w:val="0"/>
      <w:sz w:val="24"/>
    </w:rPr>
  </w:style>
  <w:style w:type="paragraph" w:customStyle="1" w:styleId="100">
    <w:name w:val="标准"/>
    <w:basedOn w:val="1"/>
    <w:semiHidden/>
    <w:qFormat/>
    <w:uiPriority w:val="0"/>
    <w:pPr>
      <w:autoSpaceDE w:val="0"/>
      <w:autoSpaceDN w:val="0"/>
      <w:adjustRightInd w:val="0"/>
      <w:snapToGrid w:val="0"/>
      <w:spacing w:line="312" w:lineRule="atLeast"/>
      <w:ind w:firstLine="555"/>
      <w:textAlignment w:val="baseline"/>
    </w:pPr>
    <w:rPr>
      <w:rFonts w:ascii="宋体" w:hAnsi="Tms Rmn"/>
      <w:spacing w:val="0"/>
      <w:kern w:val="0"/>
      <w:sz w:val="28"/>
      <w:szCs w:val="20"/>
    </w:rPr>
  </w:style>
  <w:style w:type="paragraph" w:customStyle="1" w:styleId="101">
    <w:name w:val="表格1"/>
    <w:semiHidden/>
    <w:qFormat/>
    <w:uiPriority w:val="0"/>
    <w:pPr>
      <w:keepNext/>
      <w:jc w:val="center"/>
    </w:pPr>
    <w:rPr>
      <w:rFonts w:ascii="宋体" w:hAnsi="Times New Roman" w:eastAsia="宋体" w:cs="Times New Roman"/>
      <w:snapToGrid w:val="0"/>
      <w:spacing w:val="6"/>
      <w:w w:val="95"/>
      <w:sz w:val="24"/>
      <w:lang w:val="en-US" w:eastAsia="zh-CN" w:bidi="ar-SA"/>
    </w:rPr>
  </w:style>
  <w:style w:type="paragraph" w:customStyle="1" w:styleId="102">
    <w:name w:val="表文"/>
    <w:basedOn w:val="1"/>
    <w:semiHidden/>
    <w:qFormat/>
    <w:uiPriority w:val="0"/>
    <w:pPr>
      <w:adjustRightInd w:val="0"/>
      <w:snapToGrid w:val="0"/>
      <w:spacing w:line="320" w:lineRule="atLeast"/>
      <w:jc w:val="center"/>
      <w:textAlignment w:val="baseline"/>
    </w:pPr>
    <w:rPr>
      <w:spacing w:val="0"/>
      <w:kern w:val="24"/>
      <w:sz w:val="24"/>
      <w:szCs w:val="20"/>
    </w:rPr>
  </w:style>
  <w:style w:type="paragraph" w:customStyle="1" w:styleId="103">
    <w:name w:val="标题1"/>
    <w:basedOn w:val="2"/>
    <w:qFormat/>
    <w:uiPriority w:val="0"/>
    <w:pPr>
      <w:autoSpaceDE w:val="0"/>
      <w:autoSpaceDN w:val="0"/>
      <w:adjustRightInd w:val="0"/>
      <w:spacing w:beforeLines="50" w:afterLines="50" w:line="360" w:lineRule="auto"/>
      <w:textAlignment w:val="baseline"/>
    </w:pPr>
    <w:rPr>
      <w:rFonts w:ascii="黑体" w:hAnsi="Tms Rmn" w:cs="Times New Roman"/>
      <w:bCs w:val="0"/>
      <w:spacing w:val="0"/>
      <w:sz w:val="28"/>
      <w:szCs w:val="28"/>
    </w:rPr>
  </w:style>
  <w:style w:type="paragraph" w:customStyle="1" w:styleId="104">
    <w:name w:val="标题2"/>
    <w:basedOn w:val="1"/>
    <w:qFormat/>
    <w:uiPriority w:val="0"/>
    <w:pPr>
      <w:spacing w:line="360" w:lineRule="auto"/>
    </w:pPr>
    <w:rPr>
      <w:spacing w:val="0"/>
      <w:sz w:val="24"/>
      <w:szCs w:val="20"/>
    </w:rPr>
  </w:style>
  <w:style w:type="paragraph" w:customStyle="1" w:styleId="105">
    <w:name w:val="表格名称"/>
    <w:basedOn w:val="1"/>
    <w:qFormat/>
    <w:uiPriority w:val="0"/>
    <w:pPr>
      <w:snapToGrid w:val="0"/>
      <w:spacing w:beforeLines="50" w:line="360" w:lineRule="auto"/>
      <w:jc w:val="center"/>
    </w:pPr>
    <w:rPr>
      <w:rFonts w:ascii="黑体" w:hAnsi="黑体" w:eastAsia="黑体"/>
      <w:spacing w:val="0"/>
      <w:sz w:val="21"/>
      <w:szCs w:val="20"/>
    </w:rPr>
  </w:style>
  <w:style w:type="character" w:customStyle="1" w:styleId="106">
    <w:name w:val="标题9 Char"/>
    <w:qFormat/>
    <w:locked/>
    <w:uiPriority w:val="0"/>
    <w:rPr>
      <w:rFonts w:ascii="Arial" w:hAnsi="Arial"/>
      <w:sz w:val="24"/>
    </w:rPr>
  </w:style>
  <w:style w:type="paragraph" w:customStyle="1" w:styleId="107">
    <w:name w:val="标题9"/>
    <w:basedOn w:val="1"/>
    <w:next w:val="1"/>
    <w:qFormat/>
    <w:uiPriority w:val="0"/>
    <w:pPr>
      <w:spacing w:line="360" w:lineRule="auto"/>
      <w:ind w:left="3905" w:hanging="360"/>
      <w:jc w:val="left"/>
      <w:outlineLvl w:val="2"/>
    </w:pPr>
    <w:rPr>
      <w:rFonts w:ascii="Arial" w:hAnsi="Arial"/>
      <w:spacing w:val="0"/>
      <w:kern w:val="0"/>
      <w:sz w:val="24"/>
      <w:szCs w:val="20"/>
    </w:rPr>
  </w:style>
  <w:style w:type="paragraph" w:customStyle="1" w:styleId="108">
    <w:name w:val="9"/>
    <w:basedOn w:val="2"/>
    <w:next w:val="1"/>
    <w:qFormat/>
    <w:uiPriority w:val="0"/>
    <w:pPr>
      <w:keepNext w:val="0"/>
      <w:keepLines w:val="0"/>
      <w:snapToGrid/>
      <w:spacing w:beforeLines="50" w:afterLines="0" w:line="360" w:lineRule="auto"/>
    </w:pPr>
    <w:rPr>
      <w:rFonts w:ascii="Times New Roman" w:hAnsi="Times New Roman" w:cs="Times New Roman"/>
      <w:b/>
      <w:spacing w:val="0"/>
      <w:sz w:val="28"/>
      <w:szCs w:val="28"/>
    </w:rPr>
  </w:style>
  <w:style w:type="paragraph" w:customStyle="1" w:styleId="109">
    <w:name w:val="样式 样式 标题 2 + 段前: 0.5 行 段后: 0.5 行1 + (西文) Times New Roman (中文) 宋体1"/>
    <w:basedOn w:val="1"/>
    <w:qFormat/>
    <w:uiPriority w:val="0"/>
    <w:pPr>
      <w:keepNext/>
      <w:keepLines/>
      <w:tabs>
        <w:tab w:val="left" w:pos="360"/>
      </w:tabs>
      <w:spacing w:afterLines="50" w:line="288" w:lineRule="auto"/>
      <w:jc w:val="center"/>
      <w:outlineLvl w:val="1"/>
    </w:pPr>
    <w:rPr>
      <w:rFonts w:cs="宋体"/>
      <w:spacing w:val="0"/>
      <w:sz w:val="24"/>
      <w:szCs w:val="20"/>
    </w:rPr>
  </w:style>
  <w:style w:type="paragraph" w:styleId="110">
    <w:name w:val="List Paragraph"/>
    <w:basedOn w:val="1"/>
    <w:qFormat/>
    <w:uiPriority w:val="34"/>
    <w:pPr>
      <w:ind w:firstLine="420" w:firstLineChars="200"/>
    </w:pPr>
  </w:style>
  <w:style w:type="paragraph" w:customStyle="1" w:styleId="111">
    <w:name w:val="ordinary-output"/>
    <w:basedOn w:val="1"/>
    <w:qFormat/>
    <w:uiPriority w:val="0"/>
    <w:pPr>
      <w:widowControl/>
      <w:spacing w:before="100" w:beforeAutospacing="1" w:after="100" w:afterAutospacing="1" w:line="275" w:lineRule="atLeast"/>
      <w:jc w:val="left"/>
    </w:pPr>
    <w:rPr>
      <w:rFonts w:ascii="宋体" w:hAnsi="宋体" w:cs="宋体"/>
      <w:color w:val="333333"/>
      <w:spacing w:val="0"/>
      <w:kern w:val="0"/>
      <w:szCs w:val="20"/>
    </w:rPr>
  </w:style>
  <w:style w:type="character" w:customStyle="1" w:styleId="112">
    <w:name w:val="high-light-bg4"/>
    <w:basedOn w:val="35"/>
    <w:qFormat/>
    <w:uiPriority w:val="0"/>
  </w:style>
  <w:style w:type="character" w:styleId="113">
    <w:name w:val="Placeholder Text"/>
    <w:basedOn w:val="35"/>
    <w:semiHidden/>
    <w:qFormat/>
    <w:uiPriority w:val="99"/>
    <w:rPr>
      <w:color w:val="808080"/>
    </w:rPr>
  </w:style>
  <w:style w:type="paragraph" w:customStyle="1" w:styleId="114">
    <w:name w:val="报告正文"/>
    <w:basedOn w:val="1"/>
    <w:qFormat/>
    <w:uiPriority w:val="0"/>
    <w:pPr>
      <w:spacing w:line="480" w:lineRule="exact"/>
      <w:ind w:firstLine="200" w:firstLineChars="200"/>
    </w:pPr>
    <w:rPr>
      <w:rFonts w:ascii="宋体"/>
      <w:color w:val="0000FF"/>
      <w:spacing w:val="0"/>
      <w:sz w:val="28"/>
      <w:szCs w:val="28"/>
    </w:rPr>
  </w:style>
  <w:style w:type="paragraph" w:customStyle="1" w:styleId="115">
    <w:name w:val="Char Char Char"/>
    <w:basedOn w:val="1"/>
    <w:qFormat/>
    <w:uiPriority w:val="0"/>
    <w:pPr>
      <w:widowControl/>
    </w:pPr>
    <w:rPr>
      <w:rFonts w:ascii="仿宋_GB2312" w:eastAsia="楷体_GB2312"/>
      <w:b/>
      <w:spacing w:val="0"/>
      <w:sz w:val="32"/>
      <w:szCs w:val="32"/>
    </w:rPr>
  </w:style>
  <w:style w:type="paragraph" w:customStyle="1" w:styleId="116">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17">
    <w:name w:val="TOC 标题1"/>
    <w:basedOn w:val="2"/>
    <w:next w:val="1"/>
    <w:semiHidden/>
    <w:unhideWhenUsed/>
    <w:qFormat/>
    <w:uiPriority w:val="39"/>
    <w:pPr>
      <w:widowControl/>
      <w:snapToGrid/>
      <w:spacing w:beforeLines="0" w:afterLines="0" w:line="276" w:lineRule="auto"/>
      <w:jc w:val="left"/>
      <w:outlineLvl w:val="9"/>
    </w:pPr>
    <w:rPr>
      <w:rFonts w:asciiTheme="majorHAnsi" w:hAnsiTheme="majorHAnsi" w:eastAsiaTheme="majorEastAsia" w:cstheme="majorBidi"/>
      <w:b/>
      <w:color w:val="376092" w:themeColor="accent1" w:themeShade="BF"/>
      <w:spacing w:val="0"/>
      <w:kern w:val="0"/>
      <w:sz w:val="28"/>
      <w:szCs w:val="28"/>
    </w:rPr>
  </w:style>
  <w:style w:type="paragraph" w:customStyle="1" w:styleId="118">
    <w:name w:val="Pa0"/>
    <w:basedOn w:val="116"/>
    <w:next w:val="116"/>
    <w:qFormat/>
    <w:uiPriority w:val="99"/>
    <w:pPr>
      <w:spacing w:line="241" w:lineRule="atLeast"/>
    </w:pPr>
    <w:rPr>
      <w:rFonts w:ascii="方正书宋" w:hAnsi="Times New Roman" w:eastAsia="方正书宋" w:cs="Times New Roman"/>
      <w:color w:val="auto"/>
    </w:rPr>
  </w:style>
  <w:style w:type="character" w:customStyle="1" w:styleId="119">
    <w:name w:val="A9"/>
    <w:qFormat/>
    <w:uiPriority w:val="99"/>
    <w:rPr>
      <w:rFonts w:ascii="方正小标宋..." w:eastAsia="方正小标宋..." w:cs="方正小标宋..."/>
      <w:color w:val="211D1E"/>
      <w:sz w:val="20"/>
      <w:szCs w:val="20"/>
    </w:rPr>
  </w:style>
  <w:style w:type="paragraph" w:customStyle="1" w:styleId="120">
    <w:name w:val="Pa19"/>
    <w:basedOn w:val="116"/>
    <w:next w:val="116"/>
    <w:qFormat/>
    <w:uiPriority w:val="99"/>
    <w:pPr>
      <w:spacing w:line="241" w:lineRule="atLeast"/>
    </w:pPr>
    <w:rPr>
      <w:rFonts w:ascii="方正书宋" w:hAnsi="Times New Roman" w:eastAsia="方正书宋" w:cs="Times New Roman"/>
      <w:color w:val="auto"/>
    </w:rPr>
  </w:style>
  <w:style w:type="paragraph" w:customStyle="1" w:styleId="121">
    <w:name w:val="Table Paragraph"/>
    <w:basedOn w:val="1"/>
    <w:qFormat/>
    <w:uiPriority w:val="1"/>
    <w:pPr>
      <w:autoSpaceDE w:val="0"/>
      <w:autoSpaceDN w:val="0"/>
      <w:adjustRightInd w:val="0"/>
      <w:jc w:val="left"/>
    </w:pPr>
    <w:rPr>
      <w:spacing w:val="0"/>
      <w:kern w:val="0"/>
      <w:sz w:val="24"/>
    </w:rPr>
  </w:style>
  <w:style w:type="character" w:customStyle="1" w:styleId="122">
    <w:name w:val="HTML 预设格式 Char"/>
    <w:basedOn w:val="35"/>
    <w:link w:val="30"/>
    <w:semiHidden/>
    <w:qFormat/>
    <w:uiPriority w:val="99"/>
    <w:rPr>
      <w:rFonts w:ascii="宋体" w:hAnsi="宋体" w:cs="宋体"/>
      <w:sz w:val="24"/>
      <w:szCs w:val="24"/>
    </w:rPr>
  </w:style>
  <w:style w:type="paragraph" w:customStyle="1" w:styleId="123">
    <w:name w:val="表样式"/>
    <w:qFormat/>
    <w:uiPriority w:val="0"/>
    <w:pPr>
      <w:spacing w:before="10" w:beforeLines="10" w:after="10" w:afterLines="10"/>
      <w:jc w:val="center"/>
    </w:pPr>
    <w:rPr>
      <w:rFonts w:ascii="Times New Roman" w:hAnsi="Times New Roman" w:eastAsia="宋体" w:cs="Times New Roman"/>
      <w:sz w:val="24"/>
      <w:szCs w:val="24"/>
      <w:lang w:val="en-US" w:eastAsia="zh-CN" w:bidi="ar-SA"/>
    </w:rPr>
  </w:style>
  <w:style w:type="paragraph" w:customStyle="1" w:styleId="124">
    <w:name w:val="图表标题"/>
    <w:basedOn w:val="1"/>
    <w:link w:val="125"/>
    <w:qFormat/>
    <w:uiPriority w:val="0"/>
    <w:pPr>
      <w:snapToGrid w:val="0"/>
      <w:spacing w:before="62" w:beforeLines="20" w:after="62" w:afterLines="20"/>
      <w:jc w:val="center"/>
    </w:pPr>
    <w:rPr>
      <w:rFonts w:ascii="宋体" w:hAnsi="宋体"/>
      <w:b/>
      <w:bCs/>
      <w:spacing w:val="0"/>
      <w:sz w:val="24"/>
    </w:rPr>
  </w:style>
  <w:style w:type="character" w:customStyle="1" w:styleId="125">
    <w:name w:val="图表标题 Char"/>
    <w:basedOn w:val="35"/>
    <w:link w:val="124"/>
    <w:qFormat/>
    <w:uiPriority w:val="0"/>
    <w:rPr>
      <w:rFonts w:ascii="宋体" w:hAnsi="宋体"/>
      <w:b/>
      <w:bCs/>
      <w:kern w:val="2"/>
      <w:sz w:val="24"/>
      <w:szCs w:val="24"/>
    </w:rPr>
  </w:style>
  <w:style w:type="paragraph" w:customStyle="1" w:styleId="126">
    <w:name w:val="列出段落1"/>
    <w:basedOn w:val="1"/>
    <w:qFormat/>
    <w:uiPriority w:val="34"/>
    <w:pPr>
      <w:ind w:firstLine="420" w:firstLineChars="200"/>
    </w:pPr>
    <w:rPr>
      <w:spacing w:val="0"/>
      <w:sz w:val="21"/>
      <w:szCs w:val="20"/>
    </w:rPr>
  </w:style>
  <w:style w:type="table" w:customStyle="1" w:styleId="127">
    <w:name w:val="网格型1"/>
    <w:basedOn w:val="33"/>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8">
    <w:name w:val="TOC Heading"/>
    <w:basedOn w:val="2"/>
    <w:next w:val="1"/>
    <w:unhideWhenUsed/>
    <w:qFormat/>
    <w:uiPriority w:val="39"/>
    <w:pPr>
      <w:widowControl/>
      <w:snapToGrid/>
      <w:spacing w:before="240" w:beforeLines="0" w:afterLines="0" w:line="259" w:lineRule="auto"/>
      <w:jc w:val="left"/>
      <w:outlineLvl w:val="9"/>
    </w:pPr>
    <w:rPr>
      <w:rFonts w:asciiTheme="majorHAnsi" w:hAnsiTheme="majorHAnsi" w:eastAsiaTheme="majorEastAsia" w:cstheme="majorBidi"/>
      <w:bCs w:val="0"/>
      <w:color w:val="376092" w:themeColor="accent1" w:themeShade="BF"/>
      <w:spacing w:val="0"/>
      <w:kern w:val="0"/>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B25F41-A596-41DB-9369-0642D1AC95FB}">
  <ds:schemaRefs/>
</ds:datastoreItem>
</file>

<file path=docProps/app.xml><?xml version="1.0" encoding="utf-8"?>
<Properties xmlns="http://schemas.openxmlformats.org/officeDocument/2006/extended-properties" xmlns:vt="http://schemas.openxmlformats.org/officeDocument/2006/docPropsVTypes">
  <Template>Normal</Template>
  <Company>pf</Company>
  <Pages>71</Pages>
  <Words>2322</Words>
  <Characters>3669</Characters>
  <Lines>1591</Lines>
  <Paragraphs>1080</Paragraphs>
  <TotalTime>255</TotalTime>
  <ScaleCrop>false</ScaleCrop>
  <LinksUpToDate>false</LinksUpToDate>
  <CharactersWithSpaces>4121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2023-11-16T09:47:00Z</dcterms:created>
  <dc:creator>杨京生</dc:creator>
  <cp:lastModifiedBy> 祺</cp:lastModifiedBy>
  <cp:lastPrinted>2023-11-16T14:34:00Z</cp:lastPrinted>
  <dcterms:modified xsi:type="dcterms:W3CDTF">2025-05-13T07:13:59Z</dcterms:modified>
  <dc:title>北 京 市 地 方 标 准</dc:title>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2052-12.1.0.20784</vt:lpwstr>
  </property>
  <property fmtid="{D5CDD505-2E9C-101B-9397-08002B2CF9AE}" pid="4" name="ICV">
    <vt:lpwstr>EEA27504B9414E7399D0B2C4BE2CBCF9</vt:lpwstr>
  </property>
  <property fmtid="{D5CDD505-2E9C-101B-9397-08002B2CF9AE}" pid="5" name="KSOTemplateDocerSaveRecord">
    <vt:lpwstr>eyJoZGlkIjoiMjA2Njg2MDViYjg2YmYyZWIyNDQ3YjJjNmU5NDM4ZjgiLCJ1c2VySWQiOiI0MzU3NTE4NDAifQ==</vt:lpwstr>
  </property>
</Properties>
</file>