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255CA">
      <w:pPr>
        <w:spacing w:line="400" w:lineRule="exact"/>
        <w:jc w:val="center"/>
        <w:rPr>
          <w:rFonts w:eastAsia="黑体"/>
          <w:b/>
          <w:color w:val="000000"/>
          <w:sz w:val="36"/>
          <w:szCs w:val="36"/>
        </w:rPr>
      </w:pPr>
      <w:bookmarkStart w:id="0" w:name="SectionMark0"/>
      <w:r>
        <w:rPr>
          <w:color w:val="000000"/>
        </w:rPr>
        <mc:AlternateContent>
          <mc:Choice Requires="wps">
            <w:drawing>
              <wp:anchor distT="0" distB="0" distL="0" distR="0" simplePos="0" relativeHeight="251662336" behindDoc="0" locked="0" layoutInCell="1" allowOverlap="1">
                <wp:simplePos x="0" y="0"/>
                <wp:positionH relativeFrom="column">
                  <wp:posOffset>4029075</wp:posOffset>
                </wp:positionH>
                <wp:positionV relativeFrom="paragraph">
                  <wp:posOffset>-107950</wp:posOffset>
                </wp:positionV>
                <wp:extent cx="1981835" cy="1481455"/>
                <wp:effectExtent l="0" t="0" r="0" b="0"/>
                <wp:wrapNone/>
                <wp:docPr id="1027" name="文本框 124"/>
                <wp:cNvGraphicFramePr/>
                <a:graphic xmlns:a="http://schemas.openxmlformats.org/drawingml/2006/main">
                  <a:graphicData uri="http://schemas.microsoft.com/office/word/2010/wordprocessingShape">
                    <wps:wsp>
                      <wps:cNvSpPr/>
                      <wps:spPr>
                        <a:xfrm>
                          <a:off x="0" y="0"/>
                          <a:ext cx="1981834" cy="1481455"/>
                        </a:xfrm>
                        <a:prstGeom prst="rect">
                          <a:avLst/>
                        </a:prstGeom>
                      </wps:spPr>
                      <wps:txbx>
                        <w:txbxContent>
                          <w:p w14:paraId="04F3C0B1">
                            <w:pPr>
                              <w:rPr>
                                <w:rFonts w:ascii="Adobe 黑体 Std R" w:hAnsi="Adobe 黑体 Std R" w:eastAsia="Adobe 黑体 Std R"/>
                                <w:sz w:val="144"/>
                                <w:szCs w:val="144"/>
                              </w:rPr>
                            </w:pPr>
                            <w:r>
                              <w:rPr>
                                <w:rFonts w:ascii="Adobe 黑体 Std R" w:hAnsi="Adobe 黑体 Std R" w:eastAsia="Adobe 黑体 Std R"/>
                                <w:sz w:val="144"/>
                                <w:szCs w:val="144"/>
                              </w:rPr>
                              <w:t>D</w:t>
                            </w:r>
                            <w:r>
                              <w:rPr>
                                <w:rFonts w:hint="eastAsia" w:ascii="Adobe 黑体 Std R" w:hAnsi="Adobe 黑体 Std R" w:eastAsia="Adobe 黑体 Std R"/>
                                <w:sz w:val="144"/>
                                <w:szCs w:val="144"/>
                              </w:rPr>
                              <w:t>B</w:t>
                            </w:r>
                          </w:p>
                        </w:txbxContent>
                      </wps:txbx>
                      <wps:bodyPr upright="1"/>
                    </wps:wsp>
                  </a:graphicData>
                </a:graphic>
              </wp:anchor>
            </w:drawing>
          </mc:Choice>
          <mc:Fallback>
            <w:pict>
              <v:rect id="文本框 124" o:spid="_x0000_s1026" o:spt="1" style="position:absolute;left:0pt;margin-left:317.25pt;margin-top:-8.5pt;height:116.65pt;width:156.05pt;z-index:251662336;mso-width-relative:page;mso-height-relative:page;" filled="f" stroked="f" coordsize="21600,21600" o:gfxdata="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KEmKDNwAAAALAQAADwAAAAAA&#10;AAABACAAAAAiAAAAZHJzL2Rvd25yZXYueG1sUEsBAhQAFAAAAAgAh07iQHUZovidAQAAJwMAAA4A&#10;AAAAAAAAAQAgAAAAKwEAAGRycy9lMm9Eb2MueG1sUEsFBgAAAAAGAAYAWQEAADoFAAAAAA==&#10;">
                <v:fill on="f" focussize="0,0"/>
                <v:stroke on="f"/>
                <v:imagedata o:title=""/>
                <o:lock v:ext="edit" aspectratio="f"/>
                <v:textbox>
                  <w:txbxContent>
                    <w:p w14:paraId="04F3C0B1">
                      <w:pPr>
                        <w:rPr>
                          <w:rFonts w:ascii="Adobe 黑体 Std R" w:hAnsi="Adobe 黑体 Std R" w:eastAsia="Adobe 黑体 Std R"/>
                          <w:sz w:val="144"/>
                          <w:szCs w:val="144"/>
                        </w:rPr>
                      </w:pPr>
                      <w:r>
                        <w:rPr>
                          <w:rFonts w:ascii="Adobe 黑体 Std R" w:hAnsi="Adobe 黑体 Std R" w:eastAsia="Adobe 黑体 Std R"/>
                          <w:sz w:val="144"/>
                          <w:szCs w:val="144"/>
                        </w:rPr>
                        <w:t>D</w:t>
                      </w:r>
                      <w:r>
                        <w:rPr>
                          <w:rFonts w:hint="eastAsia" w:ascii="Adobe 黑体 Std R" w:hAnsi="Adobe 黑体 Std R" w:eastAsia="Adobe 黑体 Std R"/>
                          <w:sz w:val="144"/>
                          <w:szCs w:val="144"/>
                        </w:rPr>
                        <w:t>B</w:t>
                      </w:r>
                    </w:p>
                  </w:txbxContent>
                </v:textbox>
              </v:rect>
            </w:pict>
          </mc:Fallback>
        </mc:AlternateContent>
      </w:r>
    </w:p>
    <w:p w14:paraId="52ADB6B5">
      <w:pPr>
        <w:spacing w:line="400" w:lineRule="exact"/>
        <w:outlineLvl w:val="0"/>
        <w:rPr>
          <w:b/>
          <w:color w:val="000000"/>
          <w:sz w:val="28"/>
          <w:szCs w:val="28"/>
        </w:rPr>
      </w:pPr>
      <w:bookmarkStart w:id="1" w:name="_Toc9500"/>
      <w:bookmarkStart w:id="2" w:name="_Toc397965640"/>
      <w:bookmarkStart w:id="3" w:name="_Toc17869"/>
      <w:bookmarkStart w:id="4" w:name="_Toc27112"/>
      <w:bookmarkStart w:id="5" w:name="_Toc25233"/>
      <w:bookmarkStart w:id="6" w:name="_Toc404681284"/>
      <w:bookmarkStart w:id="7" w:name="_Toc16525"/>
      <w:bookmarkStart w:id="8" w:name="_Toc14959"/>
      <w:bookmarkStart w:id="9" w:name="_Toc14844"/>
      <w:bookmarkStart w:id="10" w:name="_Toc25737"/>
      <w:bookmarkStart w:id="11" w:name="_Toc21686"/>
      <w:bookmarkStart w:id="12" w:name="_Toc25100"/>
      <w:bookmarkStart w:id="13" w:name="_Toc25503"/>
      <w:bookmarkStart w:id="14" w:name="_Toc16120"/>
      <w:bookmarkStart w:id="15" w:name="_Toc5522"/>
      <w:bookmarkStart w:id="16" w:name="_Toc29135"/>
      <w:bookmarkStart w:id="17" w:name="_Toc13425"/>
      <w:bookmarkStart w:id="18" w:name="_Toc1215"/>
      <w:bookmarkStart w:id="19" w:name="_Toc4880"/>
      <w:bookmarkStart w:id="20" w:name="_Toc19346"/>
      <w:bookmarkStart w:id="21" w:name="_Toc778"/>
      <w:bookmarkStart w:id="22" w:name="_Toc32362"/>
      <w:r>
        <w:rPr>
          <w:b/>
          <w:color w:val="000000"/>
          <w:sz w:val="28"/>
          <w:szCs w:val="28"/>
        </w:rPr>
        <w:t>UG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C3C7A8C">
      <w:pPr>
        <w:spacing w:line="520" w:lineRule="exact"/>
        <w:ind w:firstLine="2400" w:firstLineChars="500"/>
        <w:outlineLvl w:val="0"/>
        <w:rPr>
          <w:b/>
          <w:color w:val="000000"/>
          <w:sz w:val="28"/>
          <w:szCs w:val="28"/>
        </w:rPr>
      </w:pPr>
      <w:bookmarkStart w:id="23" w:name="_Toc21552"/>
      <w:bookmarkStart w:id="24" w:name="_Toc30229"/>
      <w:bookmarkStart w:id="25" w:name="_Toc26851"/>
      <w:bookmarkStart w:id="26" w:name="_Toc26066"/>
      <w:bookmarkStart w:id="27" w:name="_Toc29857"/>
      <w:bookmarkStart w:id="28" w:name="_Toc1460"/>
      <w:bookmarkStart w:id="29" w:name="_Toc1466"/>
      <w:bookmarkStart w:id="30" w:name="_Toc28012"/>
      <w:bookmarkStart w:id="31" w:name="_Toc1494"/>
      <w:bookmarkStart w:id="32" w:name="_Toc1875"/>
      <w:bookmarkStart w:id="33" w:name="_Toc2496"/>
      <w:bookmarkStart w:id="34" w:name="_Toc26441"/>
      <w:bookmarkStart w:id="35" w:name="_Toc24620"/>
      <w:bookmarkStart w:id="36" w:name="_Toc13746"/>
      <w:bookmarkStart w:id="37" w:name="_Toc1624"/>
      <w:bookmarkStart w:id="38" w:name="_Toc982"/>
      <w:bookmarkStart w:id="39" w:name="_Toc3071"/>
      <w:bookmarkStart w:id="40" w:name="_Toc13589"/>
      <w:bookmarkStart w:id="41" w:name="_Toc17592"/>
      <w:r>
        <w:rPr>
          <w:rFonts w:eastAsia="黑体"/>
          <w:color w:val="000000"/>
          <w:sz w:val="48"/>
          <w:szCs w:val="48"/>
        </w:rPr>
        <w:t>北京市地方标准</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198AF47">
      <w:pPr>
        <w:spacing w:line="400" w:lineRule="exact"/>
        <w:ind w:firstLine="480" w:firstLineChars="100"/>
        <w:rPr>
          <w:rFonts w:eastAsia="黑体"/>
          <w:color w:val="000000"/>
          <w:sz w:val="48"/>
          <w:szCs w:val="48"/>
        </w:rPr>
      </w:pPr>
    </w:p>
    <w:p w14:paraId="762ECD79">
      <w:pPr>
        <w:spacing w:line="400" w:lineRule="exact"/>
        <w:rPr>
          <w:b/>
          <w:color w:val="000000"/>
          <w:szCs w:val="21"/>
        </w:rPr>
      </w:pPr>
    </w:p>
    <w:p w14:paraId="1390E35E">
      <w:pPr>
        <w:spacing w:line="400" w:lineRule="exact"/>
        <w:ind w:firstLine="2108" w:firstLineChars="1000"/>
        <w:rPr>
          <w:b/>
          <w:snapToGrid w:val="0"/>
          <w:color w:val="000000"/>
          <w:kern w:val="0"/>
          <w:szCs w:val="21"/>
        </w:rPr>
      </w:pPr>
      <w:r>
        <w:rPr>
          <w:b/>
          <w:color w:val="000000"/>
          <w:szCs w:val="21"/>
        </w:rPr>
        <w:t xml:space="preserve">                               </w:t>
      </w:r>
      <w:r>
        <w:rPr>
          <w:b/>
          <w:snapToGrid w:val="0"/>
          <w:color w:val="000000"/>
          <w:kern w:val="0"/>
          <w:szCs w:val="21"/>
        </w:rPr>
        <w:t>编  号：DB11/</w:t>
      </w:r>
      <w:r>
        <w:rPr>
          <w:rFonts w:hint="eastAsia"/>
          <w:b/>
          <w:snapToGrid w:val="0"/>
          <w:color w:val="000000"/>
          <w:kern w:val="0"/>
          <w:szCs w:val="21"/>
          <w:lang w:val="en-US" w:eastAsia="zh-CN"/>
        </w:rPr>
        <w:t>T</w:t>
      </w:r>
      <w:r>
        <w:rPr>
          <w:b/>
          <w:snapToGrid w:val="0"/>
          <w:color w:val="000000"/>
          <w:kern w:val="0"/>
          <w:szCs w:val="21"/>
        </w:rPr>
        <w:t xml:space="preserve"> XXXX－202X</w:t>
      </w:r>
    </w:p>
    <w:p w14:paraId="5A46E4C1">
      <w:pPr>
        <w:spacing w:line="400" w:lineRule="exact"/>
        <w:rPr>
          <w:b/>
          <w:color w:val="000000"/>
          <w:szCs w:val="21"/>
        </w:rPr>
      </w:pPr>
      <w:r>
        <w:rPr>
          <w:b/>
          <w:color w:val="000000"/>
          <w:szCs w:val="21"/>
        </w:rPr>
        <w:t xml:space="preserve">                                                   备案号：J×</w:t>
      </w:r>
      <w:r>
        <w:rPr>
          <w:rFonts w:hint="eastAsia"/>
          <w:b/>
          <w:color w:val="000000"/>
          <w:szCs w:val="21"/>
        </w:rPr>
        <w:t>—</w:t>
      </w:r>
      <w:r>
        <w:rPr>
          <w:b/>
          <w:color w:val="000000"/>
          <w:szCs w:val="21"/>
        </w:rPr>
        <w:t>202×</w:t>
      </w:r>
    </w:p>
    <w:p w14:paraId="37AA10C3">
      <w:pPr>
        <w:spacing w:line="400" w:lineRule="exact"/>
        <w:rPr>
          <w:color w:val="000000"/>
          <w:sz w:val="28"/>
          <w:szCs w:val="28"/>
        </w:rPr>
      </w:pPr>
      <w:r>
        <w:rPr>
          <w:color w:val="000000"/>
        </w:rPr>
        <mc:AlternateContent>
          <mc:Choice Requires="wps">
            <w:drawing>
              <wp:anchor distT="0" distB="0" distL="0" distR="0" simplePos="0" relativeHeight="251663360" behindDoc="0" locked="0" layoutInCell="1" allowOverlap="1">
                <wp:simplePos x="0" y="0"/>
                <wp:positionH relativeFrom="column">
                  <wp:posOffset>-19050</wp:posOffset>
                </wp:positionH>
                <wp:positionV relativeFrom="paragraph">
                  <wp:posOffset>49530</wp:posOffset>
                </wp:positionV>
                <wp:extent cx="5509260" cy="0"/>
                <wp:effectExtent l="0" t="0" r="0" b="0"/>
                <wp:wrapNone/>
                <wp:docPr id="1029" name="直接连接符 123"/>
                <wp:cNvGraphicFramePr/>
                <a:graphic xmlns:a="http://schemas.openxmlformats.org/drawingml/2006/main">
                  <a:graphicData uri="http://schemas.microsoft.com/office/word/2010/wordprocessingShape">
                    <wps:wsp>
                      <wps:cNvCnPr/>
                      <wps:spPr>
                        <a:xfrm>
                          <a:off x="0" y="0"/>
                          <a:ext cx="5509260" cy="0"/>
                        </a:xfrm>
                        <a:prstGeom prst="line">
                          <a:avLst/>
                        </a:prstGeom>
                        <a:ln w="9525" cap="flat" cmpd="sng">
                          <a:solidFill>
                            <a:srgbClr val="000000"/>
                          </a:solidFill>
                          <a:prstDash val="solid"/>
                          <a:miter/>
                        </a:ln>
                      </wps:spPr>
                      <wps:bodyPr/>
                    </wps:wsp>
                  </a:graphicData>
                </a:graphic>
              </wp:anchor>
            </w:drawing>
          </mc:Choice>
          <mc:Fallback>
            <w:pict>
              <v:line id="直接连接符 123" o:spid="_x0000_s1026" o:spt="20" style="position:absolute;left:0pt;margin-left:-1.5pt;margin-top:3.9pt;height:0pt;width:433.8pt;z-index:251663360;mso-width-relative:page;mso-height-relative:page;" filled="f" stroked="t" coordsize="21600,21600" o:gfxdata="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2Nsv+1gAAAAYBAAAPAAAAAAAAAAEAIAAA&#10;ACIAAABkcnMvZG93bnJldi54bWxQSwECFAAUAAAACACHTuJATJ3Iy9UBAACTAwAADgAAAAAAAAAB&#10;ACAAAAAlAQAAZHJzL2Uyb0RvYy54bWxQSwUGAAAAAAYABgBZAQAAbAUAAAAA&#10;">
                <v:fill on="f" focussize="0,0"/>
                <v:stroke color="#000000" joinstyle="miter"/>
                <v:imagedata o:title=""/>
                <o:lock v:ext="edit" aspectratio="f"/>
              </v:line>
            </w:pict>
          </mc:Fallback>
        </mc:AlternateContent>
      </w:r>
    </w:p>
    <w:p w14:paraId="1EE56C24">
      <w:pPr>
        <w:spacing w:line="400" w:lineRule="exact"/>
        <w:rPr>
          <w:color w:val="000000"/>
          <w:sz w:val="28"/>
          <w:szCs w:val="28"/>
        </w:rPr>
      </w:pPr>
    </w:p>
    <w:p w14:paraId="02626C63">
      <w:pPr>
        <w:spacing w:line="520" w:lineRule="exact"/>
        <w:jc w:val="center"/>
        <w:outlineLvl w:val="0"/>
        <w:rPr>
          <w:rFonts w:eastAsia="黑体"/>
          <w:color w:val="000000"/>
          <w:sz w:val="44"/>
          <w:szCs w:val="44"/>
        </w:rPr>
      </w:pPr>
      <w:bookmarkStart w:id="42" w:name="_Toc3589"/>
      <w:bookmarkStart w:id="43" w:name="_Toc29743"/>
      <w:bookmarkStart w:id="44" w:name="_Toc10988"/>
      <w:bookmarkStart w:id="45" w:name="_Toc16610"/>
      <w:bookmarkStart w:id="46" w:name="_Toc3059"/>
      <w:bookmarkStart w:id="47" w:name="_Toc27683"/>
      <w:bookmarkStart w:id="48" w:name="_Toc22012"/>
      <w:bookmarkStart w:id="49" w:name="_Toc23230"/>
      <w:bookmarkStart w:id="50" w:name="_Toc14367"/>
      <w:bookmarkStart w:id="51" w:name="_Toc28940"/>
      <w:bookmarkStart w:id="52" w:name="_Toc31653"/>
      <w:bookmarkStart w:id="53" w:name="_Toc6167"/>
      <w:bookmarkStart w:id="54" w:name="_Toc2529"/>
      <w:bookmarkStart w:id="55" w:name="_Toc25013"/>
      <w:bookmarkStart w:id="56" w:name="_Toc15726"/>
      <w:bookmarkStart w:id="57" w:name="_Toc17707"/>
      <w:bookmarkStart w:id="58" w:name="_Toc15684"/>
      <w:bookmarkStart w:id="59" w:name="_Toc11512"/>
      <w:bookmarkStart w:id="60" w:name="_Toc29524"/>
    </w:p>
    <w:p w14:paraId="40BA3081">
      <w:pPr>
        <w:spacing w:line="520" w:lineRule="exact"/>
        <w:jc w:val="center"/>
        <w:outlineLvl w:val="0"/>
        <w:rPr>
          <w:b/>
          <w:color w:val="000000"/>
          <w:sz w:val="32"/>
          <w:szCs w:val="32"/>
        </w:rPr>
      </w:pPr>
      <w:r>
        <w:rPr>
          <w:rFonts w:eastAsia="黑体"/>
          <w:color w:val="000000"/>
          <w:sz w:val="44"/>
          <w:szCs w:val="44"/>
        </w:rPr>
        <w:t>建筑长城杯工程质量评审标准</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970F4E3">
      <w:pPr>
        <w:jc w:val="center"/>
        <w:outlineLvl w:val="1"/>
        <w:rPr>
          <w:color w:val="000000"/>
        </w:rPr>
      </w:pPr>
      <w:bookmarkStart w:id="61" w:name="_Toc28670"/>
      <w:bookmarkStart w:id="62" w:name="_Toc9224"/>
      <w:bookmarkStart w:id="63" w:name="_Toc27059"/>
      <w:bookmarkStart w:id="64" w:name="_Toc32484"/>
      <w:bookmarkStart w:id="65" w:name="_Toc13125"/>
      <w:bookmarkStart w:id="66" w:name="_Toc16840"/>
      <w:bookmarkStart w:id="67" w:name="_Toc11285"/>
      <w:bookmarkStart w:id="68" w:name="_Toc15145"/>
      <w:bookmarkStart w:id="69" w:name="_Toc31267"/>
      <w:bookmarkStart w:id="70" w:name="_Toc21128"/>
      <w:bookmarkStart w:id="71" w:name="_Toc24301"/>
      <w:bookmarkStart w:id="72" w:name="_Toc21180"/>
      <w:bookmarkStart w:id="73" w:name="_Toc32544"/>
      <w:bookmarkStart w:id="74" w:name="_Toc26173"/>
      <w:bookmarkStart w:id="75" w:name="_Toc27176"/>
      <w:bookmarkStart w:id="76" w:name="_Toc9707"/>
      <w:bookmarkStart w:id="77" w:name="_Toc9096"/>
      <w:bookmarkStart w:id="78" w:name="_Toc9025"/>
      <w:bookmarkStart w:id="79" w:name="_Toc28330"/>
      <w:r>
        <w:rPr>
          <w:color w:val="000000"/>
          <w:sz w:val="32"/>
          <w:szCs w:val="32"/>
        </w:rPr>
        <w:t>T</w:t>
      </w:r>
      <w:r>
        <w:rPr>
          <w:color w:val="000000"/>
          <w:kern w:val="0"/>
          <w:sz w:val="28"/>
        </w:rPr>
        <w:t xml:space="preserve">he </w:t>
      </w:r>
      <w:r>
        <w:rPr>
          <w:rFonts w:hint="eastAsia"/>
          <w:color w:val="000000"/>
          <w:kern w:val="0"/>
          <w:sz w:val="28"/>
          <w:lang w:val="en-US" w:eastAsia="zh-CN"/>
        </w:rPr>
        <w:t>s</w:t>
      </w:r>
      <w:r>
        <w:rPr>
          <w:color w:val="000000"/>
          <w:kern w:val="0"/>
          <w:sz w:val="28"/>
        </w:rPr>
        <w:t xml:space="preserve">pecification of </w:t>
      </w:r>
      <w:r>
        <w:rPr>
          <w:rFonts w:hint="eastAsia"/>
          <w:color w:val="000000"/>
          <w:kern w:val="0"/>
          <w:sz w:val="28"/>
          <w:lang w:val="en-US" w:eastAsia="zh-CN"/>
        </w:rPr>
        <w:t>b</w:t>
      </w:r>
      <w:r>
        <w:rPr>
          <w:color w:val="000000"/>
          <w:kern w:val="0"/>
          <w:sz w:val="28"/>
        </w:rPr>
        <w:t xml:space="preserve">uilding </w:t>
      </w:r>
      <w:r>
        <w:rPr>
          <w:rFonts w:hint="eastAsia"/>
          <w:color w:val="000000"/>
          <w:kern w:val="0"/>
          <w:sz w:val="28"/>
          <w:lang w:val="en-US" w:eastAsia="zh-CN"/>
        </w:rPr>
        <w:t>q</w:t>
      </w:r>
      <w:r>
        <w:rPr>
          <w:color w:val="000000"/>
          <w:kern w:val="0"/>
          <w:sz w:val="28"/>
        </w:rPr>
        <w:t>uality</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color w:val="000000"/>
        </w:rPr>
        <w:t xml:space="preserve"> </w:t>
      </w:r>
      <w:bookmarkStart w:id="80" w:name="_Toc1400"/>
      <w:bookmarkStart w:id="81" w:name="_Toc14195"/>
      <w:bookmarkStart w:id="82" w:name="_Toc16325"/>
      <w:bookmarkStart w:id="83" w:name="_Toc16175"/>
      <w:bookmarkStart w:id="84" w:name="_Toc4145"/>
      <w:bookmarkStart w:id="85" w:name="_Toc15627"/>
      <w:bookmarkStart w:id="86" w:name="_Toc9136"/>
      <w:bookmarkStart w:id="87" w:name="_Toc20147"/>
      <w:bookmarkStart w:id="88" w:name="_Toc12810"/>
      <w:bookmarkStart w:id="89" w:name="_Toc29247"/>
      <w:bookmarkStart w:id="90" w:name="_Toc23045"/>
      <w:bookmarkStart w:id="91" w:name="_Toc2991"/>
      <w:bookmarkStart w:id="92" w:name="_Toc5646"/>
      <w:bookmarkStart w:id="93" w:name="_Toc8431"/>
      <w:bookmarkStart w:id="94" w:name="_Toc24975"/>
      <w:bookmarkStart w:id="95" w:name="_Toc19120"/>
      <w:bookmarkStart w:id="96" w:name="_Toc17764"/>
      <w:bookmarkStart w:id="97" w:name="_Toc204"/>
      <w:bookmarkStart w:id="98" w:name="_Toc4662"/>
      <w:r>
        <w:rPr>
          <w:rFonts w:hint="eastAsia"/>
          <w:color w:val="000000"/>
          <w:kern w:val="0"/>
          <w:sz w:val="28"/>
          <w:lang w:eastAsia="zh-CN"/>
        </w:rPr>
        <w:t>e</w:t>
      </w:r>
      <w:r>
        <w:rPr>
          <w:color w:val="000000"/>
          <w:kern w:val="0"/>
          <w:sz w:val="28"/>
        </w:rPr>
        <w:t>valuation for the Great Wall Cup</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color w:val="000000"/>
        </w:rPr>
        <w:t xml:space="preserve"> </w:t>
      </w:r>
    </w:p>
    <w:p w14:paraId="7233A40A">
      <w:pPr>
        <w:spacing w:line="400" w:lineRule="exact"/>
        <w:jc w:val="center"/>
        <w:outlineLvl w:val="2"/>
        <w:rPr>
          <w:rFonts w:eastAsia="黑体"/>
          <w:color w:val="000000"/>
          <w:kern w:val="0"/>
          <w:sz w:val="28"/>
          <w:szCs w:val="28"/>
        </w:rPr>
      </w:pPr>
      <w:bookmarkStart w:id="99" w:name="_Toc31473"/>
      <w:bookmarkStart w:id="100" w:name="_Toc15444"/>
      <w:bookmarkStart w:id="101" w:name="_Toc1565"/>
      <w:bookmarkStart w:id="102" w:name="_Toc16921"/>
      <w:bookmarkStart w:id="103" w:name="_Toc19651"/>
      <w:bookmarkStart w:id="104" w:name="_Toc28266"/>
      <w:bookmarkStart w:id="105" w:name="_Toc19754"/>
      <w:bookmarkStart w:id="106" w:name="_Toc12926"/>
      <w:bookmarkStart w:id="107" w:name="_Toc28855"/>
      <w:bookmarkStart w:id="108" w:name="_Toc19221"/>
      <w:bookmarkStart w:id="109" w:name="_Toc21039"/>
      <w:bookmarkStart w:id="110" w:name="_Toc26114"/>
      <w:bookmarkStart w:id="111" w:name="_Toc27055"/>
      <w:bookmarkStart w:id="112" w:name="_Toc13930"/>
      <w:bookmarkStart w:id="113" w:name="_Toc8653"/>
      <w:bookmarkStart w:id="114" w:name="_Toc19732"/>
      <w:bookmarkStart w:id="115" w:name="_Toc21949"/>
      <w:bookmarkStart w:id="116" w:name="_Toc15950"/>
      <w:bookmarkStart w:id="117" w:name="_Toc31036"/>
    </w:p>
    <w:p w14:paraId="6BBF0962">
      <w:pPr>
        <w:spacing w:line="400" w:lineRule="exact"/>
        <w:jc w:val="center"/>
        <w:outlineLvl w:val="2"/>
        <w:rPr>
          <w:rFonts w:eastAsia="黑体"/>
          <w:color w:val="000000"/>
          <w:kern w:val="0"/>
          <w:sz w:val="28"/>
          <w:szCs w:val="28"/>
        </w:rPr>
      </w:pPr>
      <w:r>
        <w:rPr>
          <w:rFonts w:eastAsia="黑体"/>
          <w:color w:val="000000"/>
          <w:kern w:val="0"/>
          <w:sz w:val="28"/>
          <w:szCs w:val="28"/>
        </w:rPr>
        <w:t>（</w:t>
      </w:r>
      <w:r>
        <w:rPr>
          <w:rFonts w:hint="eastAsia" w:eastAsia="黑体"/>
          <w:color w:val="000000"/>
          <w:kern w:val="0"/>
          <w:sz w:val="28"/>
          <w:szCs w:val="28"/>
        </w:rPr>
        <w:t>征求意见稿</w:t>
      </w:r>
      <w:r>
        <w:rPr>
          <w:rFonts w:eastAsia="黑体"/>
          <w:color w:val="000000"/>
          <w:kern w:val="0"/>
          <w:sz w:val="28"/>
          <w:szCs w:val="28"/>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7B63C0FF">
      <w:pPr>
        <w:spacing w:line="400" w:lineRule="exact"/>
        <w:rPr>
          <w:color w:val="000000"/>
          <w:sz w:val="28"/>
          <w:szCs w:val="28"/>
        </w:rPr>
      </w:pPr>
    </w:p>
    <w:p w14:paraId="74D8DFDC">
      <w:pPr>
        <w:spacing w:line="400" w:lineRule="exact"/>
        <w:rPr>
          <w:color w:val="000000"/>
          <w:sz w:val="28"/>
          <w:szCs w:val="28"/>
        </w:rPr>
      </w:pPr>
    </w:p>
    <w:p w14:paraId="04153F11">
      <w:pPr>
        <w:spacing w:line="400" w:lineRule="exact"/>
        <w:rPr>
          <w:color w:val="000000"/>
          <w:sz w:val="28"/>
          <w:szCs w:val="28"/>
        </w:rPr>
      </w:pPr>
    </w:p>
    <w:p w14:paraId="11A8F4F5">
      <w:pPr>
        <w:spacing w:line="400" w:lineRule="exact"/>
        <w:rPr>
          <w:color w:val="000000"/>
          <w:sz w:val="28"/>
          <w:szCs w:val="28"/>
        </w:rPr>
      </w:pPr>
    </w:p>
    <w:p w14:paraId="02333502">
      <w:pPr>
        <w:pStyle w:val="2"/>
        <w:rPr>
          <w:color w:val="000000"/>
          <w:sz w:val="28"/>
          <w:szCs w:val="28"/>
        </w:rPr>
      </w:pPr>
    </w:p>
    <w:p w14:paraId="73A7D5CD">
      <w:pPr>
        <w:pStyle w:val="2"/>
        <w:rPr>
          <w:color w:val="000000"/>
          <w:sz w:val="28"/>
          <w:szCs w:val="28"/>
        </w:rPr>
      </w:pPr>
    </w:p>
    <w:p w14:paraId="6D99FB39">
      <w:pPr>
        <w:pStyle w:val="2"/>
        <w:ind w:left="0" w:leftChars="0" w:firstLine="0" w:firstLineChars="0"/>
        <w:rPr>
          <w:color w:val="000000"/>
          <w:sz w:val="28"/>
          <w:szCs w:val="28"/>
        </w:rPr>
      </w:pPr>
    </w:p>
    <w:p w14:paraId="53E92DCF">
      <w:pPr>
        <w:pStyle w:val="2"/>
        <w:ind w:left="0" w:leftChars="0" w:firstLine="0" w:firstLineChars="0"/>
        <w:rPr>
          <w:color w:val="000000"/>
          <w:sz w:val="28"/>
          <w:szCs w:val="28"/>
        </w:rPr>
      </w:pPr>
    </w:p>
    <w:p w14:paraId="200CD618">
      <w:pPr>
        <w:pStyle w:val="2"/>
        <w:rPr>
          <w:color w:val="000000"/>
          <w:sz w:val="28"/>
          <w:szCs w:val="28"/>
        </w:rPr>
      </w:pPr>
    </w:p>
    <w:p w14:paraId="1C519ACA">
      <w:pPr>
        <w:spacing w:line="400" w:lineRule="exact"/>
        <w:rPr>
          <w:color w:val="000000"/>
          <w:sz w:val="28"/>
          <w:szCs w:val="28"/>
        </w:rPr>
      </w:pPr>
    </w:p>
    <w:p w14:paraId="55821CED">
      <w:pPr>
        <w:spacing w:line="400" w:lineRule="exact"/>
        <w:rPr>
          <w:color w:val="000000"/>
          <w:sz w:val="28"/>
          <w:szCs w:val="28"/>
        </w:rPr>
      </w:pPr>
    </w:p>
    <w:p w14:paraId="7DFA2288">
      <w:pPr>
        <w:spacing w:line="400" w:lineRule="exact"/>
        <w:jc w:val="center"/>
        <w:rPr>
          <w:rFonts w:eastAsia="黑体"/>
          <w:b/>
          <w:color w:val="000000"/>
          <w:sz w:val="28"/>
          <w:szCs w:val="28"/>
        </w:rPr>
      </w:pPr>
      <w:r>
        <w:rPr>
          <w:rFonts w:eastAsia="黑体"/>
          <w:b/>
          <w:color w:val="000000"/>
          <w:sz w:val="28"/>
          <w:szCs w:val="28"/>
        </w:rPr>
        <w:t>202×</w:t>
      </w:r>
      <w:r>
        <w:rPr>
          <w:rFonts w:hint="eastAsia" w:eastAsia="黑体"/>
          <w:b/>
          <w:color w:val="000000"/>
          <w:sz w:val="28"/>
          <w:szCs w:val="28"/>
        </w:rPr>
        <w:t>—</w:t>
      </w:r>
      <w:r>
        <w:rPr>
          <w:rFonts w:eastAsia="黑体"/>
          <w:b/>
          <w:color w:val="000000"/>
          <w:sz w:val="28"/>
          <w:szCs w:val="28"/>
        </w:rPr>
        <w:t>××</w:t>
      </w:r>
      <w:r>
        <w:rPr>
          <w:rFonts w:hint="eastAsia" w:eastAsia="黑体"/>
          <w:b/>
          <w:color w:val="000000"/>
          <w:sz w:val="28"/>
          <w:szCs w:val="28"/>
        </w:rPr>
        <w:t>—</w:t>
      </w:r>
      <w:r>
        <w:rPr>
          <w:rFonts w:eastAsia="黑体"/>
          <w:b/>
          <w:color w:val="000000"/>
          <w:sz w:val="28"/>
          <w:szCs w:val="28"/>
        </w:rPr>
        <w:t>××发布                         202×</w:t>
      </w:r>
      <w:r>
        <w:rPr>
          <w:rFonts w:hint="eastAsia" w:eastAsia="黑体"/>
          <w:b/>
          <w:color w:val="000000"/>
          <w:sz w:val="28"/>
          <w:szCs w:val="28"/>
        </w:rPr>
        <w:t>—</w:t>
      </w:r>
      <w:r>
        <w:rPr>
          <w:rFonts w:eastAsia="黑体"/>
          <w:b/>
          <w:color w:val="000000"/>
          <w:sz w:val="28"/>
          <w:szCs w:val="28"/>
        </w:rPr>
        <w:t>××</w:t>
      </w:r>
      <w:r>
        <w:rPr>
          <w:rFonts w:hint="eastAsia" w:eastAsia="黑体"/>
          <w:b/>
          <w:color w:val="000000"/>
          <w:sz w:val="28"/>
          <w:szCs w:val="28"/>
        </w:rPr>
        <w:t>—</w:t>
      </w:r>
      <w:r>
        <w:rPr>
          <w:rFonts w:eastAsia="黑体"/>
          <w:b/>
          <w:color w:val="000000"/>
          <w:sz w:val="28"/>
          <w:szCs w:val="28"/>
        </w:rPr>
        <w:t>××实施</w:t>
      </w:r>
    </w:p>
    <w:p w14:paraId="44166BC2">
      <w:pPr>
        <w:spacing w:line="400" w:lineRule="exact"/>
        <w:rPr>
          <w:color w:val="000000"/>
          <w:sz w:val="28"/>
          <w:szCs w:val="28"/>
        </w:rPr>
      </w:pPr>
      <w:r>
        <w:rPr>
          <w:color w:val="000000"/>
        </w:rPr>
        <mc:AlternateContent>
          <mc:Choice Requires="wps">
            <w:drawing>
              <wp:anchor distT="0" distB="0" distL="0" distR="0" simplePos="0" relativeHeight="251664384" behindDoc="0" locked="0" layoutInCell="1" allowOverlap="1">
                <wp:simplePos x="0" y="0"/>
                <wp:positionH relativeFrom="column">
                  <wp:posOffset>-65405</wp:posOffset>
                </wp:positionH>
                <wp:positionV relativeFrom="paragraph">
                  <wp:posOffset>85725</wp:posOffset>
                </wp:positionV>
                <wp:extent cx="5527040" cy="0"/>
                <wp:effectExtent l="0" t="0" r="0" b="0"/>
                <wp:wrapNone/>
                <wp:docPr id="1030" name="直接连接符 122"/>
                <wp:cNvGraphicFramePr/>
                <a:graphic xmlns:a="http://schemas.openxmlformats.org/drawingml/2006/main">
                  <a:graphicData uri="http://schemas.microsoft.com/office/word/2010/wordprocessingShape">
                    <wps:wsp>
                      <wps:cNvCnPr/>
                      <wps:spPr>
                        <a:xfrm>
                          <a:off x="0" y="0"/>
                          <a:ext cx="5527040" cy="0"/>
                        </a:xfrm>
                        <a:prstGeom prst="line">
                          <a:avLst/>
                        </a:prstGeom>
                        <a:ln w="9525" cap="flat" cmpd="sng">
                          <a:solidFill>
                            <a:srgbClr val="000000"/>
                          </a:solidFill>
                          <a:prstDash val="solid"/>
                          <a:miter/>
                        </a:ln>
                      </wps:spPr>
                      <wps:bodyPr/>
                    </wps:wsp>
                  </a:graphicData>
                </a:graphic>
              </wp:anchor>
            </w:drawing>
          </mc:Choice>
          <mc:Fallback>
            <w:pict>
              <v:line id="直接连接符 122" o:spid="_x0000_s1026" o:spt="20" style="position:absolute;left:0pt;margin-left:-5.15pt;margin-top:6.75pt;height:0pt;width:435.2pt;z-index:251664384;mso-width-relative:page;mso-height-relative:page;" filled="f" stroked="t" coordsize="21600,21600" o:gfxdata="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NnwMNcAAAAJAQAADwAAAAAAAAABACAA&#10;AAAiAAAAZHJzL2Rvd25yZXYueG1sUEsBAhQAFAAAAAgAh07iQKIGRKHVAQAAkwMAAA4AAAAAAAAA&#10;AQAgAAAAJgEAAGRycy9lMm9Eb2MueG1sUEsFBgAAAAAGAAYAWQEAAG0FAAAAAA==&#10;">
                <v:fill on="f" focussize="0,0"/>
                <v:stroke color="#000000" joinstyle="miter"/>
                <v:imagedata o:title=""/>
                <o:lock v:ext="edit" aspectratio="f"/>
              </v:line>
            </w:pict>
          </mc:Fallback>
        </mc:AlternateContent>
      </w:r>
    </w:p>
    <w:p w14:paraId="2441BBCC">
      <w:pPr>
        <w:spacing w:line="400" w:lineRule="exact"/>
        <w:ind w:firstLine="2570" w:firstLineChars="800"/>
        <w:rPr>
          <w:rFonts w:eastAsia="黑体"/>
          <w:b/>
          <w:color w:val="000000"/>
          <w:sz w:val="32"/>
          <w:szCs w:val="32"/>
        </w:rPr>
      </w:pPr>
      <w:r>
        <w:rPr>
          <w:rFonts w:eastAsia="黑体"/>
          <w:b/>
          <w:color w:val="000000"/>
          <w:sz w:val="32"/>
          <w:szCs w:val="32"/>
        </w:rPr>
        <mc:AlternateContent>
          <mc:Choice Requires="wps">
            <w:drawing>
              <wp:anchor distT="45085" distB="45085" distL="114300" distR="114300" simplePos="0" relativeHeight="251665408" behindDoc="0" locked="0" layoutInCell="1" allowOverlap="1">
                <wp:simplePos x="0" y="0"/>
                <wp:positionH relativeFrom="column">
                  <wp:posOffset>3879850</wp:posOffset>
                </wp:positionH>
                <wp:positionV relativeFrom="paragraph">
                  <wp:posOffset>97155</wp:posOffset>
                </wp:positionV>
                <wp:extent cx="1410970" cy="487680"/>
                <wp:effectExtent l="0" t="0" r="0" b="0"/>
                <wp:wrapSquare wrapText="bothSides"/>
                <wp:docPr id="1028" name="文本框 2"/>
                <wp:cNvGraphicFramePr/>
                <a:graphic xmlns:a="http://schemas.openxmlformats.org/drawingml/2006/main">
                  <a:graphicData uri="http://schemas.microsoft.com/office/word/2010/wordprocessingShape">
                    <wps:wsp>
                      <wps:cNvSpPr/>
                      <wps:spPr>
                        <a:xfrm>
                          <a:off x="0" y="0"/>
                          <a:ext cx="1410970" cy="487679"/>
                        </a:xfrm>
                        <a:prstGeom prst="rect">
                          <a:avLst/>
                        </a:prstGeom>
                      </wps:spPr>
                      <wps:txbx>
                        <w:txbxContent>
                          <w:p w14:paraId="56E733BA">
                            <w:r>
                              <w:rPr>
                                <w:rFonts w:ascii="黑体" w:eastAsia="黑体"/>
                                <w:b/>
                                <w:sz w:val="32"/>
                                <w:szCs w:val="32"/>
                              </w:rPr>
                              <w:t>联合</w:t>
                            </w:r>
                            <w:r>
                              <w:rPr>
                                <w:rFonts w:hint="eastAsia" w:ascii="黑体" w:eastAsia="黑体"/>
                                <w:b/>
                                <w:sz w:val="32"/>
                                <w:szCs w:val="32"/>
                              </w:rPr>
                              <w:t>发布</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rect id="文本框 2" o:spid="_x0000_s1026" o:spt="1" style="position:absolute;left:0pt;margin-left:305.5pt;margin-top:7.65pt;height:38.4pt;width:111.1pt;mso-wrap-distance-bottom:3.55pt;mso-wrap-distance-left:9pt;mso-wrap-distance-right:9pt;mso-wrap-distance-top:3.55pt;z-index:251665408;mso-width-relative:page;mso-height-relative:margin;mso-height-percent:200;" filled="f" stroked="f" coordsize="21600,21600" o:gfxdata="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HOEv2gAAAAkB&#10;AAAPAAAAAAAAAAEAIAAAACIAAABkcnMvZG93bnJldi54bWxQSwECFAAUAAAACACHTuJAl8vXp6cB&#10;AAA+AwAADgAAAAAAAAABACAAAAApAQAAZHJzL2Uyb0RvYy54bWxQSwUGAAAAAAYABgBZAQAAQgUA&#10;AAAA&#10;">
                <v:fill on="f" focussize="0,0"/>
                <v:stroke on="f"/>
                <v:imagedata o:title=""/>
                <o:lock v:ext="edit" aspectratio="f"/>
                <v:textbox style="mso-fit-shape-to-text:t;">
                  <w:txbxContent>
                    <w:p w14:paraId="56E733BA">
                      <w:r>
                        <w:rPr>
                          <w:rFonts w:ascii="黑体" w:eastAsia="黑体"/>
                          <w:b/>
                          <w:sz w:val="32"/>
                          <w:szCs w:val="32"/>
                        </w:rPr>
                        <w:t>联合</w:t>
                      </w:r>
                      <w:r>
                        <w:rPr>
                          <w:rFonts w:hint="eastAsia" w:ascii="黑体" w:eastAsia="黑体"/>
                          <w:b/>
                          <w:sz w:val="32"/>
                          <w:szCs w:val="32"/>
                        </w:rPr>
                        <w:t>发布</w:t>
                      </w:r>
                    </w:p>
                  </w:txbxContent>
                </v:textbox>
                <w10:wrap type="square"/>
              </v:rect>
            </w:pict>
          </mc:Fallback>
        </mc:AlternateContent>
      </w:r>
      <w:r>
        <w:rPr>
          <w:rFonts w:eastAsia="黑体"/>
          <w:b/>
          <w:color w:val="000000"/>
          <w:spacing w:val="0"/>
          <w:w w:val="73"/>
          <w:kern w:val="0"/>
          <w:sz w:val="32"/>
          <w:szCs w:val="32"/>
          <w:fitText w:val="3050" w:id="530863955"/>
        </w:rPr>
        <w:t>北京市住房和城乡建设委员</w:t>
      </w:r>
      <w:r>
        <w:rPr>
          <w:rFonts w:eastAsia="黑体"/>
          <w:b/>
          <w:color w:val="000000"/>
          <w:spacing w:val="-1"/>
          <w:w w:val="73"/>
          <w:kern w:val="0"/>
          <w:sz w:val="32"/>
          <w:szCs w:val="32"/>
          <w:fitText w:val="3050" w:id="530863955"/>
        </w:rPr>
        <w:t>会</w:t>
      </w:r>
    </w:p>
    <w:p w14:paraId="67BE5E23">
      <w:pPr>
        <w:ind w:firstLine="1735" w:firstLineChars="540"/>
        <w:rPr>
          <w:b/>
          <w:sz w:val="28"/>
          <w:szCs w:val="28"/>
        </w:rPr>
      </w:pPr>
      <w:r>
        <w:rPr>
          <w:rFonts w:eastAsia="黑体"/>
          <w:b/>
          <w:color w:val="000000"/>
          <w:sz w:val="32"/>
          <w:szCs w:val="32"/>
        </w:rPr>
        <w:t xml:space="preserve">     </w:t>
      </w:r>
      <w:r>
        <w:rPr>
          <w:rFonts w:eastAsia="黑体"/>
          <w:b/>
          <w:spacing w:val="39"/>
          <w:w w:val="73"/>
          <w:kern w:val="0"/>
          <w:sz w:val="32"/>
          <w:szCs w:val="32"/>
        </w:rPr>
        <w:t>北京市市场监督管理</w:t>
      </w:r>
      <w:r>
        <w:rPr>
          <w:rFonts w:eastAsia="黑体"/>
          <w:b/>
          <w:spacing w:val="5"/>
          <w:w w:val="73"/>
          <w:kern w:val="0"/>
          <w:sz w:val="32"/>
          <w:szCs w:val="32"/>
        </w:rPr>
        <w:t>局</w:t>
      </w:r>
    </w:p>
    <w:p w14:paraId="2F6C4D55">
      <w:pPr>
        <w:spacing w:line="400" w:lineRule="exact"/>
        <w:jc w:val="center"/>
        <w:rPr>
          <w:rFonts w:eastAsia="黑体"/>
          <w:b/>
          <w:color w:val="000000"/>
          <w:sz w:val="32"/>
          <w:szCs w:val="32"/>
        </w:rPr>
      </w:pPr>
      <w:r>
        <w:rPr>
          <w:rFonts w:eastAsia="黑体"/>
          <w:b/>
          <w:color w:val="000000"/>
          <w:sz w:val="32"/>
          <w:szCs w:val="32"/>
        </w:rPr>
        <w:t xml:space="preserve">    </w:t>
      </w:r>
    </w:p>
    <w:p w14:paraId="15AD8BC0">
      <w:pPr>
        <w:spacing w:line="400" w:lineRule="exact"/>
        <w:jc w:val="center"/>
        <w:rPr>
          <w:rFonts w:eastAsia="黑体"/>
          <w:b/>
          <w:color w:val="000000"/>
          <w:sz w:val="32"/>
          <w:szCs w:val="32"/>
        </w:rPr>
      </w:pPr>
    </w:p>
    <w:p w14:paraId="2E0A75C4">
      <w:pPr>
        <w:spacing w:line="400" w:lineRule="exact"/>
        <w:rPr>
          <w:rFonts w:eastAsia="黑体"/>
          <w:b/>
          <w:color w:val="000000"/>
          <w:sz w:val="32"/>
          <w:szCs w:val="32"/>
        </w:rPr>
      </w:pPr>
    </w:p>
    <w:p w14:paraId="07E1CD4A">
      <w:pPr>
        <w:spacing w:line="400" w:lineRule="exact"/>
        <w:jc w:val="center"/>
        <w:rPr>
          <w:rFonts w:eastAsia="黑体"/>
          <w:b/>
          <w:color w:val="000000"/>
          <w:sz w:val="32"/>
          <w:szCs w:val="32"/>
        </w:rPr>
      </w:pPr>
      <w:r>
        <w:rPr>
          <w:rFonts w:eastAsia="黑体"/>
          <w:b/>
          <w:color w:val="000000"/>
          <w:sz w:val="32"/>
          <w:szCs w:val="32"/>
        </w:rPr>
        <w:t>北京市地方标准</w:t>
      </w:r>
    </w:p>
    <w:p w14:paraId="414CD6EF">
      <w:pPr>
        <w:spacing w:line="400" w:lineRule="exact"/>
        <w:jc w:val="center"/>
        <w:rPr>
          <w:rFonts w:eastAsia="黑体"/>
          <w:b/>
          <w:color w:val="000000"/>
          <w:sz w:val="32"/>
          <w:szCs w:val="32"/>
        </w:rPr>
      </w:pPr>
    </w:p>
    <w:p w14:paraId="6CFAE8B8">
      <w:pPr>
        <w:spacing w:line="520" w:lineRule="exact"/>
        <w:jc w:val="center"/>
        <w:rPr>
          <w:rFonts w:eastAsia="黑体"/>
          <w:color w:val="000000"/>
          <w:sz w:val="44"/>
          <w:szCs w:val="44"/>
        </w:rPr>
      </w:pPr>
    </w:p>
    <w:p w14:paraId="4B090AB3">
      <w:pPr>
        <w:spacing w:line="520" w:lineRule="exact"/>
        <w:jc w:val="center"/>
        <w:rPr>
          <w:rFonts w:eastAsia="黑体"/>
          <w:color w:val="000000"/>
          <w:sz w:val="44"/>
          <w:szCs w:val="44"/>
        </w:rPr>
      </w:pPr>
    </w:p>
    <w:p w14:paraId="5D146017">
      <w:pPr>
        <w:spacing w:line="520" w:lineRule="exact"/>
        <w:jc w:val="center"/>
        <w:rPr>
          <w:rFonts w:eastAsia="黑体"/>
          <w:color w:val="000000"/>
          <w:sz w:val="44"/>
          <w:szCs w:val="44"/>
        </w:rPr>
      </w:pPr>
    </w:p>
    <w:p w14:paraId="2A1F9958">
      <w:pPr>
        <w:spacing w:line="520" w:lineRule="exact"/>
        <w:jc w:val="center"/>
        <w:rPr>
          <w:rFonts w:eastAsia="黑体"/>
          <w:color w:val="000000"/>
          <w:sz w:val="44"/>
          <w:szCs w:val="44"/>
        </w:rPr>
      </w:pPr>
    </w:p>
    <w:p w14:paraId="5FA0057B">
      <w:pPr>
        <w:spacing w:line="520" w:lineRule="exact"/>
        <w:jc w:val="center"/>
        <w:outlineLvl w:val="0"/>
        <w:rPr>
          <w:b/>
          <w:color w:val="000000"/>
          <w:sz w:val="32"/>
          <w:szCs w:val="32"/>
        </w:rPr>
      </w:pPr>
      <w:bookmarkStart w:id="118" w:name="_Toc13654"/>
      <w:bookmarkStart w:id="119" w:name="_Toc23776"/>
      <w:bookmarkStart w:id="120" w:name="_Toc18835"/>
      <w:bookmarkStart w:id="121" w:name="_Toc10048"/>
      <w:bookmarkStart w:id="122" w:name="_Toc30312"/>
      <w:bookmarkStart w:id="123" w:name="_Toc12355"/>
      <w:bookmarkStart w:id="124" w:name="_Toc7209"/>
      <w:bookmarkStart w:id="125" w:name="_Toc394"/>
      <w:bookmarkStart w:id="126" w:name="_Toc28356"/>
      <w:bookmarkStart w:id="127" w:name="_Toc21342"/>
      <w:bookmarkStart w:id="128" w:name="_Toc13309"/>
      <w:bookmarkStart w:id="129" w:name="_Toc30592"/>
      <w:bookmarkStart w:id="130" w:name="_Toc4055"/>
      <w:bookmarkStart w:id="131" w:name="_Toc21889"/>
      <w:bookmarkStart w:id="132" w:name="_Toc12839"/>
      <w:bookmarkStart w:id="133" w:name="_Toc18115"/>
      <w:bookmarkStart w:id="134" w:name="_Toc3103"/>
      <w:bookmarkStart w:id="135" w:name="_Toc17852"/>
      <w:bookmarkStart w:id="136" w:name="_Toc6446"/>
      <w:r>
        <w:rPr>
          <w:rFonts w:eastAsia="黑体"/>
          <w:color w:val="000000"/>
          <w:sz w:val="44"/>
          <w:szCs w:val="44"/>
        </w:rPr>
        <w:t>建筑长城杯工程质量评审标准</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C34903A">
      <w:pPr>
        <w:spacing w:line="400" w:lineRule="exact"/>
        <w:jc w:val="center"/>
        <w:rPr>
          <w:rFonts w:eastAsia="黑体"/>
          <w:color w:val="000000"/>
          <w:kern w:val="0"/>
          <w:sz w:val="28"/>
          <w:szCs w:val="28"/>
        </w:rPr>
      </w:pPr>
      <w:bookmarkStart w:id="137" w:name="_Toc11921"/>
      <w:bookmarkStart w:id="138" w:name="_Toc19168"/>
      <w:bookmarkStart w:id="139" w:name="_Toc3395"/>
      <w:bookmarkStart w:id="140" w:name="_Toc1122"/>
      <w:bookmarkStart w:id="141" w:name="_Toc30477"/>
      <w:bookmarkStart w:id="142" w:name="_Toc30504"/>
      <w:bookmarkStart w:id="143" w:name="_Toc24230"/>
      <w:bookmarkStart w:id="144" w:name="_Toc3733"/>
      <w:bookmarkStart w:id="145" w:name="_Toc28806"/>
      <w:bookmarkStart w:id="146" w:name="_Toc1843"/>
      <w:bookmarkStart w:id="147" w:name="_Toc17428"/>
      <w:bookmarkStart w:id="148" w:name="_Toc9692"/>
      <w:bookmarkStart w:id="149" w:name="_Toc17271"/>
      <w:bookmarkStart w:id="150" w:name="_Toc7615"/>
      <w:bookmarkStart w:id="151" w:name="_Toc24038"/>
      <w:bookmarkStart w:id="152" w:name="_Toc18109"/>
      <w:bookmarkStart w:id="153" w:name="_Toc22663"/>
      <w:bookmarkStart w:id="154" w:name="_Toc11322"/>
      <w:bookmarkStart w:id="155" w:name="_Toc9054"/>
      <w:r>
        <w:rPr>
          <w:color w:val="000000"/>
          <w:sz w:val="32"/>
          <w:szCs w:val="32"/>
        </w:rPr>
        <w:t>T</w:t>
      </w:r>
      <w:r>
        <w:rPr>
          <w:color w:val="000000"/>
          <w:kern w:val="0"/>
          <w:sz w:val="28"/>
        </w:rPr>
        <w:t xml:space="preserve">he </w:t>
      </w:r>
      <w:r>
        <w:rPr>
          <w:rFonts w:hint="eastAsia"/>
          <w:color w:val="000000"/>
          <w:kern w:val="0"/>
          <w:sz w:val="28"/>
          <w:lang w:val="en-US" w:eastAsia="zh-CN"/>
        </w:rPr>
        <w:t>s</w:t>
      </w:r>
      <w:r>
        <w:rPr>
          <w:color w:val="000000"/>
          <w:kern w:val="0"/>
          <w:sz w:val="28"/>
        </w:rPr>
        <w:t xml:space="preserve">pecification of </w:t>
      </w:r>
      <w:r>
        <w:rPr>
          <w:rFonts w:hint="eastAsia"/>
          <w:color w:val="000000"/>
          <w:kern w:val="0"/>
          <w:sz w:val="28"/>
          <w:lang w:val="en-US" w:eastAsia="zh-CN"/>
        </w:rPr>
        <w:t>b</w:t>
      </w:r>
      <w:r>
        <w:rPr>
          <w:color w:val="000000"/>
          <w:kern w:val="0"/>
          <w:sz w:val="28"/>
        </w:rPr>
        <w:t xml:space="preserve">uilding </w:t>
      </w:r>
      <w:r>
        <w:rPr>
          <w:rFonts w:hint="eastAsia"/>
          <w:color w:val="000000"/>
          <w:kern w:val="0"/>
          <w:sz w:val="28"/>
          <w:lang w:val="en-US" w:eastAsia="zh-CN"/>
        </w:rPr>
        <w:t>q</w:t>
      </w:r>
      <w:r>
        <w:rPr>
          <w:color w:val="000000"/>
          <w:kern w:val="0"/>
          <w:sz w:val="28"/>
        </w:rPr>
        <w:t>uality</w:t>
      </w:r>
      <w:r>
        <w:rPr>
          <w:color w:val="000000"/>
        </w:rPr>
        <w:t xml:space="preserve"> </w:t>
      </w:r>
      <w:r>
        <w:rPr>
          <w:rFonts w:hint="eastAsia"/>
          <w:color w:val="000000"/>
          <w:kern w:val="0"/>
          <w:sz w:val="28"/>
          <w:lang w:eastAsia="zh-CN"/>
        </w:rPr>
        <w:t>e</w:t>
      </w:r>
      <w:r>
        <w:rPr>
          <w:color w:val="000000"/>
          <w:kern w:val="0"/>
          <w:sz w:val="28"/>
        </w:rPr>
        <w:t>valuation for the Great Wall Cup</w:t>
      </w:r>
      <w:r>
        <w:rPr>
          <w:color w:val="000000"/>
        </w:rPr>
        <w:t xml:space="preserve">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color w:val="000000"/>
        </w:rPr>
        <w:t xml:space="preserve"> </w:t>
      </w:r>
    </w:p>
    <w:p w14:paraId="22B8D974">
      <w:pPr>
        <w:spacing w:line="400" w:lineRule="exact"/>
        <w:jc w:val="center"/>
        <w:rPr>
          <w:rFonts w:eastAsia="黑体"/>
          <w:b/>
          <w:color w:val="000000"/>
          <w:sz w:val="32"/>
          <w:szCs w:val="32"/>
        </w:rPr>
      </w:pPr>
    </w:p>
    <w:p w14:paraId="78B08D6C">
      <w:pPr>
        <w:spacing w:line="400" w:lineRule="exact"/>
        <w:jc w:val="center"/>
        <w:rPr>
          <w:rFonts w:eastAsia="黑体"/>
          <w:b/>
          <w:color w:val="000000"/>
          <w:sz w:val="32"/>
          <w:szCs w:val="32"/>
        </w:rPr>
      </w:pPr>
    </w:p>
    <w:p w14:paraId="662EE29D">
      <w:pPr>
        <w:spacing w:line="400" w:lineRule="exact"/>
        <w:ind w:firstLine="2951" w:firstLineChars="1400"/>
        <w:rPr>
          <w:rFonts w:eastAsia="黑体"/>
          <w:b/>
          <w:color w:val="000000"/>
          <w:szCs w:val="21"/>
        </w:rPr>
      </w:pPr>
      <w:r>
        <w:rPr>
          <w:rFonts w:eastAsia="黑体"/>
          <w:b/>
          <w:color w:val="000000"/>
          <w:szCs w:val="21"/>
        </w:rPr>
        <w:t>编  号：DB11/</w:t>
      </w:r>
      <w:r>
        <w:rPr>
          <w:rFonts w:hint="eastAsia" w:eastAsia="黑体"/>
          <w:b/>
          <w:color w:val="000000"/>
          <w:szCs w:val="21"/>
          <w:lang w:val="en-US" w:eastAsia="zh-CN"/>
        </w:rPr>
        <w:t xml:space="preserve">T </w:t>
      </w:r>
      <w:r>
        <w:rPr>
          <w:rFonts w:eastAsia="黑体"/>
          <w:b/>
          <w:color w:val="000000"/>
          <w:szCs w:val="21"/>
        </w:rPr>
        <w:t>XXXX-202X</w:t>
      </w:r>
    </w:p>
    <w:p w14:paraId="39A79A0C">
      <w:pPr>
        <w:spacing w:line="400" w:lineRule="exact"/>
        <w:ind w:firstLine="2951" w:firstLineChars="1400"/>
        <w:rPr>
          <w:rFonts w:eastAsia="黑体"/>
          <w:b/>
          <w:color w:val="000000"/>
          <w:sz w:val="32"/>
          <w:szCs w:val="32"/>
        </w:rPr>
      </w:pPr>
      <w:r>
        <w:rPr>
          <w:rFonts w:eastAsia="黑体"/>
          <w:b/>
          <w:color w:val="000000"/>
          <w:szCs w:val="21"/>
        </w:rPr>
        <w:t>备案号：J</w:t>
      </w:r>
      <w:r>
        <w:rPr>
          <w:color w:val="000000"/>
          <w:szCs w:val="21"/>
        </w:rPr>
        <w:t>×</w:t>
      </w:r>
      <w:r>
        <w:rPr>
          <w:rFonts w:eastAsia="黑体"/>
          <w:b/>
          <w:color w:val="000000"/>
          <w:szCs w:val="21"/>
        </w:rPr>
        <w:t xml:space="preserve">   -202</w:t>
      </w:r>
      <w:r>
        <w:rPr>
          <w:color w:val="000000"/>
          <w:szCs w:val="21"/>
        </w:rPr>
        <w:t>×</w:t>
      </w:r>
    </w:p>
    <w:p w14:paraId="6B8EB24B">
      <w:pPr>
        <w:spacing w:line="400" w:lineRule="exact"/>
        <w:rPr>
          <w:color w:val="000000"/>
          <w:szCs w:val="21"/>
        </w:rPr>
      </w:pPr>
    </w:p>
    <w:p w14:paraId="59992FB6">
      <w:pPr>
        <w:spacing w:line="400" w:lineRule="exact"/>
        <w:ind w:firstLine="2520" w:firstLineChars="1200"/>
        <w:rPr>
          <w:rFonts w:eastAsia="黑体"/>
          <w:b/>
          <w:color w:val="000000"/>
          <w:sz w:val="32"/>
          <w:szCs w:val="32"/>
        </w:rPr>
      </w:pPr>
      <w:r>
        <w:rPr>
          <w:color w:val="000000"/>
          <w:szCs w:val="21"/>
        </w:rPr>
        <w:t>主编</w:t>
      </w:r>
      <w:r>
        <w:rPr>
          <w:rFonts w:hint="eastAsia"/>
          <w:color w:val="000000"/>
          <w:szCs w:val="21"/>
          <w:lang w:val="en-US" w:eastAsia="zh-CN"/>
        </w:rPr>
        <w:t>单位</w:t>
      </w:r>
      <w:r>
        <w:rPr>
          <w:color w:val="000000"/>
          <w:szCs w:val="21"/>
        </w:rPr>
        <w:t>：北京市工程建设质量管理协会</w:t>
      </w:r>
      <w:r>
        <w:rPr>
          <w:rFonts w:eastAsia="黑体"/>
          <w:b/>
          <w:color w:val="000000"/>
          <w:sz w:val="32"/>
          <w:szCs w:val="32"/>
        </w:rPr>
        <w:t xml:space="preserve"> </w:t>
      </w:r>
    </w:p>
    <w:p w14:paraId="03826F67">
      <w:pPr>
        <w:spacing w:line="400" w:lineRule="exact"/>
        <w:ind w:firstLine="2520" w:firstLineChars="1200"/>
        <w:rPr>
          <w:color w:val="000000"/>
          <w:szCs w:val="21"/>
        </w:rPr>
      </w:pPr>
      <w:r>
        <w:rPr>
          <w:color w:val="000000"/>
          <w:szCs w:val="21"/>
        </w:rPr>
        <w:t>批准部门：北京市市场监督管理局</w:t>
      </w:r>
    </w:p>
    <w:p w14:paraId="53226C9B">
      <w:pPr>
        <w:spacing w:line="400" w:lineRule="exact"/>
        <w:ind w:firstLine="3570" w:firstLineChars="1700"/>
        <w:rPr>
          <w:color w:val="000000"/>
          <w:szCs w:val="21"/>
        </w:rPr>
      </w:pPr>
    </w:p>
    <w:p w14:paraId="3C33E285">
      <w:pPr>
        <w:spacing w:line="400" w:lineRule="exact"/>
        <w:ind w:firstLine="2520" w:firstLineChars="1200"/>
        <w:rPr>
          <w:color w:val="000000"/>
          <w:szCs w:val="21"/>
        </w:rPr>
      </w:pPr>
      <w:r>
        <w:rPr>
          <w:color w:val="000000"/>
          <w:szCs w:val="21"/>
        </w:rPr>
        <w:t>施行日期：20××年×月×日</w:t>
      </w:r>
    </w:p>
    <w:p w14:paraId="72881CCB">
      <w:pPr>
        <w:spacing w:line="400" w:lineRule="exact"/>
        <w:rPr>
          <w:rFonts w:eastAsia="黑体"/>
          <w:b/>
          <w:color w:val="000000"/>
          <w:sz w:val="32"/>
          <w:szCs w:val="32"/>
        </w:rPr>
      </w:pPr>
    </w:p>
    <w:p w14:paraId="1A09F9B4">
      <w:pPr>
        <w:spacing w:line="400" w:lineRule="exact"/>
        <w:rPr>
          <w:rFonts w:eastAsia="黑体"/>
          <w:b/>
          <w:color w:val="000000"/>
          <w:sz w:val="32"/>
          <w:szCs w:val="32"/>
        </w:rPr>
      </w:pPr>
    </w:p>
    <w:p w14:paraId="2138A14D">
      <w:pPr>
        <w:spacing w:line="400" w:lineRule="exact"/>
        <w:rPr>
          <w:rFonts w:eastAsia="黑体"/>
          <w:b/>
          <w:color w:val="000000"/>
          <w:sz w:val="32"/>
          <w:szCs w:val="32"/>
        </w:rPr>
      </w:pPr>
    </w:p>
    <w:p w14:paraId="4C53A855">
      <w:pPr>
        <w:pStyle w:val="2"/>
        <w:rPr>
          <w:rFonts w:eastAsia="黑体"/>
          <w:b/>
          <w:color w:val="000000"/>
          <w:sz w:val="32"/>
          <w:szCs w:val="32"/>
        </w:rPr>
      </w:pPr>
    </w:p>
    <w:p w14:paraId="1AE03F9D">
      <w:pPr>
        <w:pStyle w:val="2"/>
        <w:rPr>
          <w:rFonts w:eastAsia="黑体"/>
          <w:b/>
          <w:color w:val="000000"/>
          <w:sz w:val="32"/>
          <w:szCs w:val="32"/>
        </w:rPr>
      </w:pPr>
    </w:p>
    <w:p w14:paraId="49363E7E">
      <w:pPr>
        <w:pStyle w:val="2"/>
        <w:rPr>
          <w:rFonts w:eastAsia="黑体"/>
          <w:b/>
          <w:color w:val="000000"/>
          <w:sz w:val="32"/>
          <w:szCs w:val="32"/>
        </w:rPr>
      </w:pPr>
    </w:p>
    <w:p w14:paraId="35F11DCC">
      <w:pPr>
        <w:pStyle w:val="2"/>
        <w:rPr>
          <w:rFonts w:eastAsia="黑体"/>
          <w:b/>
          <w:color w:val="000000"/>
          <w:sz w:val="32"/>
          <w:szCs w:val="32"/>
        </w:rPr>
      </w:pPr>
    </w:p>
    <w:p w14:paraId="647A2A19">
      <w:pPr>
        <w:spacing w:line="400" w:lineRule="exact"/>
        <w:rPr>
          <w:rFonts w:eastAsia="黑体"/>
          <w:b/>
          <w:color w:val="000000"/>
          <w:sz w:val="32"/>
          <w:szCs w:val="32"/>
        </w:rPr>
      </w:pPr>
    </w:p>
    <w:p w14:paraId="33E069B7">
      <w:pPr>
        <w:spacing w:line="400" w:lineRule="exact"/>
        <w:jc w:val="center"/>
        <w:outlineLvl w:val="2"/>
        <w:rPr>
          <w:rFonts w:eastAsia="黑体"/>
          <w:color w:val="000000"/>
          <w:szCs w:val="21"/>
        </w:rPr>
      </w:pPr>
      <w:bookmarkStart w:id="156" w:name="_Toc4775"/>
      <w:bookmarkStart w:id="157" w:name="_Toc16213"/>
      <w:bookmarkStart w:id="158" w:name="_Toc2927"/>
      <w:bookmarkStart w:id="159" w:name="_Toc8737"/>
      <w:bookmarkStart w:id="160" w:name="_Toc3711"/>
      <w:bookmarkStart w:id="161" w:name="_Toc7958"/>
      <w:bookmarkStart w:id="162" w:name="_Toc27668"/>
      <w:bookmarkStart w:id="163" w:name="_Toc5583"/>
      <w:bookmarkStart w:id="164" w:name="_Toc9060"/>
      <w:bookmarkStart w:id="165" w:name="_Toc1880"/>
      <w:bookmarkStart w:id="166" w:name="_Toc4748"/>
      <w:bookmarkStart w:id="167" w:name="_Toc25164"/>
      <w:bookmarkStart w:id="168" w:name="_Toc25212"/>
      <w:bookmarkStart w:id="169" w:name="_Toc7607"/>
      <w:bookmarkStart w:id="170" w:name="_Toc20226"/>
      <w:bookmarkStart w:id="171" w:name="_Toc24756"/>
      <w:bookmarkStart w:id="172" w:name="_Toc77"/>
      <w:bookmarkStart w:id="173" w:name="_Toc30922"/>
      <w:bookmarkStart w:id="174" w:name="_Toc15156"/>
      <w:r>
        <w:rPr>
          <w:rFonts w:eastAsia="黑体"/>
          <w:color w:val="000000"/>
          <w:szCs w:val="21"/>
        </w:rPr>
        <w:t>202</w:t>
      </w:r>
      <w:r>
        <w:rPr>
          <w:rFonts w:eastAsia="黑体"/>
          <w:b/>
          <w:color w:val="000000"/>
          <w:sz w:val="28"/>
          <w:szCs w:val="28"/>
        </w:rPr>
        <w:t>×</w:t>
      </w:r>
      <w:r>
        <w:rPr>
          <w:rFonts w:eastAsia="黑体"/>
          <w:color w:val="000000"/>
          <w:szCs w:val="21"/>
        </w:rPr>
        <w:t xml:space="preserve"> 北京</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1A7C5E98">
      <w:pPr>
        <w:spacing w:line="400" w:lineRule="exact"/>
        <w:jc w:val="center"/>
        <w:rPr>
          <w:b/>
          <w:color w:val="000000"/>
          <w:sz w:val="26"/>
          <w:szCs w:val="26"/>
        </w:rPr>
        <w:sectPr>
          <w:footerReference r:id="rId3" w:type="default"/>
          <w:footerReference r:id="rId4" w:type="even"/>
          <w:pgSz w:w="11905" w:h="16837"/>
          <w:pgMar w:top="1440" w:right="1803" w:bottom="1440" w:left="1800" w:header="720" w:footer="992" w:gutter="0"/>
          <w:cols w:space="720" w:num="1"/>
          <w:docGrid w:type="lines" w:linePitch="312" w:charSpace="0"/>
        </w:sectPr>
      </w:pPr>
    </w:p>
    <w:p w14:paraId="6E6D6D11">
      <w:pPr>
        <w:spacing w:before="312" w:beforeLines="100" w:after="312" w:afterLines="100" w:line="400" w:lineRule="exact"/>
        <w:jc w:val="center"/>
        <w:outlineLvl w:val="2"/>
        <w:rPr>
          <w:rStyle w:val="32"/>
          <w:rFonts w:hint="eastAsia" w:ascii="宋体" w:hAnsi="宋体" w:eastAsia="宋体" w:cs="宋体"/>
          <w:b/>
          <w:bCs/>
          <w:sz w:val="28"/>
          <w:szCs w:val="28"/>
        </w:rPr>
      </w:pPr>
      <w:bookmarkStart w:id="175" w:name="_Toc10470"/>
      <w:bookmarkStart w:id="176" w:name="_Toc9748"/>
      <w:bookmarkStart w:id="177" w:name="_Toc20906"/>
      <w:bookmarkStart w:id="178" w:name="_Toc28607"/>
      <w:bookmarkStart w:id="179" w:name="_Toc14380"/>
      <w:bookmarkStart w:id="180" w:name="_Toc11225"/>
      <w:bookmarkStart w:id="181" w:name="_Toc31773"/>
      <w:bookmarkStart w:id="182" w:name="_Toc2155"/>
      <w:bookmarkStart w:id="183" w:name="_Toc27667"/>
      <w:bookmarkStart w:id="184" w:name="_Toc21993"/>
      <w:bookmarkStart w:id="185" w:name="_Toc25675"/>
      <w:bookmarkStart w:id="186" w:name="_Toc25005"/>
      <w:bookmarkStart w:id="187" w:name="_Toc11634"/>
      <w:bookmarkStart w:id="188" w:name="_Toc21855"/>
      <w:bookmarkStart w:id="189" w:name="_Toc10781"/>
      <w:bookmarkStart w:id="190" w:name="_Toc15665"/>
      <w:bookmarkStart w:id="191" w:name="_Toc12115"/>
      <w:bookmarkStart w:id="192" w:name="_Toc11977"/>
      <w:bookmarkStart w:id="193" w:name="_Toc9613"/>
      <w:bookmarkStart w:id="194" w:name="_Toc30931"/>
      <w:bookmarkStart w:id="195" w:name="_Toc10439"/>
      <w:r>
        <w:rPr>
          <w:rStyle w:val="32"/>
          <w:rFonts w:hint="eastAsia" w:ascii="宋体" w:hAnsi="宋体" w:eastAsia="宋体" w:cs="宋体"/>
          <w:b/>
          <w:bCs/>
          <w:sz w:val="28"/>
          <w:szCs w:val="28"/>
        </w:rPr>
        <w:t>前</w:t>
      </w:r>
      <w:r>
        <w:rPr>
          <w:rStyle w:val="32"/>
          <w:rFonts w:hint="eastAsia" w:ascii="宋体" w:hAnsi="宋体" w:cs="宋体"/>
          <w:b/>
          <w:bCs/>
          <w:sz w:val="28"/>
          <w:szCs w:val="28"/>
          <w:lang w:val="en-US" w:eastAsia="zh-CN"/>
        </w:rPr>
        <w:t xml:space="preserve">    </w:t>
      </w:r>
      <w:r>
        <w:rPr>
          <w:rStyle w:val="32"/>
          <w:rFonts w:hint="eastAsia" w:ascii="宋体" w:hAnsi="宋体" w:eastAsia="宋体" w:cs="宋体"/>
          <w:b/>
          <w:bCs/>
          <w:sz w:val="28"/>
          <w:szCs w:val="28"/>
        </w:rPr>
        <w:t>言</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bookmarkEnd w:id="194"/>
    <w:bookmarkEnd w:id="195"/>
    <w:p w14:paraId="606D8463">
      <w:pPr>
        <w:spacing w:after="50" w:line="400" w:lineRule="exact"/>
        <w:ind w:firstLine="560"/>
        <w:rPr>
          <w:color w:val="000000"/>
          <w:sz w:val="24"/>
          <w:szCs w:val="24"/>
        </w:rPr>
      </w:pPr>
      <w:r>
        <w:rPr>
          <w:color w:val="000000"/>
          <w:sz w:val="24"/>
          <w:szCs w:val="24"/>
        </w:rPr>
        <w:t>根据北京市市场监督管理局《2022年北京市地方标准制修订项目计划（第一批）》（京市监发〔2022〕号）的要求，标准编制组经广泛调查研究，认真总结实践经验，参考国内相关标准，并在广泛征求意见的基础上，修订本标准。</w:t>
      </w:r>
    </w:p>
    <w:p w14:paraId="3C4C096A">
      <w:pPr>
        <w:spacing w:after="50" w:line="400" w:lineRule="exact"/>
        <w:ind w:firstLine="560"/>
        <w:rPr>
          <w:color w:val="000000"/>
          <w:sz w:val="24"/>
          <w:szCs w:val="24"/>
        </w:rPr>
      </w:pPr>
      <w:r>
        <w:rPr>
          <w:color w:val="000000"/>
          <w:sz w:val="24"/>
          <w:szCs w:val="24"/>
        </w:rPr>
        <w:t>本标准的主要技术内容是：1总则</w:t>
      </w:r>
      <w:r>
        <w:rPr>
          <w:rFonts w:hint="eastAsia"/>
          <w:color w:val="000000"/>
          <w:sz w:val="24"/>
          <w:szCs w:val="24"/>
          <w:lang w:eastAsia="zh-CN"/>
        </w:rPr>
        <w:t>；</w:t>
      </w:r>
      <w:r>
        <w:rPr>
          <w:color w:val="000000"/>
          <w:sz w:val="24"/>
          <w:szCs w:val="24"/>
        </w:rPr>
        <w:t>2基本规定</w:t>
      </w:r>
      <w:r>
        <w:rPr>
          <w:rFonts w:hint="eastAsia"/>
          <w:color w:val="000000"/>
          <w:sz w:val="24"/>
          <w:szCs w:val="24"/>
          <w:lang w:eastAsia="zh-CN"/>
        </w:rPr>
        <w:t>；</w:t>
      </w:r>
      <w:r>
        <w:rPr>
          <w:color w:val="000000"/>
          <w:sz w:val="24"/>
          <w:szCs w:val="24"/>
        </w:rPr>
        <w:t>3施工项目管理</w:t>
      </w:r>
      <w:r>
        <w:rPr>
          <w:rFonts w:hint="eastAsia"/>
          <w:color w:val="000000"/>
          <w:sz w:val="24"/>
          <w:szCs w:val="24"/>
          <w:lang w:eastAsia="zh-CN"/>
        </w:rPr>
        <w:t>；</w:t>
      </w:r>
      <w:r>
        <w:rPr>
          <w:color w:val="000000"/>
          <w:sz w:val="24"/>
          <w:szCs w:val="24"/>
        </w:rPr>
        <w:t>4工程资料管理</w:t>
      </w:r>
      <w:r>
        <w:rPr>
          <w:rFonts w:hint="eastAsia"/>
          <w:color w:val="000000"/>
          <w:sz w:val="24"/>
          <w:szCs w:val="24"/>
          <w:lang w:eastAsia="zh-CN"/>
        </w:rPr>
        <w:t>；</w:t>
      </w:r>
      <w:r>
        <w:rPr>
          <w:color w:val="000000"/>
          <w:sz w:val="24"/>
          <w:szCs w:val="24"/>
        </w:rPr>
        <w:t>5技术应用创新与</w:t>
      </w:r>
      <w:r>
        <w:rPr>
          <w:rFonts w:hint="eastAsia"/>
          <w:color w:val="000000"/>
          <w:sz w:val="24"/>
          <w:szCs w:val="24"/>
        </w:rPr>
        <w:t>智能建造</w:t>
      </w:r>
      <w:r>
        <w:rPr>
          <w:rFonts w:hint="eastAsia"/>
          <w:color w:val="000000"/>
          <w:sz w:val="24"/>
          <w:szCs w:val="24"/>
          <w:lang w:eastAsia="zh-CN"/>
        </w:rPr>
        <w:t>；</w:t>
      </w:r>
      <w:r>
        <w:rPr>
          <w:color w:val="000000"/>
          <w:sz w:val="24"/>
          <w:szCs w:val="24"/>
        </w:rPr>
        <w:t>6</w:t>
      </w:r>
      <w:r>
        <w:rPr>
          <w:rFonts w:hint="eastAsia"/>
          <w:color w:val="000000"/>
          <w:sz w:val="24"/>
          <w:szCs w:val="24"/>
        </w:rPr>
        <w:t>绿色施工</w:t>
      </w:r>
      <w:r>
        <w:rPr>
          <w:rFonts w:hint="eastAsia"/>
          <w:color w:val="000000"/>
          <w:sz w:val="24"/>
          <w:szCs w:val="24"/>
          <w:lang w:eastAsia="zh-CN"/>
        </w:rPr>
        <w:t>；</w:t>
      </w:r>
      <w:r>
        <w:rPr>
          <w:color w:val="000000"/>
          <w:sz w:val="24"/>
          <w:szCs w:val="24"/>
        </w:rPr>
        <w:t>7土建工程</w:t>
      </w:r>
      <w:r>
        <w:rPr>
          <w:rFonts w:hint="eastAsia"/>
          <w:color w:val="000000"/>
          <w:sz w:val="24"/>
          <w:szCs w:val="24"/>
          <w:lang w:eastAsia="zh-CN"/>
        </w:rPr>
        <w:t>；</w:t>
      </w:r>
      <w:r>
        <w:rPr>
          <w:color w:val="000000"/>
          <w:sz w:val="24"/>
          <w:szCs w:val="24"/>
        </w:rPr>
        <w:t>8建筑电气设备安装工程</w:t>
      </w:r>
      <w:r>
        <w:rPr>
          <w:rFonts w:hint="eastAsia"/>
          <w:color w:val="000000"/>
          <w:sz w:val="24"/>
          <w:szCs w:val="24"/>
          <w:lang w:eastAsia="zh-CN"/>
        </w:rPr>
        <w:t>；</w:t>
      </w:r>
      <w:r>
        <w:rPr>
          <w:color w:val="000000"/>
          <w:sz w:val="24"/>
          <w:szCs w:val="24"/>
        </w:rPr>
        <w:t>9建筑设备安装工程</w:t>
      </w:r>
      <w:r>
        <w:rPr>
          <w:rFonts w:hint="eastAsia"/>
          <w:color w:val="000000"/>
          <w:sz w:val="24"/>
          <w:szCs w:val="24"/>
          <w:lang w:eastAsia="zh-CN"/>
        </w:rPr>
        <w:t>；</w:t>
      </w:r>
      <w:r>
        <w:rPr>
          <w:color w:val="000000"/>
          <w:sz w:val="24"/>
          <w:szCs w:val="24"/>
        </w:rPr>
        <w:t>10改造工程</w:t>
      </w:r>
      <w:r>
        <w:rPr>
          <w:rFonts w:hint="eastAsia"/>
          <w:color w:val="000000"/>
          <w:sz w:val="24"/>
          <w:szCs w:val="24"/>
          <w:lang w:eastAsia="zh-CN"/>
        </w:rPr>
        <w:t>；</w:t>
      </w:r>
      <w:r>
        <w:rPr>
          <w:color w:val="000000"/>
          <w:sz w:val="24"/>
          <w:szCs w:val="24"/>
        </w:rPr>
        <w:t>11</w:t>
      </w:r>
      <w:r>
        <w:rPr>
          <w:rFonts w:hint="eastAsia"/>
          <w:color w:val="000000"/>
          <w:sz w:val="24"/>
          <w:szCs w:val="24"/>
        </w:rPr>
        <w:t>现场</w:t>
      </w:r>
      <w:r>
        <w:rPr>
          <w:color w:val="000000"/>
          <w:sz w:val="24"/>
          <w:szCs w:val="24"/>
        </w:rPr>
        <w:t>检查及评议评价。</w:t>
      </w:r>
    </w:p>
    <w:p w14:paraId="40E2F324">
      <w:pPr>
        <w:spacing w:after="0" w:line="400" w:lineRule="exact"/>
        <w:ind w:firstLine="561"/>
        <w:rPr>
          <w:color w:val="000000"/>
          <w:sz w:val="24"/>
          <w:szCs w:val="24"/>
        </w:rPr>
      </w:pPr>
      <w:r>
        <w:rPr>
          <w:color w:val="000000"/>
          <w:sz w:val="24"/>
          <w:szCs w:val="24"/>
        </w:rPr>
        <w:t>本标准修订的主要技术内容是：</w:t>
      </w:r>
    </w:p>
    <w:p w14:paraId="4FD3F60C">
      <w:pPr>
        <w:pStyle w:val="2"/>
        <w:spacing w:line="440" w:lineRule="exact"/>
        <w:ind w:left="0" w:leftChars="0" w:firstLine="559" w:firstLineChars="233"/>
        <w:rPr>
          <w:rFonts w:hint="eastAsia" w:ascii="宋体" w:hAnsi="宋体" w:eastAsia="宋体"/>
          <w:color w:val="000000"/>
          <w:sz w:val="24"/>
          <w:szCs w:val="24"/>
          <w:lang w:eastAsia="zh-CN"/>
        </w:rPr>
      </w:pPr>
      <w:r>
        <w:rPr>
          <w:rFonts w:ascii="宋体" w:hAnsi="宋体"/>
          <w:color w:val="000000"/>
          <w:sz w:val="24"/>
          <w:szCs w:val="24"/>
        </w:rPr>
        <w:t>1</w:t>
      </w:r>
      <w:r>
        <w:rPr>
          <w:rFonts w:hint="eastAsia" w:ascii="宋体" w:hAnsi="宋体"/>
          <w:color w:val="000000"/>
          <w:sz w:val="24"/>
          <w:szCs w:val="24"/>
          <w:lang w:val="en-US" w:eastAsia="zh-CN"/>
        </w:rPr>
        <w:t xml:space="preserve"> </w:t>
      </w:r>
      <w:r>
        <w:rPr>
          <w:rFonts w:ascii="宋体" w:hAnsi="宋体"/>
          <w:color w:val="000000"/>
          <w:sz w:val="24"/>
          <w:szCs w:val="24"/>
        </w:rPr>
        <w:t>新增了</w:t>
      </w:r>
      <w:r>
        <w:rPr>
          <w:rFonts w:hint="eastAsia" w:ascii="宋体" w:hAnsi="宋体"/>
          <w:color w:val="000000"/>
          <w:sz w:val="24"/>
          <w:szCs w:val="24"/>
        </w:rPr>
        <w:t>改造工程</w:t>
      </w:r>
      <w:r>
        <w:rPr>
          <w:rFonts w:ascii="宋体" w:hAnsi="宋体"/>
          <w:color w:val="000000"/>
          <w:sz w:val="24"/>
          <w:szCs w:val="24"/>
        </w:rPr>
        <w:t>一章，新增了装配式装修</w:t>
      </w:r>
      <w:r>
        <w:rPr>
          <w:rFonts w:hint="eastAsia" w:ascii="宋体" w:hAnsi="宋体"/>
          <w:color w:val="000000"/>
          <w:sz w:val="24"/>
          <w:szCs w:val="24"/>
        </w:rPr>
        <w:t>、建筑防火和消防</w:t>
      </w:r>
      <w:r>
        <w:rPr>
          <w:rFonts w:ascii="宋体" w:hAnsi="宋体"/>
          <w:color w:val="000000"/>
          <w:sz w:val="24"/>
          <w:szCs w:val="24"/>
        </w:rPr>
        <w:t>工程</w:t>
      </w:r>
      <w:r>
        <w:rPr>
          <w:rFonts w:hint="eastAsia" w:ascii="宋体" w:hAnsi="宋体"/>
          <w:color w:val="000000"/>
          <w:sz w:val="24"/>
          <w:szCs w:val="24"/>
        </w:rPr>
        <w:t>三</w:t>
      </w:r>
      <w:r>
        <w:rPr>
          <w:rFonts w:ascii="宋体" w:hAnsi="宋体"/>
          <w:color w:val="000000"/>
          <w:sz w:val="24"/>
          <w:szCs w:val="24"/>
        </w:rPr>
        <w:t>节</w:t>
      </w:r>
      <w:r>
        <w:rPr>
          <w:rFonts w:hint="eastAsia" w:ascii="宋体" w:hAnsi="宋体"/>
          <w:color w:val="000000"/>
          <w:sz w:val="24"/>
          <w:szCs w:val="24"/>
          <w:lang w:eastAsia="zh-CN"/>
        </w:rPr>
        <w:t>；</w:t>
      </w:r>
    </w:p>
    <w:p w14:paraId="00D56493">
      <w:pPr>
        <w:pStyle w:val="2"/>
        <w:spacing w:line="440" w:lineRule="exact"/>
        <w:ind w:left="0" w:leftChars="0" w:firstLine="578" w:firstLineChars="241"/>
        <w:rPr>
          <w:rFonts w:hint="eastAsia" w:ascii="宋体" w:hAnsi="宋体" w:eastAsia="宋体"/>
          <w:color w:val="000000"/>
          <w:sz w:val="24"/>
          <w:szCs w:val="24"/>
          <w:lang w:eastAsia="zh-CN"/>
        </w:rPr>
      </w:pPr>
      <w:r>
        <w:rPr>
          <w:rFonts w:ascii="宋体" w:hAnsi="宋体"/>
          <w:color w:val="000000"/>
          <w:sz w:val="24"/>
          <w:szCs w:val="24"/>
        </w:rPr>
        <w:t>2</w:t>
      </w:r>
      <w:r>
        <w:rPr>
          <w:rFonts w:hint="eastAsia" w:ascii="宋体" w:hAnsi="宋体"/>
          <w:color w:val="000000"/>
          <w:sz w:val="24"/>
          <w:szCs w:val="24"/>
          <w:lang w:val="en-US" w:eastAsia="zh-CN"/>
        </w:rPr>
        <w:t xml:space="preserve"> </w:t>
      </w:r>
      <w:r>
        <w:rPr>
          <w:rFonts w:ascii="宋体" w:hAnsi="宋体"/>
          <w:color w:val="000000"/>
          <w:sz w:val="24"/>
          <w:szCs w:val="24"/>
        </w:rPr>
        <w:t>推广应用新技术及技术创新修改为技术应用创新与</w:t>
      </w:r>
      <w:r>
        <w:rPr>
          <w:rFonts w:hint="eastAsia" w:ascii="宋体" w:hAnsi="宋体"/>
          <w:color w:val="000000"/>
          <w:sz w:val="24"/>
          <w:szCs w:val="24"/>
        </w:rPr>
        <w:t>智能建造，节能与环保修改为绿色施工</w:t>
      </w:r>
      <w:r>
        <w:rPr>
          <w:rFonts w:hint="eastAsia" w:ascii="宋体" w:hAnsi="宋体"/>
          <w:color w:val="000000"/>
          <w:sz w:val="24"/>
          <w:szCs w:val="24"/>
          <w:lang w:eastAsia="zh-CN"/>
        </w:rPr>
        <w:t>；</w:t>
      </w:r>
    </w:p>
    <w:p w14:paraId="440290BE">
      <w:pPr>
        <w:pStyle w:val="2"/>
        <w:spacing w:line="440" w:lineRule="exact"/>
        <w:ind w:left="0" w:leftChars="0" w:firstLine="578" w:firstLineChars="241"/>
        <w:rPr>
          <w:rFonts w:hint="eastAsia" w:ascii="宋体" w:hAnsi="宋体" w:eastAsia="宋体"/>
          <w:color w:val="000000"/>
          <w:sz w:val="24"/>
          <w:szCs w:val="24"/>
          <w:lang w:eastAsia="zh-CN"/>
        </w:rPr>
      </w:pPr>
      <w:r>
        <w:rPr>
          <w:rFonts w:ascii="宋体" w:hAnsi="宋体"/>
          <w:color w:val="000000"/>
          <w:sz w:val="24"/>
          <w:szCs w:val="24"/>
        </w:rPr>
        <w:t>3</w:t>
      </w:r>
      <w:r>
        <w:rPr>
          <w:rFonts w:hint="eastAsia" w:ascii="宋体" w:hAnsi="宋体"/>
          <w:color w:val="000000"/>
          <w:sz w:val="24"/>
          <w:szCs w:val="24"/>
          <w:lang w:val="en-US" w:eastAsia="zh-CN"/>
        </w:rPr>
        <w:t xml:space="preserve"> </w:t>
      </w:r>
      <w:r>
        <w:rPr>
          <w:rFonts w:ascii="宋体" w:hAnsi="宋体"/>
          <w:color w:val="000000"/>
          <w:sz w:val="24"/>
          <w:szCs w:val="24"/>
        </w:rPr>
        <w:t>修改了评议评价标准，增加技术应用创新与</w:t>
      </w:r>
      <w:r>
        <w:rPr>
          <w:rFonts w:hint="eastAsia" w:ascii="宋体" w:hAnsi="宋体"/>
          <w:color w:val="000000"/>
          <w:sz w:val="24"/>
          <w:szCs w:val="24"/>
        </w:rPr>
        <w:t>智能建造</w:t>
      </w:r>
      <w:r>
        <w:rPr>
          <w:rFonts w:ascii="宋体" w:hAnsi="宋体"/>
          <w:color w:val="000000"/>
          <w:sz w:val="24"/>
          <w:szCs w:val="24"/>
        </w:rPr>
        <w:t>、</w:t>
      </w:r>
      <w:r>
        <w:rPr>
          <w:rFonts w:hint="eastAsia" w:ascii="宋体" w:hAnsi="宋体"/>
          <w:color w:val="000000"/>
          <w:sz w:val="24"/>
          <w:szCs w:val="24"/>
        </w:rPr>
        <w:t>绿色施工、改造工程资料管理检查表</w:t>
      </w:r>
      <w:r>
        <w:rPr>
          <w:rFonts w:hint="eastAsia" w:ascii="宋体" w:hAnsi="宋体"/>
          <w:color w:val="000000"/>
          <w:sz w:val="24"/>
          <w:szCs w:val="24"/>
          <w:lang w:eastAsia="zh-CN"/>
        </w:rPr>
        <w:t>；</w:t>
      </w:r>
    </w:p>
    <w:p w14:paraId="0E940567">
      <w:pPr>
        <w:pStyle w:val="2"/>
        <w:spacing w:line="440" w:lineRule="exact"/>
        <w:ind w:left="0" w:leftChars="0" w:firstLine="578" w:firstLineChars="241"/>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lang w:val="en-US" w:eastAsia="zh-CN"/>
        </w:rPr>
        <w:t xml:space="preserve"> </w:t>
      </w:r>
      <w:r>
        <w:rPr>
          <w:rFonts w:ascii="宋体" w:hAnsi="宋体"/>
          <w:color w:val="000000"/>
          <w:sz w:val="24"/>
          <w:szCs w:val="24"/>
        </w:rPr>
        <w:t>根据正文的修改，完善了附录A-</w:t>
      </w:r>
      <w:r>
        <w:rPr>
          <w:rFonts w:hint="eastAsia" w:ascii="宋体" w:hAnsi="宋体"/>
          <w:color w:val="000000"/>
          <w:sz w:val="24"/>
          <w:szCs w:val="24"/>
        </w:rPr>
        <w:t>M</w:t>
      </w:r>
      <w:r>
        <w:rPr>
          <w:rFonts w:ascii="宋体" w:hAnsi="宋体"/>
          <w:color w:val="000000"/>
          <w:sz w:val="24"/>
          <w:szCs w:val="24"/>
        </w:rPr>
        <w:t>的内容。</w:t>
      </w:r>
    </w:p>
    <w:p w14:paraId="057FB7D7">
      <w:pPr>
        <w:spacing w:after="50" w:line="400" w:lineRule="exact"/>
        <w:ind w:firstLine="560"/>
        <w:rPr>
          <w:color w:val="000000"/>
          <w:sz w:val="24"/>
          <w:szCs w:val="24"/>
        </w:rPr>
      </w:pPr>
      <w:r>
        <w:rPr>
          <w:color w:val="000000"/>
          <w:sz w:val="24"/>
          <w:szCs w:val="24"/>
        </w:rPr>
        <w:t xml:space="preserve">本标准由北京市住房和城乡建设委员会、北京市市场监督管理局共同负责管理，北京市住房和城乡建设委员会归口并组织实施，北京市工程建设质量管理协会负责本标准技术内容的解释。执行过程中如有意见或建议，请寄送至北京市工程建设质量管理协会（地址：北京市丰台区草桥东路8号院7号楼二层；电子邮箱：bjgczl@bjgczl.com.cn；电话：010-83125388 ） </w:t>
      </w:r>
    </w:p>
    <w:p w14:paraId="3B191109">
      <w:pPr>
        <w:spacing w:after="50" w:line="400" w:lineRule="exact"/>
        <w:ind w:firstLine="560"/>
        <w:rPr>
          <w:color w:val="000000"/>
          <w:sz w:val="24"/>
          <w:szCs w:val="24"/>
        </w:rPr>
      </w:pPr>
      <w:r>
        <w:rPr>
          <w:color w:val="000000"/>
          <w:sz w:val="24"/>
          <w:szCs w:val="24"/>
        </w:rPr>
        <w:t>本标准主编单位：北京市工程建设质量管理协会</w:t>
      </w:r>
    </w:p>
    <w:p w14:paraId="345B05A0">
      <w:pPr>
        <w:spacing w:after="50" w:line="400" w:lineRule="exact"/>
        <w:ind w:firstLine="560"/>
        <w:rPr>
          <w:rFonts w:hint="eastAsia"/>
          <w:color w:val="000000"/>
          <w:sz w:val="24"/>
          <w:szCs w:val="24"/>
          <w:lang w:eastAsia="zh-CN"/>
        </w:rPr>
      </w:pPr>
      <w:r>
        <w:rPr>
          <w:color w:val="000000"/>
          <w:sz w:val="24"/>
          <w:szCs w:val="24"/>
        </w:rPr>
        <w:t>本标准参编单位</w:t>
      </w:r>
      <w:r>
        <w:rPr>
          <w:rFonts w:hint="eastAsia"/>
          <w:color w:val="000000"/>
          <w:sz w:val="24"/>
          <w:szCs w:val="24"/>
          <w:lang w:eastAsia="zh-CN"/>
        </w:rPr>
        <w:t>：</w:t>
      </w:r>
    </w:p>
    <w:p w14:paraId="29617883">
      <w:pPr>
        <w:spacing w:after="50" w:line="400" w:lineRule="exact"/>
        <w:ind w:firstLine="560"/>
        <w:rPr>
          <w:color w:val="000000"/>
          <w:sz w:val="24"/>
          <w:szCs w:val="24"/>
        </w:rPr>
      </w:pPr>
      <w:r>
        <w:rPr>
          <w:color w:val="000000"/>
          <w:sz w:val="24"/>
          <w:szCs w:val="24"/>
        </w:rPr>
        <w:t>本标准主要起草人员：</w:t>
      </w:r>
    </w:p>
    <w:p w14:paraId="64DE3B84">
      <w:pPr>
        <w:spacing w:after="50" w:line="400" w:lineRule="exact"/>
        <w:ind w:firstLine="560"/>
        <w:rPr>
          <w:color w:val="000000"/>
          <w:sz w:val="24"/>
          <w:szCs w:val="24"/>
        </w:rPr>
      </w:pPr>
      <w:r>
        <w:rPr>
          <w:color w:val="000000"/>
          <w:sz w:val="24"/>
          <w:szCs w:val="24"/>
        </w:rPr>
        <w:t>本标准主要</w:t>
      </w:r>
      <w:r>
        <w:rPr>
          <w:rFonts w:hint="eastAsia"/>
          <w:color w:val="000000"/>
          <w:sz w:val="24"/>
          <w:szCs w:val="24"/>
          <w:lang w:val="en-US" w:eastAsia="zh-CN"/>
        </w:rPr>
        <w:t>审查</w:t>
      </w:r>
      <w:r>
        <w:rPr>
          <w:color w:val="000000"/>
          <w:sz w:val="24"/>
          <w:szCs w:val="24"/>
        </w:rPr>
        <w:t>人员：</w:t>
      </w:r>
    </w:p>
    <w:p w14:paraId="570B4A47">
      <w:pPr>
        <w:pStyle w:val="2"/>
        <w:rPr>
          <w:lang w:val="en-US" w:eastAsia="zh-CN"/>
        </w:rPr>
        <w:sectPr>
          <w:footerReference r:id="rId5" w:type="default"/>
          <w:pgSz w:w="11905" w:h="16837"/>
          <w:pgMar w:top="1440" w:right="1803" w:bottom="1440" w:left="1800" w:header="720" w:footer="992" w:gutter="0"/>
          <w:pgNumType w:start="1"/>
          <w:cols w:space="720" w:num="1"/>
          <w:docGrid w:type="lines" w:linePitch="312" w:charSpace="0"/>
        </w:sectPr>
      </w:pPr>
    </w:p>
    <w:p w14:paraId="6002E1C8">
      <w:pPr>
        <w:spacing w:before="312" w:beforeLines="100" w:after="312" w:afterLines="100" w:line="400" w:lineRule="exact"/>
        <w:jc w:val="center"/>
        <w:rPr>
          <w:rFonts w:hint="default" w:ascii="Times New Roman" w:hAnsi="Times New Roman" w:cs="Times New Roman" w:eastAsiaTheme="minorEastAsia"/>
          <w:bCs/>
          <w:color w:val="000000"/>
          <w:szCs w:val="28"/>
        </w:rPr>
      </w:pPr>
      <w:bookmarkStart w:id="196" w:name="_Toc5154"/>
      <w:bookmarkStart w:id="197" w:name="_Toc10731"/>
      <w:bookmarkStart w:id="198" w:name="_Toc14779"/>
      <w:bookmarkStart w:id="199" w:name="_Toc13404"/>
      <w:bookmarkStart w:id="200" w:name="_Toc23627"/>
      <w:bookmarkStart w:id="201" w:name="_Toc13624"/>
      <w:bookmarkStart w:id="202" w:name="_Toc23425"/>
      <w:bookmarkStart w:id="203" w:name="_Toc24172"/>
      <w:bookmarkStart w:id="204" w:name="_Toc4521"/>
      <w:bookmarkStart w:id="205" w:name="_Toc3223"/>
      <w:bookmarkStart w:id="206" w:name="_Toc10366"/>
      <w:bookmarkStart w:id="207" w:name="_Toc6027"/>
      <w:bookmarkStart w:id="208" w:name="_Toc21475"/>
      <w:bookmarkStart w:id="209" w:name="_Toc32127"/>
      <w:bookmarkStart w:id="210" w:name="_Toc3634"/>
      <w:bookmarkStart w:id="211" w:name="_Toc28241"/>
      <w:bookmarkStart w:id="212" w:name="_Toc14179"/>
      <w:bookmarkStart w:id="213" w:name="_Toc4130"/>
      <w:bookmarkStart w:id="214" w:name="_Toc16770"/>
      <w:bookmarkStart w:id="215" w:name="_Toc30140"/>
      <w:bookmarkStart w:id="216" w:name="_Toc29925"/>
      <w:r>
        <w:rPr>
          <w:rStyle w:val="32"/>
          <w:rFonts w:hint="eastAsia" w:ascii="宋体" w:hAnsi="宋体" w:eastAsia="宋体" w:cs="宋体"/>
          <w:b/>
          <w:bCs/>
          <w:sz w:val="28"/>
          <w:szCs w:val="28"/>
        </w:rPr>
        <w:t>目    次</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TOC \o "1-3" \h \u </w:instrText>
      </w:r>
      <w:r>
        <w:rPr>
          <w:rFonts w:hint="default" w:ascii="Times New Roman" w:hAnsi="Times New Roman" w:cs="Times New Roman" w:eastAsiaTheme="minorEastAsia"/>
          <w:bCs/>
          <w:color w:val="000000"/>
          <w:szCs w:val="28"/>
        </w:rPr>
        <w:fldChar w:fldCharType="separate"/>
      </w:r>
    </w:p>
    <w:p w14:paraId="25EB7696">
      <w:pPr>
        <w:pStyle w:val="18"/>
        <w:tabs>
          <w:tab w:val="right" w:leader="dot" w:pos="8302"/>
        </w:tabs>
        <w:rPr>
          <w:rFonts w:hint="eastAsia" w:ascii="Times New Roman" w:hAnsi="Times New Roman" w:cs="Times New Roman" w:eastAsiaTheme="minorEastAsia"/>
          <w:bCs/>
          <w:color w:val="000000"/>
          <w:szCs w:val="28"/>
          <w:lang w:eastAsia="zh-CN"/>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"_Toc25083"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  总   则</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end"/>
      </w:r>
      <w:r>
        <w:rPr>
          <w:rFonts w:hint="eastAsia" w:cs="Times New Roman" w:eastAsiaTheme="minorEastAsia"/>
          <w:bCs/>
          <w:color w:val="000000"/>
          <w:szCs w:val="28"/>
          <w:lang w:val="en-US" w:eastAsia="zh-CN"/>
        </w:rPr>
        <w:t>1</w:t>
      </w:r>
    </w:p>
    <w:p w14:paraId="6E63B492">
      <w:pPr>
        <w:pStyle w:val="18"/>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"_Toc14162"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2  基本规定</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_Toc14162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2</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60659C9F">
      <w:pPr>
        <w:pStyle w:val="18"/>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"_Toc30191"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3  施工项目管理</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_Toc30191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4</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52135A0A">
      <w:pPr>
        <w:pStyle w:val="18"/>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"_Toc5601"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4  工程资料管理</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_Toc5601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5</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2BBF6707">
      <w:pPr>
        <w:pStyle w:val="18"/>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"_Toc7070"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5  技术应用创新与智能建造</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_Toc7070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9</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1D257D23">
      <w:pPr>
        <w:pStyle w:val="18"/>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"_Toc11997"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6  绿色施工</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_Toc11997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10</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1C97F918">
      <w:pPr>
        <w:pStyle w:val="18"/>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"_Toc18478"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  土建工程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_Toc18478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11</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1A862875">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"_Toc444"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7.1  一般规定</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_Toc444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11</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60B205C5">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"_Toc2176"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7.2  屋面工程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_Toc2176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11</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0C6D514D">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"_Toc19992"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7.3  外装修工程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_Toc19992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12</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3F70F896">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"_Toc21274"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7.4  涂饰工程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_Toc21274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13</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2AA03B76">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"_Toc22629"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7.5  抹灰工程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_Toc22629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13</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1E444658">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"_Toc2683"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7.6  饰面砖、饰面板工程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_Toc2683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14</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747C04F0">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"_Toc29061"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7.7  裱糊与软包工程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_Toc29061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14</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153249B9">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"_Toc15095"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7.8  门窗工程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_Toc15095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15</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5DC8DCFE">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"_Toc16289"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7.9  幕墙工程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_Toc16289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16</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0B848C2A">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"_Toc14477"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7.10  地面工程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_Toc14477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17</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404F5B6E">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"_Toc31545"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7.11  吊顶工程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_Toc31545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20</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3C9E641A">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"_Toc9303"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7.12  轻质隔墙工程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_Toc9303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21</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4A29B142">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"_Toc10569"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7.13  细部工程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_Toc10569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21</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59B8A7C4">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"_Toc24191"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7.14  无障碍设施</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_Toc24191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22</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75CDB2E7">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"_Toc25581"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7.15  建筑防火</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_Toc25581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24</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6B1CCE84">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"_Toc20705"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7.16  装配式装修工程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_Toc20705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27</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2F1A35BC">
      <w:pPr>
        <w:pStyle w:val="18"/>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"_Toc3322"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8  建筑电气设备安装工程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_Toc3322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31</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6F9EADDF">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"_Toc8132"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8.1  一般规定</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_Toc8132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31</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756095D3">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"_Toc25171"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8.2  建筑电气工程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_Toc25171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32</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78E9113C">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"_Toc31056"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8.3  智能建筑工程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_Toc31056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41</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1E5FE9ED">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"_Toc27149"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8.4  电梯安装工程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_Toc27149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44</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48DA6466">
      <w:pPr>
        <w:pStyle w:val="18"/>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"_Toc16804"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9  建筑设备安装工程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_Toc16804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44</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12A6A225">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"_Toc7334"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9.1  一般规定</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_Toc7334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44</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60D2C308">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"_Toc2239"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9.2  建筑给水、排水工程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_Toc2239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48</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0146DAD9">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"_Toc9674"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9.3  供暖及通风、空调工程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_Toc9674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51</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221A84EE">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"_Toc24730"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9.4  消防工程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_Toc24730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53</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5014FCEF">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"_Toc7459"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9.5  燃气管道及设备安装工程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_Toc7459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54</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45130E39">
      <w:pPr>
        <w:pStyle w:val="18"/>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"_Toc6616"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10  改造工程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_Toc6616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56</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35B30507">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"_Toc5370"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10.1  一般规定</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_Toc5370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56</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7275E9BE">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"_Toc23809"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10.2  拆除工程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_Toc23809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56</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215A2D6B">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"_Toc28953"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10.3  地基基础结构加固工程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_Toc28953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56</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2ED5AAA0">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"_Toc26360"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10.4  主体结构加固</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_Toc26360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58</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7DF1A00D">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"_Toc19158"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10.5  屋面改造工程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_Toc19158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59</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4A1ABECC">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"_Toc31477"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10.6  外装修改造工程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_Toc31477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60</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5884C7E6">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"_Toc4834"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10.7  室内装修改造工程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_Toc4834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60</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253AABE9">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"_Toc24564"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10.8  设备安装改造工程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_Toc24564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61</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26C88D2F">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"_Toc20771"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10.9  电气改造工程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_Toc20771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62</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3F5FB7D4">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"_Toc28566"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10.10  电梯改造工程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_Toc28566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63</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154404AA">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"_Toc3243"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10.11  停车场改造工程</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_Toc3243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63</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762F5E29">
      <w:pPr>
        <w:pStyle w:val="18"/>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"_Toc8401"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11  现场检查及评议评价</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_Toc8401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65</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773B7FBA">
      <w:pPr>
        <w:pStyle w:val="22"/>
        <w:tabs>
          <w:tab w:val="right" w:pos="3200"/>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"_Toc25624"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11.1</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t>现场检查的方法及程序</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_Toc25624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65</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2CB64604">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"_Toc5450"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11.2   现场检查的评议、评价</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_Toc5450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66</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5D294CA7">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"_Toc25106"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附录A  土建工程实体质量现场检查</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_Toc25106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68</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2E0A7684">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"_Toc5822"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附录B  建筑电气设备安装工程实体质量现场检查</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_Toc5822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69</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7D561057">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"_Toc16463"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附录C  建筑设备安装工程实体质量现场检查</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_Toc16463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72</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1325EE91">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"_Toc17397"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附录D  工程资料管理现场检查</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_Toc17397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74</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3C7FF734">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"_Toc15399"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附录E  施工项目管理现场检查</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_Toc15399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80</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5D204E50">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"_Toc15648"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附录F  技术应用创新与智能建造现场检查</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_Toc15648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81</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3E747700">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"_Toc31644"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附录G  绿色施工现场检查表</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_Toc31644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82</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3326E487">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"_Toc7176"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附录H  改造工程资料管理现场检查</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_Toc7176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83</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3615F252">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"_Toc29230"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附录J  改造工程过程检查</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_Toc29230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91</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3535CCE7">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"_Toc29747"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附录K  工程建设单位对施工质量的评价</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_Toc29747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92</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75640128">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"_Toc6003"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附录L  工程监理单位对施工质量的评价</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_Toc6003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93</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663D20F0">
      <w:pPr>
        <w:pStyle w:val="22"/>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"_Toc7893"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附录M  建筑长城杯工程质量评议评价</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_Toc7893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94</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5D89A35C">
      <w:pPr>
        <w:pStyle w:val="18"/>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bCs/>
          <w:color w:val="000000"/>
          <w:szCs w:val="28"/>
        </w:rPr>
        <w:t>本标准用词说明</w:t>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"_Toc12566"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_Toc12566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95</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56B73E47">
      <w:pPr>
        <w:pStyle w:val="18"/>
        <w:tabs>
          <w:tab w:val="right" w:leader="dot" w:pos="8302"/>
        </w:tabs>
        <w:rPr>
          <w:rFonts w:hint="default" w:ascii="Times New Roman" w:hAnsi="Times New Roman" w:cs="Times New Roman" w:eastAsiaTheme="minorEastAsia"/>
          <w:bCs/>
          <w:color w:val="000000"/>
          <w:szCs w:val="28"/>
        </w:rPr>
      </w:pPr>
      <w:r>
        <w:rPr>
          <w:rFonts w:hint="default" w:ascii="Times New Roman" w:hAnsi="Times New Roman" w:cs="Times New Roman" w:eastAsiaTheme="minorEastAsia"/>
          <w:bCs/>
          <w:color w:val="000000"/>
          <w:szCs w:val="28"/>
        </w:rPr>
        <w:t>引用标准名录</w:t>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"_Toc17046"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_Toc17046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9</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t>6</w:t>
      </w:r>
    </w:p>
    <w:p w14:paraId="7301224E">
      <w:pPr>
        <w:pStyle w:val="18"/>
        <w:tabs>
          <w:tab w:val="right" w:leader="dot" w:pos="8302"/>
        </w:tabs>
        <w:rPr>
          <w:rFonts w:hint="default" w:ascii="Times New Roman" w:hAnsi="Times New Roman" w:cs="Times New Roman" w:eastAsiaTheme="minorEastAsia"/>
          <w:bCs/>
          <w:color w:val="000000"/>
          <w:szCs w:val="28"/>
        </w:rPr>
      </w:pPr>
      <w:r>
        <w:rPr>
          <w:rFonts w:hint="eastAsia" w:cs="Times New Roman" w:eastAsiaTheme="minorEastAsia"/>
          <w:lang w:val="en-US" w:eastAsia="zh-CN"/>
        </w:rPr>
        <w:t>附：</w:t>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"_Toc19993"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color w:val="000000"/>
          <w:szCs w:val="28"/>
        </w:rPr>
        <w:t>条文说明</w:t>
      </w:r>
      <w:r>
        <w:rPr>
          <w:rFonts w:hint="default" w:ascii="Times New Roman" w:hAnsi="Times New Roman" w:cs="Times New Roman" w:eastAsiaTheme="minorEastAsia"/>
          <w:bCs/>
          <w:color w:val="000000"/>
          <w:szCs w:val="28"/>
        </w:rPr>
        <w:tab/>
      </w:r>
      <w:r>
        <w:rPr>
          <w:rFonts w:hint="default" w:ascii="Times New Roman" w:hAnsi="Times New Roman" w:cs="Times New Roman" w:eastAsiaTheme="minorEastAsia"/>
          <w:bCs/>
          <w:color w:val="000000"/>
          <w:szCs w:val="28"/>
        </w:rPr>
        <w:fldChar w:fldCharType="begin"/>
      </w:r>
      <w:r>
        <w:rPr>
          <w:rFonts w:hint="default" w:ascii="Times New Roman" w:hAnsi="Times New Roman" w:cs="Times New Roman" w:eastAsiaTheme="minorEastAsia"/>
          <w:bCs/>
          <w:color w:val="000000"/>
          <w:szCs w:val="28"/>
        </w:rPr>
        <w:instrText xml:space="preserve"> PAGEREF _Toc19993 \h </w:instrText>
      </w:r>
      <w:r>
        <w:rPr>
          <w:rFonts w:hint="default" w:ascii="Times New Roman" w:hAnsi="Times New Roman" w:cs="Times New Roman" w:eastAsiaTheme="minorEastAsia"/>
          <w:bCs/>
          <w:color w:val="000000"/>
          <w:szCs w:val="28"/>
        </w:rPr>
        <w:fldChar w:fldCharType="separate"/>
      </w:r>
      <w:r>
        <w:rPr>
          <w:rFonts w:hint="default" w:ascii="Times New Roman" w:hAnsi="Times New Roman" w:cs="Times New Roman" w:eastAsiaTheme="minorEastAsia"/>
          <w:bCs/>
          <w:color w:val="000000"/>
          <w:szCs w:val="28"/>
        </w:rPr>
        <w:t>98</w:t>
      </w:r>
      <w:r>
        <w:rPr>
          <w:rFonts w:hint="default" w:ascii="Times New Roman" w:hAnsi="Times New Roman" w:cs="Times New Roman" w:eastAsiaTheme="minorEastAsia"/>
          <w:bCs/>
          <w:color w:val="000000"/>
          <w:szCs w:val="28"/>
        </w:rPr>
        <w:fldChar w:fldCharType="end"/>
      </w:r>
      <w:r>
        <w:rPr>
          <w:rFonts w:hint="default" w:ascii="Times New Roman" w:hAnsi="Times New Roman" w:cs="Times New Roman" w:eastAsiaTheme="minorEastAsia"/>
          <w:bCs/>
          <w:color w:val="000000"/>
          <w:szCs w:val="28"/>
        </w:rPr>
        <w:fldChar w:fldCharType="end"/>
      </w:r>
    </w:p>
    <w:p w14:paraId="7456F614">
      <w:pPr>
        <w:spacing w:before="312" w:beforeLines="100" w:after="312" w:afterLines="100" w:line="400" w:lineRule="exact"/>
        <w:jc w:val="center"/>
        <w:rPr>
          <w:rFonts w:hint="default" w:ascii="Times New Roman" w:hAnsi="Times New Roman" w:cs="Times New Roman" w:eastAsiaTheme="minorEastAsia"/>
          <w:color w:val="000000"/>
          <w:szCs w:val="30"/>
        </w:rPr>
      </w:pPr>
      <w:r>
        <w:rPr>
          <w:rFonts w:hint="default" w:ascii="Times New Roman" w:hAnsi="Times New Roman" w:cs="Times New Roman" w:eastAsiaTheme="minorEastAsia"/>
          <w:bCs/>
          <w:color w:val="000000"/>
          <w:szCs w:val="28"/>
        </w:rPr>
        <w:fldChar w:fldCharType="end"/>
      </w:r>
    </w:p>
    <w:p w14:paraId="3E5353DE">
      <w:pPr>
        <w:spacing w:before="156" w:beforeLines="50" w:after="156" w:afterLines="50" w:line="400" w:lineRule="exact"/>
        <w:jc w:val="left"/>
        <w:rPr>
          <w:rFonts w:hint="default" w:ascii="Times New Roman" w:hAnsi="Times New Roman" w:cs="Times New Roman" w:eastAsiaTheme="minorEastAsia"/>
          <w:b/>
          <w:bCs/>
          <w:color w:val="000000"/>
          <w:szCs w:val="21"/>
        </w:rPr>
      </w:pPr>
    </w:p>
    <w:p w14:paraId="4DD0D321">
      <w:pPr>
        <w:spacing w:after="50" w:line="400" w:lineRule="exact"/>
        <w:ind w:left="-176" w:leftChars="-85" w:right="-328" w:rightChars="-156" w:hanging="2"/>
        <w:jc w:val="left"/>
        <w:outlineLvl w:val="2"/>
        <w:rPr>
          <w:rStyle w:val="32"/>
          <w:rFonts w:hint="default" w:ascii="Times New Roman" w:hAnsi="Times New Roman" w:eastAsia="黑体" w:cs="Times New Roman"/>
          <w:sz w:val="28"/>
          <w:szCs w:val="28"/>
          <w:lang w:val="en-US"/>
        </w:rPr>
      </w:pPr>
      <w:r>
        <w:rPr>
          <w:rFonts w:hint="default" w:ascii="Times New Roman" w:hAnsi="Times New Roman" w:cs="Times New Roman" w:eastAsiaTheme="minorEastAsia"/>
          <w:color w:val="000000"/>
          <w:szCs w:val="21"/>
        </w:rPr>
        <w:br w:type="page"/>
      </w:r>
      <w:bookmarkStart w:id="217" w:name="_Toc168"/>
      <w:bookmarkStart w:id="218" w:name="_Toc8597"/>
      <w:r>
        <w:rPr>
          <w:rStyle w:val="32"/>
          <w:rFonts w:hint="default" w:ascii="Times New Roman" w:hAnsi="Times New Roman" w:eastAsia="黑体" w:cs="Times New Roman"/>
          <w:b/>
          <w:bCs/>
          <w:sz w:val="28"/>
          <w:szCs w:val="28"/>
          <w:lang w:val="en-US"/>
        </w:rPr>
        <w:t>Contents</w:t>
      </w:r>
    </w:p>
    <w:bookmarkEnd w:id="217"/>
    <w:bookmarkEnd w:id="218"/>
    <w:p w14:paraId="3AD56E34">
      <w:pPr>
        <w:spacing w:line="240" w:lineRule="auto"/>
        <w:jc w:val="left"/>
        <w:rPr>
          <w:rFonts w:hint="default" w:ascii="Times New Roman" w:hAnsi="Times New Roman" w:cs="Times New Roman"/>
          <w:color w:val="000000"/>
          <w:szCs w:val="21"/>
        </w:rPr>
      </w:pPr>
      <w:bookmarkStart w:id="219" w:name="_Toc28959"/>
      <w:bookmarkStart w:id="220" w:name="_Toc31808"/>
      <w:bookmarkStart w:id="221" w:name="_Toc24894"/>
      <w:bookmarkStart w:id="222" w:name="_Toc18397"/>
      <w:bookmarkStart w:id="223" w:name="_Toc25083"/>
      <w:bookmarkStart w:id="224" w:name="_Toc8060"/>
      <w:bookmarkStart w:id="225" w:name="_Toc14051"/>
      <w:bookmarkStart w:id="226" w:name="_Toc30197"/>
      <w:bookmarkStart w:id="227" w:name="_Toc1732"/>
      <w:r>
        <w:rPr>
          <w:rFonts w:hint="default" w:ascii="Times New Roman" w:hAnsi="Times New Roman" w:cs="Times New Roman"/>
          <w:color w:val="000000"/>
          <w:szCs w:val="21"/>
        </w:rPr>
        <w:t xml:space="preserve">1 </w:t>
      </w:r>
      <w:r>
        <w:rPr>
          <w:rFonts w:hint="default" w:ascii="Times New Roman" w:hAnsi="Times New Roman" w:cs="Times New Roman"/>
          <w:color w:val="000000"/>
          <w:szCs w:val="21"/>
        </w:rPr>
        <w:tab/>
      </w:r>
      <w:r>
        <w:rPr>
          <w:rFonts w:hint="default" w:ascii="Times New Roman" w:hAnsi="Times New Roman" w:cs="Times New Roman"/>
          <w:color w:val="000000"/>
          <w:szCs w:val="21"/>
        </w:rPr>
        <w:t>General provisions……………………………………………………………………………1</w:t>
      </w:r>
    </w:p>
    <w:p w14:paraId="09E2A374">
      <w:pPr>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 xml:space="preserve">2 </w:t>
      </w:r>
      <w:r>
        <w:rPr>
          <w:rFonts w:hint="default" w:ascii="Times New Roman" w:hAnsi="Times New Roman" w:cs="Times New Roman"/>
          <w:color w:val="000000"/>
          <w:szCs w:val="21"/>
        </w:rPr>
        <w:tab/>
      </w:r>
      <w:r>
        <w:rPr>
          <w:rFonts w:hint="default" w:ascii="Times New Roman" w:hAnsi="Times New Roman" w:cs="Times New Roman"/>
          <w:color w:val="000000"/>
          <w:szCs w:val="21"/>
        </w:rPr>
        <w:t>Basic reguirements……………………………………………………………………………2</w:t>
      </w:r>
    </w:p>
    <w:p w14:paraId="7E101782">
      <w:pPr>
        <w:jc w:val="left"/>
        <w:rPr>
          <w:rFonts w:hint="default"/>
        </w:rPr>
      </w:pPr>
      <w:r>
        <w:rPr>
          <w:rFonts w:hint="default"/>
        </w:rPr>
        <w:t xml:space="preserve">3 </w:t>
      </w:r>
      <w:r>
        <w:rPr>
          <w:rFonts w:hint="default"/>
        </w:rPr>
        <w:tab/>
      </w:r>
      <w:r>
        <w:rPr>
          <w:rFonts w:hint="default"/>
        </w:rPr>
        <w:t>Construction project management</w:t>
      </w:r>
      <w:r>
        <w:rPr>
          <w:rFonts w:hint="default" w:ascii="Times New Roman" w:hAnsi="Times New Roman" w:cs="Times New Roman"/>
          <w:color w:val="000000"/>
          <w:szCs w:val="21"/>
        </w:rPr>
        <w:t>……………………………………………………………</w:t>
      </w:r>
      <w:r>
        <w:rPr>
          <w:rFonts w:hint="default"/>
        </w:rPr>
        <w:t>4</w:t>
      </w:r>
    </w:p>
    <w:p w14:paraId="06AF38AA">
      <w:pPr>
        <w:jc w:val="left"/>
        <w:rPr>
          <w:rFonts w:hint="eastAsia" w:eastAsia="宋体"/>
          <w:lang w:eastAsia="zh-CN"/>
        </w:rPr>
      </w:pPr>
      <w:r>
        <w:rPr>
          <w:rFonts w:hint="default"/>
        </w:rPr>
        <w:t>4   Engineering materials anagement</w:t>
      </w:r>
      <w:r>
        <w:rPr>
          <w:rFonts w:hint="default" w:ascii="Times New Roman" w:hAnsi="Times New Roman" w:cs="Times New Roman"/>
          <w:color w:val="000000"/>
          <w:szCs w:val="21"/>
        </w:rPr>
        <w:t>……………………………………………………………</w:t>
      </w:r>
      <w:r>
        <w:rPr>
          <w:rFonts w:hint="eastAsia"/>
          <w:lang w:val="en-US" w:eastAsia="zh-CN"/>
        </w:rPr>
        <w:t>5</w:t>
      </w:r>
    </w:p>
    <w:p w14:paraId="6386F44D">
      <w:pPr>
        <w:jc w:val="left"/>
        <w:rPr>
          <w:rFonts w:hint="default"/>
        </w:rPr>
      </w:pPr>
      <w:r>
        <w:rPr>
          <w:rFonts w:hint="default"/>
        </w:rPr>
        <w:t xml:space="preserve">5 </w:t>
      </w:r>
      <w:r>
        <w:rPr>
          <w:rFonts w:hint="default"/>
        </w:rPr>
        <w:tab/>
      </w:r>
      <w:r>
        <w:rPr>
          <w:rFonts w:hint="default"/>
        </w:rPr>
        <w:t>Promotion and application of  New technology and technical innovation</w:t>
      </w:r>
      <w:r>
        <w:rPr>
          <w:rFonts w:hint="default" w:ascii="Times New Roman" w:hAnsi="Times New Roman" w:cs="Times New Roman"/>
          <w:color w:val="000000"/>
          <w:szCs w:val="21"/>
        </w:rPr>
        <w:t>………………</w:t>
      </w:r>
      <w:r>
        <w:rPr>
          <w:rFonts w:hint="default"/>
        </w:rPr>
        <w:t>9</w:t>
      </w:r>
    </w:p>
    <w:p w14:paraId="3D76FD42">
      <w:pPr>
        <w:jc w:val="left"/>
        <w:rPr>
          <w:rFonts w:hint="default"/>
        </w:rPr>
      </w:pPr>
      <w:r>
        <w:rPr>
          <w:rFonts w:hint="default"/>
        </w:rPr>
        <w:t xml:space="preserve">6 </w:t>
      </w:r>
      <w:r>
        <w:rPr>
          <w:rFonts w:hint="default"/>
        </w:rPr>
        <w:tab/>
      </w:r>
      <w:r>
        <w:rPr>
          <w:rFonts w:hint="eastAsia"/>
          <w:lang w:val="en-US" w:eastAsia="zh-CN"/>
        </w:rPr>
        <w:t>G</w:t>
      </w:r>
      <w:r>
        <w:rPr>
          <w:rFonts w:hint="default"/>
        </w:rPr>
        <w:t>reen construction</w:t>
      </w:r>
      <w:r>
        <w:rPr>
          <w:rFonts w:hint="default" w:ascii="Times New Roman" w:hAnsi="Times New Roman" w:cs="Times New Roman"/>
          <w:color w:val="000000"/>
          <w:szCs w:val="21"/>
        </w:rPr>
        <w:t>…………………………………………………………………………</w:t>
      </w:r>
      <w:r>
        <w:rPr>
          <w:rFonts w:hint="default"/>
        </w:rPr>
        <w:t>10</w:t>
      </w:r>
    </w:p>
    <w:p w14:paraId="1D21B4A4">
      <w:pPr>
        <w:jc w:val="left"/>
        <w:rPr>
          <w:rFonts w:hint="default"/>
        </w:rPr>
      </w:pPr>
      <w:r>
        <w:rPr>
          <w:rFonts w:hint="default"/>
        </w:rPr>
        <w:t xml:space="preserve">7 </w:t>
      </w:r>
      <w:r>
        <w:rPr>
          <w:rFonts w:hint="default"/>
        </w:rPr>
        <w:tab/>
      </w:r>
      <w:r>
        <w:rPr>
          <w:rFonts w:hint="default"/>
        </w:rPr>
        <w:t>Civil engineering</w:t>
      </w:r>
      <w:r>
        <w:rPr>
          <w:rFonts w:hint="default" w:ascii="Times New Roman" w:hAnsi="Times New Roman" w:cs="Times New Roman"/>
          <w:color w:val="000000"/>
          <w:szCs w:val="21"/>
        </w:rPr>
        <w:t>……………………………………………………………………………</w:t>
      </w:r>
      <w:r>
        <w:rPr>
          <w:rFonts w:hint="default"/>
        </w:rPr>
        <w:t>11</w:t>
      </w:r>
    </w:p>
    <w:p w14:paraId="1A1677EF">
      <w:pPr>
        <w:jc w:val="left"/>
        <w:rPr>
          <w:rFonts w:hint="default"/>
        </w:rPr>
      </w:pPr>
      <w:r>
        <w:rPr>
          <w:rFonts w:hint="eastAsia"/>
          <w:lang w:val="en-US" w:eastAsia="zh-CN"/>
        </w:rPr>
        <w:t xml:space="preserve">    </w:t>
      </w:r>
      <w:r>
        <w:rPr>
          <w:rFonts w:hint="default"/>
        </w:rPr>
        <w:t>7.1</w:t>
      </w:r>
      <w:r>
        <w:rPr>
          <w:rFonts w:hint="eastAsia"/>
          <w:lang w:val="en-US" w:eastAsia="zh-CN"/>
        </w:rPr>
        <w:t xml:space="preserve"> </w:t>
      </w:r>
      <w:r>
        <w:rPr>
          <w:rFonts w:hint="default"/>
        </w:rPr>
        <w:t xml:space="preserve">General reguirements </w:t>
      </w:r>
      <w:r>
        <w:rPr>
          <w:rFonts w:hint="default" w:ascii="Times New Roman" w:hAnsi="Times New Roman" w:cs="Times New Roman"/>
          <w:color w:val="000000"/>
          <w:szCs w:val="21"/>
        </w:rPr>
        <w:t>……………………………………………………………………</w:t>
      </w:r>
      <w:r>
        <w:rPr>
          <w:rFonts w:hint="default"/>
        </w:rPr>
        <w:t>11</w:t>
      </w:r>
    </w:p>
    <w:p w14:paraId="71B96AFD">
      <w:pPr>
        <w:jc w:val="left"/>
        <w:rPr>
          <w:rFonts w:hint="default"/>
        </w:rPr>
      </w:pPr>
      <w:r>
        <w:rPr>
          <w:rFonts w:hint="eastAsia"/>
          <w:lang w:val="en-US" w:eastAsia="zh-CN"/>
        </w:rPr>
        <w:t xml:space="preserve">    </w:t>
      </w:r>
      <w:r>
        <w:rPr>
          <w:rFonts w:hint="default"/>
        </w:rPr>
        <w:t>7.2</w:t>
      </w:r>
      <w:r>
        <w:rPr>
          <w:rFonts w:hint="eastAsia"/>
          <w:lang w:val="en-US" w:eastAsia="zh-CN"/>
        </w:rPr>
        <w:t xml:space="preserve"> </w:t>
      </w:r>
      <w:r>
        <w:rPr>
          <w:rFonts w:hint="default"/>
        </w:rPr>
        <w:t>Structure roof engineering</w:t>
      </w:r>
      <w:r>
        <w:rPr>
          <w:rFonts w:hint="default" w:ascii="Times New Roman" w:hAnsi="Times New Roman" w:cs="Times New Roman"/>
          <w:color w:val="000000"/>
          <w:szCs w:val="21"/>
        </w:rPr>
        <w:t>………………………………………………………………</w:t>
      </w:r>
      <w:r>
        <w:rPr>
          <w:rFonts w:hint="default"/>
        </w:rPr>
        <w:t>11</w:t>
      </w:r>
    </w:p>
    <w:p w14:paraId="709B42B9">
      <w:pPr>
        <w:jc w:val="left"/>
        <w:rPr>
          <w:rFonts w:hint="default"/>
        </w:rPr>
      </w:pPr>
      <w:r>
        <w:rPr>
          <w:rFonts w:hint="eastAsia"/>
          <w:lang w:val="en-US" w:eastAsia="zh-CN"/>
        </w:rPr>
        <w:t xml:space="preserve">    </w:t>
      </w:r>
      <w:r>
        <w:rPr>
          <w:rFonts w:hint="default"/>
        </w:rPr>
        <w:t>7.3</w:t>
      </w:r>
      <w:r>
        <w:rPr>
          <w:rFonts w:hint="eastAsia"/>
          <w:lang w:val="en-US" w:eastAsia="zh-CN"/>
        </w:rPr>
        <w:t xml:space="preserve"> </w:t>
      </w:r>
      <w:r>
        <w:rPr>
          <w:rFonts w:hint="default"/>
        </w:rPr>
        <w:t xml:space="preserve">Exterior finish engineering </w:t>
      </w:r>
      <w:r>
        <w:rPr>
          <w:rFonts w:hint="default" w:ascii="Times New Roman" w:hAnsi="Times New Roman" w:cs="Times New Roman"/>
          <w:color w:val="000000"/>
          <w:szCs w:val="21"/>
        </w:rPr>
        <w:t>……………………………………………………………</w:t>
      </w:r>
      <w:r>
        <w:rPr>
          <w:rFonts w:hint="default"/>
        </w:rPr>
        <w:t>12</w:t>
      </w:r>
    </w:p>
    <w:p w14:paraId="7EBC8102">
      <w:pPr>
        <w:jc w:val="left"/>
        <w:rPr>
          <w:rFonts w:hint="default"/>
        </w:rPr>
      </w:pPr>
      <w:r>
        <w:rPr>
          <w:rFonts w:hint="eastAsia"/>
          <w:lang w:val="en-US" w:eastAsia="zh-CN"/>
        </w:rPr>
        <w:t xml:space="preserve">    </w:t>
      </w:r>
      <w:r>
        <w:rPr>
          <w:rFonts w:hint="default"/>
        </w:rPr>
        <w:t>7.4</w:t>
      </w:r>
      <w:r>
        <w:rPr>
          <w:rFonts w:hint="eastAsia"/>
          <w:lang w:val="en-US" w:eastAsia="zh-CN"/>
        </w:rPr>
        <w:t xml:space="preserve"> </w:t>
      </w:r>
      <w:r>
        <w:rPr>
          <w:rFonts w:hint="default"/>
        </w:rPr>
        <w:t>Coating engineering</w:t>
      </w:r>
      <w:r>
        <w:rPr>
          <w:rFonts w:hint="default" w:ascii="Times New Roman" w:hAnsi="Times New Roman" w:cs="Times New Roman"/>
          <w:color w:val="000000"/>
          <w:szCs w:val="21"/>
        </w:rPr>
        <w:t>……………………………………………………………………</w:t>
      </w:r>
      <w:r>
        <w:rPr>
          <w:rFonts w:hint="default"/>
        </w:rPr>
        <w:t>13</w:t>
      </w:r>
    </w:p>
    <w:p w14:paraId="1AF9EF76">
      <w:pPr>
        <w:jc w:val="left"/>
        <w:rPr>
          <w:rFonts w:hint="default"/>
        </w:rPr>
      </w:pPr>
      <w:r>
        <w:rPr>
          <w:rFonts w:hint="eastAsia"/>
          <w:lang w:val="en-US" w:eastAsia="zh-CN"/>
        </w:rPr>
        <w:t xml:space="preserve">    </w:t>
      </w:r>
      <w:r>
        <w:rPr>
          <w:rFonts w:hint="default"/>
        </w:rPr>
        <w:t>7.5</w:t>
      </w:r>
      <w:r>
        <w:rPr>
          <w:rFonts w:hint="eastAsia"/>
          <w:lang w:val="en-US" w:eastAsia="zh-CN"/>
        </w:rPr>
        <w:t xml:space="preserve"> </w:t>
      </w:r>
      <w:r>
        <w:rPr>
          <w:rFonts w:hint="default"/>
        </w:rPr>
        <w:t>Plastering engineering</w:t>
      </w:r>
      <w:r>
        <w:rPr>
          <w:rFonts w:hint="default" w:ascii="Times New Roman" w:hAnsi="Times New Roman" w:cs="Times New Roman"/>
          <w:color w:val="000000"/>
          <w:szCs w:val="21"/>
        </w:rPr>
        <w:t>…………………………………………………………………</w:t>
      </w:r>
      <w:r>
        <w:rPr>
          <w:rFonts w:hint="default"/>
        </w:rPr>
        <w:t>13</w:t>
      </w:r>
    </w:p>
    <w:p w14:paraId="1C8BAF60">
      <w:pPr>
        <w:jc w:val="left"/>
        <w:rPr>
          <w:rFonts w:hint="default"/>
        </w:rPr>
      </w:pPr>
      <w:r>
        <w:rPr>
          <w:rFonts w:hint="eastAsia"/>
          <w:lang w:val="en-US" w:eastAsia="zh-CN"/>
        </w:rPr>
        <w:t xml:space="preserve">    </w:t>
      </w:r>
      <w:r>
        <w:rPr>
          <w:rFonts w:hint="default"/>
        </w:rPr>
        <w:t>7.6</w:t>
      </w:r>
      <w:r>
        <w:rPr>
          <w:rFonts w:hint="eastAsia"/>
          <w:lang w:val="en-US" w:eastAsia="zh-CN"/>
        </w:rPr>
        <w:t xml:space="preserve"> </w:t>
      </w:r>
      <w:r>
        <w:rPr>
          <w:rFonts w:hint="default"/>
        </w:rPr>
        <w:t>Tapestry brick and wood veneer engineering</w:t>
      </w:r>
      <w:r>
        <w:rPr>
          <w:rFonts w:hint="default" w:ascii="Times New Roman" w:hAnsi="Times New Roman" w:cs="Times New Roman"/>
          <w:color w:val="000000"/>
          <w:szCs w:val="21"/>
        </w:rPr>
        <w:t>…………………………………………</w:t>
      </w:r>
      <w:r>
        <w:rPr>
          <w:rFonts w:hint="default"/>
        </w:rPr>
        <w:t>14</w:t>
      </w:r>
    </w:p>
    <w:p w14:paraId="0026CB08">
      <w:pPr>
        <w:jc w:val="left"/>
        <w:rPr>
          <w:rFonts w:hint="default"/>
        </w:rPr>
      </w:pPr>
      <w:r>
        <w:rPr>
          <w:rFonts w:hint="eastAsia"/>
          <w:lang w:val="en-US" w:eastAsia="zh-CN"/>
        </w:rPr>
        <w:t xml:space="preserve">    </w:t>
      </w:r>
      <w:r>
        <w:rPr>
          <w:rFonts w:hint="default"/>
        </w:rPr>
        <w:t>7.7</w:t>
      </w:r>
      <w:r>
        <w:rPr>
          <w:rFonts w:hint="eastAsia"/>
          <w:lang w:val="en-US" w:eastAsia="zh-CN"/>
        </w:rPr>
        <w:t xml:space="preserve"> </w:t>
      </w:r>
      <w:r>
        <w:rPr>
          <w:rFonts w:hint="default"/>
        </w:rPr>
        <w:t>Wallpaper and yielding material decoration engineering</w:t>
      </w:r>
      <w:r>
        <w:rPr>
          <w:rFonts w:hint="default" w:ascii="Times New Roman" w:hAnsi="Times New Roman" w:cs="Times New Roman"/>
          <w:color w:val="000000"/>
          <w:szCs w:val="21"/>
        </w:rPr>
        <w:t>……………………………</w:t>
      </w:r>
      <w:r>
        <w:rPr>
          <w:rFonts w:hint="default"/>
        </w:rPr>
        <w:t>14</w:t>
      </w:r>
    </w:p>
    <w:p w14:paraId="17434D74">
      <w:pPr>
        <w:jc w:val="left"/>
        <w:rPr>
          <w:rFonts w:hint="default"/>
        </w:rPr>
      </w:pPr>
      <w:r>
        <w:rPr>
          <w:rFonts w:hint="eastAsia"/>
          <w:lang w:val="en-US" w:eastAsia="zh-CN"/>
        </w:rPr>
        <w:t xml:space="preserve">    </w:t>
      </w:r>
      <w:r>
        <w:rPr>
          <w:rFonts w:hint="default"/>
        </w:rPr>
        <w:t>7.8</w:t>
      </w:r>
      <w:r>
        <w:rPr>
          <w:rFonts w:hint="eastAsia"/>
          <w:lang w:val="en-US" w:eastAsia="zh-CN"/>
        </w:rPr>
        <w:t xml:space="preserve"> </w:t>
      </w:r>
      <w:r>
        <w:rPr>
          <w:rFonts w:hint="default"/>
        </w:rPr>
        <w:t>Doors and windows engineering</w:t>
      </w:r>
      <w:r>
        <w:rPr>
          <w:rFonts w:hint="default" w:ascii="Times New Roman" w:hAnsi="Times New Roman" w:cs="Times New Roman"/>
          <w:color w:val="000000"/>
          <w:szCs w:val="21"/>
        </w:rPr>
        <w:t>………………………………………………………</w:t>
      </w:r>
      <w:r>
        <w:rPr>
          <w:rFonts w:hint="default"/>
        </w:rPr>
        <w:t>15</w:t>
      </w:r>
    </w:p>
    <w:p w14:paraId="083D4C00">
      <w:pPr>
        <w:jc w:val="left"/>
        <w:rPr>
          <w:rFonts w:hint="default"/>
        </w:rPr>
      </w:pPr>
      <w:r>
        <w:rPr>
          <w:rFonts w:hint="eastAsia"/>
          <w:lang w:val="en-US" w:eastAsia="zh-CN"/>
        </w:rPr>
        <w:t xml:space="preserve">    </w:t>
      </w:r>
      <w:r>
        <w:rPr>
          <w:rFonts w:hint="default"/>
        </w:rPr>
        <w:t>7.9</w:t>
      </w:r>
      <w:r>
        <w:rPr>
          <w:rFonts w:hint="eastAsia"/>
          <w:lang w:val="en-US" w:eastAsia="zh-CN"/>
        </w:rPr>
        <w:t xml:space="preserve"> </w:t>
      </w:r>
      <w:r>
        <w:rPr>
          <w:rFonts w:hint="default"/>
        </w:rPr>
        <w:t>Curtain wall engineering</w:t>
      </w:r>
      <w:r>
        <w:rPr>
          <w:rFonts w:hint="default" w:ascii="Times New Roman" w:hAnsi="Times New Roman" w:cs="Times New Roman"/>
          <w:color w:val="000000"/>
          <w:szCs w:val="21"/>
        </w:rPr>
        <w:t>………………………………………………………………</w:t>
      </w:r>
      <w:r>
        <w:rPr>
          <w:rFonts w:hint="default"/>
        </w:rPr>
        <w:t>16</w:t>
      </w:r>
    </w:p>
    <w:p w14:paraId="6B6847C7">
      <w:pPr>
        <w:jc w:val="left"/>
        <w:rPr>
          <w:rFonts w:hint="default"/>
        </w:rPr>
      </w:pPr>
      <w:r>
        <w:rPr>
          <w:rFonts w:hint="eastAsia"/>
          <w:lang w:val="en-US" w:eastAsia="zh-CN"/>
        </w:rPr>
        <w:t xml:space="preserve">    </w:t>
      </w:r>
      <w:r>
        <w:rPr>
          <w:rFonts w:hint="default"/>
        </w:rPr>
        <w:t>7.1</w:t>
      </w:r>
      <w:r>
        <w:rPr>
          <w:rFonts w:hint="eastAsia"/>
          <w:lang w:val="en-US" w:eastAsia="zh-CN"/>
        </w:rPr>
        <w:t>0 F</w:t>
      </w:r>
      <w:r>
        <w:rPr>
          <w:rFonts w:hint="default"/>
        </w:rPr>
        <w:t>loor engineering</w:t>
      </w:r>
      <w:r>
        <w:rPr>
          <w:rFonts w:hint="default" w:ascii="Times New Roman" w:hAnsi="Times New Roman" w:cs="Times New Roman"/>
          <w:color w:val="000000"/>
          <w:szCs w:val="21"/>
        </w:rPr>
        <w:t>………………………………………………………………………</w:t>
      </w:r>
      <w:r>
        <w:rPr>
          <w:rFonts w:hint="default"/>
        </w:rPr>
        <w:t>17</w:t>
      </w:r>
    </w:p>
    <w:p w14:paraId="6D479880">
      <w:pPr>
        <w:jc w:val="left"/>
        <w:rPr>
          <w:rFonts w:hint="default"/>
        </w:rPr>
      </w:pPr>
      <w:r>
        <w:rPr>
          <w:rFonts w:hint="eastAsia"/>
          <w:lang w:val="en-US" w:eastAsia="zh-CN"/>
        </w:rPr>
        <w:t xml:space="preserve">    </w:t>
      </w:r>
      <w:r>
        <w:rPr>
          <w:rFonts w:hint="default"/>
        </w:rPr>
        <w:t>7.11</w:t>
      </w:r>
      <w:r>
        <w:rPr>
          <w:rFonts w:hint="eastAsia"/>
          <w:lang w:val="en-US" w:eastAsia="zh-CN"/>
        </w:rPr>
        <w:t xml:space="preserve"> </w:t>
      </w:r>
      <w:r>
        <w:rPr>
          <w:rFonts w:hint="default"/>
        </w:rPr>
        <w:t>Ceiling engineering</w:t>
      </w:r>
      <w:r>
        <w:rPr>
          <w:rFonts w:hint="default" w:ascii="Times New Roman" w:hAnsi="Times New Roman" w:cs="Times New Roman"/>
          <w:color w:val="000000"/>
          <w:szCs w:val="21"/>
        </w:rPr>
        <w:t>……………………………………………………………………</w:t>
      </w:r>
      <w:r>
        <w:rPr>
          <w:rFonts w:hint="default"/>
        </w:rPr>
        <w:t>20</w:t>
      </w:r>
    </w:p>
    <w:p w14:paraId="52DAEA6C">
      <w:pPr>
        <w:jc w:val="left"/>
        <w:rPr>
          <w:rFonts w:hint="default"/>
        </w:rPr>
      </w:pPr>
      <w:r>
        <w:rPr>
          <w:rFonts w:hint="eastAsia"/>
          <w:lang w:val="en-US" w:eastAsia="zh-CN"/>
        </w:rPr>
        <w:t xml:space="preserve">    </w:t>
      </w:r>
      <w:r>
        <w:rPr>
          <w:rFonts w:hint="default"/>
        </w:rPr>
        <w:t>7.12</w:t>
      </w:r>
      <w:r>
        <w:rPr>
          <w:rFonts w:hint="eastAsia"/>
          <w:lang w:val="en-US" w:eastAsia="zh-CN"/>
        </w:rPr>
        <w:t xml:space="preserve"> </w:t>
      </w:r>
      <w:r>
        <w:rPr>
          <w:rFonts w:hint="default"/>
        </w:rPr>
        <w:t>Light partition engineering</w:t>
      </w:r>
      <w:r>
        <w:rPr>
          <w:rFonts w:hint="default" w:ascii="Times New Roman" w:hAnsi="Times New Roman" w:cs="Times New Roman"/>
          <w:color w:val="000000"/>
          <w:szCs w:val="21"/>
        </w:rPr>
        <w:t>……………………………………………………………</w:t>
      </w:r>
      <w:r>
        <w:rPr>
          <w:rFonts w:hint="default"/>
        </w:rPr>
        <w:t>21</w:t>
      </w:r>
    </w:p>
    <w:p w14:paraId="4019A88C">
      <w:pPr>
        <w:jc w:val="left"/>
        <w:rPr>
          <w:rFonts w:hint="default"/>
        </w:rPr>
      </w:pPr>
      <w:r>
        <w:rPr>
          <w:rFonts w:hint="eastAsia"/>
          <w:lang w:val="en-US" w:eastAsia="zh-CN"/>
        </w:rPr>
        <w:t xml:space="preserve">    </w:t>
      </w:r>
      <w:r>
        <w:rPr>
          <w:rFonts w:hint="default"/>
        </w:rPr>
        <w:t>7.13</w:t>
      </w:r>
      <w:r>
        <w:rPr>
          <w:rFonts w:hint="eastAsia"/>
          <w:lang w:val="en-US" w:eastAsia="zh-CN"/>
        </w:rPr>
        <w:t xml:space="preserve"> </w:t>
      </w:r>
      <w:r>
        <w:rPr>
          <w:rFonts w:hint="default"/>
        </w:rPr>
        <w:t>Details engineering</w:t>
      </w:r>
      <w:r>
        <w:rPr>
          <w:rFonts w:hint="default" w:ascii="Times New Roman" w:hAnsi="Times New Roman" w:cs="Times New Roman"/>
          <w:color w:val="000000"/>
          <w:szCs w:val="21"/>
        </w:rPr>
        <w:t>……………………………………………………………………</w:t>
      </w:r>
      <w:r>
        <w:rPr>
          <w:rFonts w:hint="default"/>
        </w:rPr>
        <w:t>21</w:t>
      </w:r>
    </w:p>
    <w:p w14:paraId="3A6C7521">
      <w:pPr>
        <w:jc w:val="left"/>
        <w:rPr>
          <w:rFonts w:hint="default"/>
        </w:rPr>
      </w:pPr>
      <w:r>
        <w:rPr>
          <w:rFonts w:hint="eastAsia"/>
          <w:lang w:val="en-US" w:eastAsia="zh-CN"/>
        </w:rPr>
        <w:t xml:space="preserve">    </w:t>
      </w:r>
      <w:r>
        <w:rPr>
          <w:rFonts w:hint="default"/>
        </w:rPr>
        <w:t>7.14</w:t>
      </w:r>
      <w:r>
        <w:rPr>
          <w:rFonts w:hint="eastAsia"/>
          <w:lang w:val="en-US" w:eastAsia="zh-CN"/>
        </w:rPr>
        <w:t xml:space="preserve"> </w:t>
      </w:r>
      <w:r>
        <w:rPr>
          <w:rFonts w:hint="default"/>
        </w:rPr>
        <w:t>Obstacle-free facilities</w:t>
      </w:r>
      <w:r>
        <w:rPr>
          <w:rFonts w:hint="default" w:ascii="Times New Roman" w:hAnsi="Times New Roman" w:cs="Times New Roman"/>
          <w:color w:val="000000"/>
          <w:szCs w:val="21"/>
        </w:rPr>
        <w:t>…………………………………………………………………</w:t>
      </w:r>
      <w:r>
        <w:rPr>
          <w:rFonts w:hint="default"/>
        </w:rPr>
        <w:t>22</w:t>
      </w:r>
    </w:p>
    <w:p w14:paraId="17E383CA">
      <w:pPr>
        <w:jc w:val="left"/>
        <w:rPr>
          <w:rFonts w:hint="default"/>
        </w:rPr>
      </w:pPr>
      <w:r>
        <w:rPr>
          <w:rFonts w:hint="eastAsia"/>
          <w:lang w:val="en-US" w:eastAsia="zh-CN"/>
        </w:rPr>
        <w:t xml:space="preserve">    </w:t>
      </w:r>
      <w:r>
        <w:rPr>
          <w:rFonts w:hint="default"/>
        </w:rPr>
        <w:t>7.15</w:t>
      </w:r>
      <w:r>
        <w:rPr>
          <w:rFonts w:hint="eastAsia"/>
          <w:lang w:val="en-US" w:eastAsia="zh-CN"/>
        </w:rPr>
        <w:t xml:space="preserve"> </w:t>
      </w:r>
      <w:r>
        <w:rPr>
          <w:rFonts w:hint="default"/>
        </w:rPr>
        <w:t>Building Fire Engineering</w:t>
      </w:r>
      <w:r>
        <w:rPr>
          <w:rFonts w:hint="default" w:ascii="Times New Roman" w:hAnsi="Times New Roman" w:cs="Times New Roman"/>
          <w:color w:val="000000"/>
          <w:szCs w:val="21"/>
        </w:rPr>
        <w:t>……………………………………………………………</w:t>
      </w:r>
      <w:r>
        <w:rPr>
          <w:rFonts w:hint="default"/>
        </w:rPr>
        <w:t>24</w:t>
      </w:r>
    </w:p>
    <w:p w14:paraId="16881AF2">
      <w:pPr>
        <w:jc w:val="left"/>
        <w:rPr>
          <w:rFonts w:hint="default"/>
        </w:rPr>
      </w:pPr>
      <w:r>
        <w:rPr>
          <w:rFonts w:hint="eastAsia"/>
          <w:lang w:val="en-US" w:eastAsia="zh-CN"/>
        </w:rPr>
        <w:t xml:space="preserve">    </w:t>
      </w:r>
      <w:r>
        <w:rPr>
          <w:rFonts w:hint="default"/>
        </w:rPr>
        <w:t>7.16</w:t>
      </w:r>
      <w:r>
        <w:rPr>
          <w:rFonts w:hint="eastAsia"/>
          <w:lang w:val="en-US" w:eastAsia="zh-CN"/>
        </w:rPr>
        <w:t xml:space="preserve"> </w:t>
      </w:r>
      <w:r>
        <w:rPr>
          <w:rFonts w:hint="default"/>
        </w:rPr>
        <w:t>Assembled decoration engineering</w:t>
      </w:r>
      <w:r>
        <w:rPr>
          <w:rFonts w:hint="default" w:ascii="Times New Roman" w:hAnsi="Times New Roman" w:cs="Times New Roman"/>
          <w:color w:val="000000"/>
          <w:szCs w:val="21"/>
        </w:rPr>
        <w:t>……………………………………………………</w:t>
      </w:r>
      <w:r>
        <w:rPr>
          <w:rFonts w:hint="default"/>
        </w:rPr>
        <w:t>27</w:t>
      </w:r>
    </w:p>
    <w:p w14:paraId="0EE8D006">
      <w:pPr>
        <w:jc w:val="left"/>
        <w:rPr>
          <w:rFonts w:hint="default"/>
        </w:rPr>
      </w:pPr>
      <w:r>
        <w:rPr>
          <w:rFonts w:hint="default"/>
        </w:rPr>
        <w:t xml:space="preserve">8 </w:t>
      </w:r>
      <w:r>
        <w:rPr>
          <w:rFonts w:hint="default"/>
        </w:rPr>
        <w:tab/>
      </w:r>
      <w:r>
        <w:rPr>
          <w:rFonts w:hint="default"/>
        </w:rPr>
        <w:t>Electrical equipment installation engineering</w:t>
      </w:r>
      <w:r>
        <w:rPr>
          <w:rFonts w:hint="default" w:ascii="Times New Roman" w:hAnsi="Times New Roman" w:cs="Times New Roman"/>
          <w:color w:val="000000"/>
          <w:szCs w:val="21"/>
        </w:rPr>
        <w:t>………………………………………………</w:t>
      </w:r>
      <w:r>
        <w:rPr>
          <w:rFonts w:hint="default"/>
        </w:rPr>
        <w:t>31</w:t>
      </w:r>
    </w:p>
    <w:p w14:paraId="11F7BEDA">
      <w:pPr>
        <w:jc w:val="left"/>
        <w:rPr>
          <w:rFonts w:hint="default"/>
        </w:rPr>
      </w:pPr>
      <w:bookmarkStart w:id="228" w:name="_Toc10933"/>
      <w:bookmarkStart w:id="229" w:name="_Toc18931"/>
      <w:bookmarkStart w:id="230" w:name="_Toc18846"/>
      <w:bookmarkStart w:id="231" w:name="_Toc18201"/>
      <w:bookmarkStart w:id="232" w:name="_Toc11304"/>
      <w:bookmarkStart w:id="233" w:name="_Toc2380"/>
      <w:bookmarkStart w:id="234" w:name="_Toc12495"/>
      <w:bookmarkStart w:id="235" w:name="_Toc6523"/>
      <w:bookmarkStart w:id="236" w:name="_Toc31657"/>
      <w:bookmarkStart w:id="237" w:name="_Toc18559_WPSOffice_Level1"/>
      <w:r>
        <w:rPr>
          <w:rFonts w:hint="eastAsia"/>
          <w:lang w:val="en-US" w:eastAsia="zh-CN"/>
        </w:rPr>
        <w:t xml:space="preserve">    </w:t>
      </w:r>
      <w:r>
        <w:rPr>
          <w:rFonts w:hint="default"/>
        </w:rPr>
        <w:t>8.1</w:t>
      </w:r>
      <w:r>
        <w:rPr>
          <w:rFonts w:hint="eastAsia"/>
          <w:lang w:val="en-US" w:eastAsia="zh-CN"/>
        </w:rPr>
        <w:t xml:space="preserve"> </w:t>
      </w:r>
      <w:r>
        <w:rPr>
          <w:rFonts w:hint="default"/>
        </w:rPr>
        <w:t>General reguirements</w:t>
      </w:r>
      <w:bookmarkEnd w:id="228"/>
      <w:bookmarkEnd w:id="229"/>
      <w:bookmarkEnd w:id="230"/>
      <w:bookmarkEnd w:id="231"/>
      <w:bookmarkEnd w:id="232"/>
      <w:bookmarkEnd w:id="233"/>
      <w:bookmarkEnd w:id="234"/>
      <w:bookmarkEnd w:id="235"/>
      <w:bookmarkEnd w:id="236"/>
      <w:bookmarkEnd w:id="237"/>
      <w:r>
        <w:rPr>
          <w:rFonts w:hint="default" w:ascii="Times New Roman" w:hAnsi="Times New Roman" w:cs="Times New Roman"/>
          <w:color w:val="000000"/>
          <w:szCs w:val="21"/>
        </w:rPr>
        <w:t>……………………………………………………………………</w:t>
      </w:r>
      <w:r>
        <w:rPr>
          <w:rFonts w:hint="default"/>
        </w:rPr>
        <w:t>31</w:t>
      </w:r>
    </w:p>
    <w:p w14:paraId="455836FC">
      <w:pPr>
        <w:jc w:val="left"/>
        <w:rPr>
          <w:rFonts w:hint="default"/>
        </w:rPr>
      </w:pPr>
      <w:bookmarkStart w:id="238" w:name="_Toc29131"/>
      <w:bookmarkStart w:id="239" w:name="_Toc12467"/>
      <w:bookmarkStart w:id="240" w:name="_Toc32761_WPSOffice_Level1"/>
      <w:bookmarkStart w:id="241" w:name="_Toc16410"/>
      <w:bookmarkStart w:id="242" w:name="_Toc2308"/>
      <w:bookmarkStart w:id="243" w:name="_Toc6456"/>
      <w:bookmarkStart w:id="244" w:name="_Toc30151"/>
      <w:bookmarkStart w:id="245" w:name="_Toc6116"/>
      <w:bookmarkStart w:id="246" w:name="_Toc28933"/>
      <w:bookmarkStart w:id="247" w:name="_Toc4829"/>
      <w:r>
        <w:rPr>
          <w:rFonts w:hint="eastAsia"/>
          <w:lang w:val="en-US" w:eastAsia="zh-CN"/>
        </w:rPr>
        <w:t xml:space="preserve">    </w:t>
      </w:r>
      <w:r>
        <w:rPr>
          <w:rFonts w:hint="default"/>
        </w:rPr>
        <w:t>8.2</w:t>
      </w:r>
      <w:r>
        <w:rPr>
          <w:rFonts w:hint="eastAsia"/>
          <w:lang w:val="en-US" w:eastAsia="zh-CN"/>
        </w:rPr>
        <w:t xml:space="preserve"> </w:t>
      </w:r>
      <w:r>
        <w:rPr>
          <w:rFonts w:hint="default"/>
        </w:rPr>
        <w:t>Electrical equipment engineering</w:t>
      </w:r>
      <w:bookmarkEnd w:id="238"/>
      <w:bookmarkEnd w:id="239"/>
      <w:bookmarkEnd w:id="240"/>
      <w:bookmarkEnd w:id="241"/>
      <w:bookmarkEnd w:id="242"/>
      <w:bookmarkEnd w:id="243"/>
      <w:bookmarkEnd w:id="244"/>
      <w:bookmarkEnd w:id="245"/>
      <w:bookmarkEnd w:id="246"/>
      <w:bookmarkEnd w:id="247"/>
      <w:r>
        <w:rPr>
          <w:rFonts w:hint="default" w:ascii="Times New Roman" w:hAnsi="Times New Roman" w:cs="Times New Roman"/>
          <w:color w:val="000000"/>
          <w:szCs w:val="21"/>
        </w:rPr>
        <w:t>………………………………………………………</w:t>
      </w:r>
      <w:r>
        <w:rPr>
          <w:rFonts w:hint="default"/>
        </w:rPr>
        <w:t>32</w:t>
      </w:r>
    </w:p>
    <w:p w14:paraId="49F516B4">
      <w:pPr>
        <w:jc w:val="left"/>
        <w:rPr>
          <w:rFonts w:hint="default"/>
        </w:rPr>
      </w:pPr>
      <w:bookmarkStart w:id="248" w:name="_Toc10298"/>
      <w:bookmarkStart w:id="249" w:name="_Toc20073"/>
      <w:bookmarkStart w:id="250" w:name="_Toc2699"/>
      <w:bookmarkStart w:id="251" w:name="_Toc18540"/>
      <w:bookmarkStart w:id="252" w:name="_Toc18389"/>
      <w:bookmarkStart w:id="253" w:name="_Toc15615"/>
      <w:bookmarkStart w:id="254" w:name="_Toc32283"/>
      <w:bookmarkStart w:id="255" w:name="_Toc18941"/>
      <w:bookmarkStart w:id="256" w:name="_Toc6272"/>
      <w:bookmarkStart w:id="257" w:name="_Toc17865_WPSOffice_Level1"/>
      <w:r>
        <w:rPr>
          <w:rFonts w:hint="eastAsia"/>
          <w:lang w:val="en-US" w:eastAsia="zh-CN"/>
        </w:rPr>
        <w:t xml:space="preserve">    </w:t>
      </w:r>
      <w:r>
        <w:rPr>
          <w:rFonts w:hint="default"/>
        </w:rPr>
        <w:t>8.3</w:t>
      </w:r>
      <w:r>
        <w:rPr>
          <w:rFonts w:hint="eastAsia"/>
          <w:lang w:val="en-US" w:eastAsia="zh-CN"/>
        </w:rPr>
        <w:t xml:space="preserve"> </w:t>
      </w:r>
      <w:r>
        <w:rPr>
          <w:rFonts w:hint="default"/>
        </w:rPr>
        <w:t>Intelligent structure engineering</w:t>
      </w:r>
      <w:bookmarkEnd w:id="248"/>
      <w:bookmarkEnd w:id="249"/>
      <w:bookmarkEnd w:id="250"/>
      <w:bookmarkEnd w:id="251"/>
      <w:bookmarkEnd w:id="252"/>
      <w:bookmarkEnd w:id="253"/>
      <w:bookmarkEnd w:id="254"/>
      <w:bookmarkEnd w:id="255"/>
      <w:bookmarkEnd w:id="256"/>
      <w:bookmarkEnd w:id="257"/>
      <w:r>
        <w:rPr>
          <w:rFonts w:hint="default" w:ascii="Times New Roman" w:hAnsi="Times New Roman" w:cs="Times New Roman"/>
          <w:color w:val="000000"/>
          <w:szCs w:val="21"/>
        </w:rPr>
        <w:t>…………………………………………………………</w:t>
      </w:r>
      <w:r>
        <w:rPr>
          <w:rFonts w:hint="default"/>
        </w:rPr>
        <w:t>41</w:t>
      </w:r>
    </w:p>
    <w:p w14:paraId="32B3AF07">
      <w:pPr>
        <w:jc w:val="left"/>
        <w:rPr>
          <w:rFonts w:hint="default"/>
        </w:rPr>
      </w:pPr>
      <w:bookmarkStart w:id="258" w:name="_Toc21693"/>
      <w:bookmarkStart w:id="259" w:name="_Toc21653"/>
      <w:bookmarkStart w:id="260" w:name="_Toc3468_WPSOffice_Level1"/>
      <w:bookmarkStart w:id="261" w:name="_Toc28153"/>
      <w:bookmarkStart w:id="262" w:name="_Toc21353"/>
      <w:bookmarkStart w:id="263" w:name="_Toc26669"/>
      <w:bookmarkStart w:id="264" w:name="_Toc14211"/>
      <w:bookmarkStart w:id="265" w:name="_Toc5184"/>
      <w:bookmarkStart w:id="266" w:name="_Toc20593"/>
      <w:bookmarkStart w:id="267" w:name="_Toc20864"/>
      <w:r>
        <w:rPr>
          <w:rFonts w:hint="eastAsia"/>
          <w:lang w:val="en-US" w:eastAsia="zh-CN"/>
        </w:rPr>
        <w:t xml:space="preserve">    </w:t>
      </w:r>
      <w:r>
        <w:rPr>
          <w:rFonts w:hint="default"/>
        </w:rPr>
        <w:t>8.4</w:t>
      </w:r>
      <w:r>
        <w:rPr>
          <w:rFonts w:hint="eastAsia"/>
          <w:lang w:val="en-US" w:eastAsia="zh-CN"/>
        </w:rPr>
        <w:t xml:space="preserve"> </w:t>
      </w:r>
      <w:r>
        <w:rPr>
          <w:rFonts w:hint="default"/>
        </w:rPr>
        <w:t>Elevator engineering</w:t>
      </w:r>
      <w:bookmarkEnd w:id="258"/>
      <w:bookmarkEnd w:id="259"/>
      <w:bookmarkEnd w:id="260"/>
      <w:bookmarkEnd w:id="261"/>
      <w:bookmarkEnd w:id="262"/>
      <w:bookmarkEnd w:id="263"/>
      <w:bookmarkEnd w:id="264"/>
      <w:bookmarkEnd w:id="265"/>
      <w:bookmarkEnd w:id="266"/>
      <w:bookmarkEnd w:id="267"/>
      <w:r>
        <w:rPr>
          <w:rFonts w:hint="default" w:ascii="Times New Roman" w:hAnsi="Times New Roman" w:cs="Times New Roman"/>
          <w:color w:val="000000"/>
          <w:szCs w:val="21"/>
        </w:rPr>
        <w:t>……………………………………………………………………</w:t>
      </w:r>
      <w:r>
        <w:rPr>
          <w:rFonts w:hint="default"/>
        </w:rPr>
        <w:t>44</w:t>
      </w:r>
    </w:p>
    <w:p w14:paraId="727C48EC">
      <w:pPr>
        <w:jc w:val="left"/>
        <w:rPr>
          <w:rFonts w:hint="default"/>
        </w:rPr>
      </w:pPr>
      <w:r>
        <w:rPr>
          <w:rFonts w:hint="default"/>
        </w:rPr>
        <w:t xml:space="preserve">9 </w:t>
      </w:r>
      <w:r>
        <w:rPr>
          <w:rFonts w:hint="default"/>
        </w:rPr>
        <w:tab/>
      </w:r>
      <w:r>
        <w:rPr>
          <w:rFonts w:hint="default"/>
        </w:rPr>
        <w:t>Structure equipment installation engineering</w:t>
      </w:r>
      <w:r>
        <w:rPr>
          <w:rFonts w:hint="default" w:ascii="Times New Roman" w:hAnsi="Times New Roman" w:cs="Times New Roman"/>
          <w:color w:val="000000"/>
          <w:szCs w:val="21"/>
        </w:rPr>
        <w:t>………………………………………………</w:t>
      </w:r>
      <w:r>
        <w:rPr>
          <w:rFonts w:hint="default"/>
        </w:rPr>
        <w:t>44</w:t>
      </w:r>
    </w:p>
    <w:p w14:paraId="30C85D8B">
      <w:pPr>
        <w:jc w:val="left"/>
        <w:rPr>
          <w:rFonts w:hint="default"/>
        </w:rPr>
      </w:pPr>
      <w:r>
        <w:rPr>
          <w:rFonts w:hint="eastAsia"/>
          <w:lang w:val="en-US" w:eastAsia="zh-CN"/>
        </w:rPr>
        <w:t xml:space="preserve">    </w:t>
      </w:r>
      <w:r>
        <w:rPr>
          <w:rFonts w:hint="default"/>
        </w:rPr>
        <w:t>9.1</w:t>
      </w:r>
      <w:r>
        <w:rPr>
          <w:rFonts w:hint="eastAsia"/>
          <w:lang w:val="en-US" w:eastAsia="zh-CN"/>
        </w:rPr>
        <w:t xml:space="preserve"> </w:t>
      </w:r>
      <w:r>
        <w:rPr>
          <w:rFonts w:hint="default"/>
        </w:rPr>
        <w:t>General reguirements</w:t>
      </w:r>
      <w:r>
        <w:rPr>
          <w:rFonts w:hint="default" w:ascii="Times New Roman" w:hAnsi="Times New Roman" w:cs="Times New Roman"/>
          <w:color w:val="000000"/>
          <w:szCs w:val="21"/>
        </w:rPr>
        <w:t>……………………………………………………………………</w:t>
      </w:r>
      <w:r>
        <w:rPr>
          <w:rFonts w:hint="default"/>
        </w:rPr>
        <w:t>44</w:t>
      </w:r>
    </w:p>
    <w:p w14:paraId="30E7EE25">
      <w:pPr>
        <w:jc w:val="left"/>
        <w:rPr>
          <w:rFonts w:hint="default"/>
        </w:rPr>
      </w:pPr>
      <w:r>
        <w:rPr>
          <w:rFonts w:hint="eastAsia"/>
          <w:lang w:val="en-US" w:eastAsia="zh-CN"/>
        </w:rPr>
        <w:t xml:space="preserve">    </w:t>
      </w:r>
      <w:r>
        <w:rPr>
          <w:rFonts w:hint="default"/>
        </w:rPr>
        <w:t>9.2</w:t>
      </w:r>
      <w:r>
        <w:rPr>
          <w:rFonts w:hint="eastAsia"/>
          <w:lang w:val="en-US" w:eastAsia="zh-CN"/>
        </w:rPr>
        <w:t xml:space="preserve"> </w:t>
      </w:r>
      <w:r>
        <w:rPr>
          <w:rFonts w:hint="default"/>
        </w:rPr>
        <w:t>Water supply and drainage engineering</w:t>
      </w:r>
      <w:r>
        <w:rPr>
          <w:rFonts w:hint="default" w:ascii="Times New Roman" w:hAnsi="Times New Roman" w:cs="Times New Roman"/>
          <w:color w:val="000000"/>
          <w:szCs w:val="21"/>
        </w:rPr>
        <w:t>…………………………………………………</w:t>
      </w:r>
      <w:r>
        <w:rPr>
          <w:rFonts w:hint="default"/>
        </w:rPr>
        <w:t>48</w:t>
      </w:r>
    </w:p>
    <w:p w14:paraId="7A94CCC8">
      <w:pPr>
        <w:jc w:val="left"/>
        <w:rPr>
          <w:rFonts w:hint="default"/>
        </w:rPr>
      </w:pPr>
      <w:r>
        <w:rPr>
          <w:rFonts w:hint="eastAsia"/>
          <w:lang w:val="en-US" w:eastAsia="zh-CN"/>
        </w:rPr>
        <w:t xml:space="preserve">    </w:t>
      </w:r>
      <w:r>
        <w:rPr>
          <w:rFonts w:hint="default"/>
        </w:rPr>
        <w:t>9.3</w:t>
      </w:r>
      <w:r>
        <w:rPr>
          <w:rFonts w:hint="eastAsia"/>
          <w:lang w:val="en-US" w:eastAsia="zh-CN"/>
        </w:rPr>
        <w:t xml:space="preserve"> </w:t>
      </w:r>
      <w:r>
        <w:rPr>
          <w:rFonts w:hint="default"/>
        </w:rPr>
        <w:t>Heating, ventilation and air conditioning engineering</w:t>
      </w:r>
      <w:r>
        <w:rPr>
          <w:rFonts w:hint="default" w:ascii="Times New Roman" w:hAnsi="Times New Roman" w:cs="Times New Roman"/>
          <w:color w:val="000000"/>
          <w:szCs w:val="21"/>
        </w:rPr>
        <w:t>…………………………………</w:t>
      </w:r>
      <w:r>
        <w:rPr>
          <w:rFonts w:hint="default"/>
        </w:rPr>
        <w:t>51</w:t>
      </w:r>
    </w:p>
    <w:p w14:paraId="1A03FCA4">
      <w:pPr>
        <w:jc w:val="left"/>
        <w:rPr>
          <w:rFonts w:hint="default"/>
        </w:rPr>
      </w:pPr>
      <w:r>
        <w:rPr>
          <w:rFonts w:hint="eastAsia"/>
          <w:lang w:val="en-US" w:eastAsia="zh-CN"/>
        </w:rPr>
        <w:t xml:space="preserve">    </w:t>
      </w:r>
      <w:r>
        <w:rPr>
          <w:rFonts w:hint="default"/>
        </w:rPr>
        <w:t>9.4</w:t>
      </w:r>
      <w:r>
        <w:rPr>
          <w:rFonts w:hint="eastAsia"/>
          <w:lang w:val="en-US" w:eastAsia="zh-CN"/>
        </w:rPr>
        <w:t xml:space="preserve"> </w:t>
      </w:r>
      <w:r>
        <w:rPr>
          <w:rFonts w:hint="default"/>
        </w:rPr>
        <w:t>Fire engineering</w:t>
      </w:r>
      <w:r>
        <w:rPr>
          <w:rFonts w:hint="default" w:ascii="Times New Roman" w:hAnsi="Times New Roman" w:cs="Times New Roman"/>
          <w:color w:val="000000"/>
          <w:szCs w:val="21"/>
        </w:rPr>
        <w:t>………………………………………………………………………</w:t>
      </w:r>
      <w:r>
        <w:rPr>
          <w:rFonts w:hint="default"/>
        </w:rPr>
        <w:t>53</w:t>
      </w:r>
    </w:p>
    <w:p w14:paraId="466E8343">
      <w:pPr>
        <w:jc w:val="left"/>
        <w:rPr>
          <w:rFonts w:hint="default"/>
        </w:rPr>
      </w:pPr>
      <w:r>
        <w:rPr>
          <w:rFonts w:hint="eastAsia"/>
          <w:lang w:val="en-US" w:eastAsia="zh-CN"/>
        </w:rPr>
        <w:t xml:space="preserve">    </w:t>
      </w:r>
      <w:r>
        <w:rPr>
          <w:rFonts w:hint="default"/>
        </w:rPr>
        <w:t>9.5</w:t>
      </w:r>
      <w:r>
        <w:rPr>
          <w:rFonts w:hint="eastAsia"/>
          <w:lang w:val="en-US" w:eastAsia="zh-CN"/>
        </w:rPr>
        <w:t xml:space="preserve"> </w:t>
      </w:r>
      <w:r>
        <w:rPr>
          <w:rFonts w:hint="default"/>
        </w:rPr>
        <w:t>Gas pipeline and equipment installation engineering</w:t>
      </w:r>
      <w:r>
        <w:rPr>
          <w:rFonts w:hint="default" w:ascii="Times New Roman" w:hAnsi="Times New Roman" w:cs="Times New Roman"/>
          <w:color w:val="000000"/>
          <w:szCs w:val="21"/>
        </w:rPr>
        <w:t>……………………………………</w:t>
      </w:r>
      <w:r>
        <w:rPr>
          <w:rFonts w:hint="default"/>
        </w:rPr>
        <w:t>54</w:t>
      </w:r>
    </w:p>
    <w:p w14:paraId="020AA5A3">
      <w:pPr>
        <w:jc w:val="left"/>
        <w:rPr>
          <w:rFonts w:hint="default"/>
        </w:rPr>
      </w:pPr>
      <w:r>
        <w:rPr>
          <w:rFonts w:hint="default"/>
        </w:rPr>
        <w:t>10  Renovation engineering</w:t>
      </w:r>
      <w:r>
        <w:rPr>
          <w:rFonts w:hint="default" w:ascii="Times New Roman" w:hAnsi="Times New Roman" w:cs="Times New Roman"/>
          <w:color w:val="000000"/>
          <w:szCs w:val="21"/>
        </w:rPr>
        <w:t>…………………………………………………………………</w:t>
      </w:r>
      <w:r>
        <w:rPr>
          <w:rFonts w:hint="default"/>
        </w:rPr>
        <w:t>56</w:t>
      </w:r>
    </w:p>
    <w:p w14:paraId="46ECAC54">
      <w:pPr>
        <w:jc w:val="left"/>
        <w:rPr>
          <w:rFonts w:hint="default"/>
        </w:rPr>
      </w:pPr>
      <w:r>
        <w:rPr>
          <w:rFonts w:hint="eastAsia"/>
          <w:lang w:val="en-US" w:eastAsia="zh-CN"/>
        </w:rPr>
        <w:t xml:space="preserve">    </w:t>
      </w:r>
      <w:r>
        <w:rPr>
          <w:rFonts w:hint="default"/>
        </w:rPr>
        <w:t>10.1</w:t>
      </w:r>
      <w:r>
        <w:rPr>
          <w:rFonts w:hint="eastAsia"/>
          <w:lang w:val="en-US" w:eastAsia="zh-CN"/>
        </w:rPr>
        <w:t xml:space="preserve"> </w:t>
      </w:r>
      <w:r>
        <w:rPr>
          <w:rFonts w:hint="default"/>
        </w:rPr>
        <w:t>General rules</w:t>
      </w:r>
      <w:r>
        <w:rPr>
          <w:rFonts w:hint="default" w:ascii="Times New Roman" w:hAnsi="Times New Roman" w:cs="Times New Roman"/>
          <w:color w:val="000000"/>
          <w:szCs w:val="21"/>
        </w:rPr>
        <w:t>………………………………………………………………………</w:t>
      </w:r>
      <w:r>
        <w:rPr>
          <w:rFonts w:hint="default"/>
        </w:rPr>
        <w:t>56</w:t>
      </w:r>
    </w:p>
    <w:p w14:paraId="4CE32586">
      <w:pPr>
        <w:jc w:val="left"/>
        <w:rPr>
          <w:rFonts w:hint="default"/>
        </w:rPr>
      </w:pPr>
      <w:r>
        <w:rPr>
          <w:rFonts w:hint="eastAsia"/>
          <w:lang w:val="en-US" w:eastAsia="zh-CN"/>
        </w:rPr>
        <w:t xml:space="preserve">    </w:t>
      </w:r>
      <w:r>
        <w:rPr>
          <w:rFonts w:hint="default"/>
        </w:rPr>
        <w:t>10.2</w:t>
      </w:r>
      <w:r>
        <w:rPr>
          <w:rFonts w:hint="eastAsia"/>
          <w:lang w:val="en-US" w:eastAsia="zh-CN"/>
        </w:rPr>
        <w:t xml:space="preserve"> </w:t>
      </w:r>
      <w:r>
        <w:rPr>
          <w:rFonts w:hint="default"/>
        </w:rPr>
        <w:t>Demolition engineering</w:t>
      </w:r>
      <w:r>
        <w:rPr>
          <w:rFonts w:hint="default" w:ascii="Times New Roman" w:hAnsi="Times New Roman" w:cs="Times New Roman"/>
          <w:color w:val="000000"/>
          <w:szCs w:val="21"/>
        </w:rPr>
        <w:t>…………………………………………………………………</w:t>
      </w:r>
      <w:r>
        <w:rPr>
          <w:rFonts w:hint="default"/>
        </w:rPr>
        <w:t>56</w:t>
      </w:r>
    </w:p>
    <w:p w14:paraId="43500E5B">
      <w:pPr>
        <w:jc w:val="left"/>
        <w:rPr>
          <w:rFonts w:hint="default"/>
        </w:rPr>
      </w:pPr>
      <w:r>
        <w:rPr>
          <w:rFonts w:hint="eastAsia"/>
          <w:lang w:val="en-US" w:eastAsia="zh-CN"/>
        </w:rPr>
        <w:t xml:space="preserve">    </w:t>
      </w:r>
      <w:r>
        <w:rPr>
          <w:rFonts w:hint="default"/>
        </w:rPr>
        <w:t>10.3</w:t>
      </w:r>
      <w:r>
        <w:rPr>
          <w:rFonts w:hint="eastAsia"/>
          <w:lang w:val="en-US" w:eastAsia="zh-CN"/>
        </w:rPr>
        <w:t xml:space="preserve"> </w:t>
      </w:r>
      <w:r>
        <w:rPr>
          <w:rFonts w:hint="default"/>
        </w:rPr>
        <w:t>Infrastructure reinforcement engineering</w:t>
      </w:r>
      <w:r>
        <w:rPr>
          <w:rFonts w:hint="default" w:ascii="Times New Roman" w:hAnsi="Times New Roman" w:cs="Times New Roman"/>
          <w:color w:val="000000"/>
          <w:szCs w:val="21"/>
        </w:rPr>
        <w:t>………………………………………………</w:t>
      </w:r>
      <w:r>
        <w:rPr>
          <w:rFonts w:hint="default"/>
        </w:rPr>
        <w:t>56</w:t>
      </w:r>
    </w:p>
    <w:p w14:paraId="1DDE5CDD">
      <w:pPr>
        <w:jc w:val="left"/>
        <w:rPr>
          <w:rFonts w:hint="default"/>
        </w:rPr>
      </w:pPr>
      <w:r>
        <w:rPr>
          <w:rFonts w:hint="eastAsia"/>
          <w:lang w:val="en-US" w:eastAsia="zh-CN"/>
        </w:rPr>
        <w:t xml:space="preserve">    </w:t>
      </w:r>
      <w:r>
        <w:rPr>
          <w:rFonts w:hint="default"/>
        </w:rPr>
        <w:t>10.4</w:t>
      </w:r>
      <w:r>
        <w:rPr>
          <w:rFonts w:hint="eastAsia"/>
          <w:lang w:val="en-US" w:eastAsia="zh-CN"/>
        </w:rPr>
        <w:t xml:space="preserve"> </w:t>
      </w:r>
      <w:r>
        <w:rPr>
          <w:rFonts w:hint="default"/>
        </w:rPr>
        <w:t>Main structure reinforcement engineering</w:t>
      </w:r>
      <w:r>
        <w:rPr>
          <w:rFonts w:hint="default" w:ascii="Times New Roman" w:hAnsi="Times New Roman" w:cs="Times New Roman"/>
          <w:color w:val="000000"/>
          <w:szCs w:val="21"/>
        </w:rPr>
        <w:t>……………………………………………</w:t>
      </w:r>
      <w:r>
        <w:rPr>
          <w:rFonts w:hint="default"/>
        </w:rPr>
        <w:t>58</w:t>
      </w:r>
    </w:p>
    <w:p w14:paraId="385EBF09">
      <w:pPr>
        <w:jc w:val="left"/>
        <w:rPr>
          <w:rFonts w:hint="default"/>
        </w:rPr>
      </w:pPr>
      <w:r>
        <w:rPr>
          <w:rFonts w:hint="eastAsia"/>
          <w:lang w:val="en-US" w:eastAsia="zh-CN"/>
        </w:rPr>
        <w:t xml:space="preserve">    </w:t>
      </w:r>
      <w:r>
        <w:rPr>
          <w:rFonts w:hint="default"/>
        </w:rPr>
        <w:t>10.5</w:t>
      </w:r>
      <w:r>
        <w:rPr>
          <w:rFonts w:hint="eastAsia"/>
          <w:lang w:val="en-US" w:eastAsia="zh-CN"/>
        </w:rPr>
        <w:t xml:space="preserve"> </w:t>
      </w:r>
      <w:r>
        <w:rPr>
          <w:rFonts w:hint="default"/>
        </w:rPr>
        <w:t>Roof renovation engineering</w:t>
      </w:r>
      <w:r>
        <w:rPr>
          <w:rFonts w:hint="default" w:ascii="Times New Roman" w:hAnsi="Times New Roman" w:cs="Times New Roman"/>
          <w:color w:val="000000"/>
          <w:szCs w:val="21"/>
        </w:rPr>
        <w:t>……………………………………………………………</w:t>
      </w:r>
      <w:r>
        <w:rPr>
          <w:rFonts w:hint="default"/>
        </w:rPr>
        <w:t>59</w:t>
      </w:r>
    </w:p>
    <w:p w14:paraId="412A44AA">
      <w:pPr>
        <w:jc w:val="left"/>
        <w:rPr>
          <w:rFonts w:hint="default"/>
        </w:rPr>
      </w:pPr>
      <w:r>
        <w:rPr>
          <w:rFonts w:hint="eastAsia"/>
          <w:lang w:val="en-US" w:eastAsia="zh-CN"/>
        </w:rPr>
        <w:t xml:space="preserve">    </w:t>
      </w:r>
      <w:r>
        <w:rPr>
          <w:rFonts w:hint="default"/>
        </w:rPr>
        <w:t>10.6</w:t>
      </w:r>
      <w:r>
        <w:rPr>
          <w:rFonts w:hint="eastAsia"/>
          <w:lang w:val="en-US" w:eastAsia="zh-CN"/>
        </w:rPr>
        <w:t xml:space="preserve"> </w:t>
      </w:r>
      <w:r>
        <w:rPr>
          <w:rFonts w:hint="default"/>
        </w:rPr>
        <w:t>Interior finish renovation engineering</w:t>
      </w:r>
      <w:r>
        <w:rPr>
          <w:rFonts w:hint="default" w:ascii="Times New Roman" w:hAnsi="Times New Roman" w:cs="Times New Roman"/>
          <w:color w:val="000000"/>
          <w:szCs w:val="21"/>
        </w:rPr>
        <w:t>…………………………………………………</w:t>
      </w:r>
      <w:r>
        <w:rPr>
          <w:rFonts w:hint="default"/>
        </w:rPr>
        <w:t>60</w:t>
      </w:r>
    </w:p>
    <w:p w14:paraId="6DA00558">
      <w:pPr>
        <w:jc w:val="left"/>
        <w:rPr>
          <w:rFonts w:hint="default"/>
        </w:rPr>
      </w:pPr>
      <w:r>
        <w:rPr>
          <w:rFonts w:hint="eastAsia"/>
          <w:lang w:val="en-US" w:eastAsia="zh-CN"/>
        </w:rPr>
        <w:t xml:space="preserve">    </w:t>
      </w:r>
      <w:r>
        <w:rPr>
          <w:rFonts w:hint="default"/>
        </w:rPr>
        <w:t>10.7</w:t>
      </w:r>
      <w:r>
        <w:rPr>
          <w:rFonts w:hint="eastAsia"/>
          <w:lang w:val="en-US" w:eastAsia="zh-CN"/>
        </w:rPr>
        <w:t xml:space="preserve"> </w:t>
      </w:r>
      <w:r>
        <w:rPr>
          <w:rFonts w:hint="default"/>
        </w:rPr>
        <w:t>Exterior decoration and renovation engineering</w:t>
      </w:r>
      <w:r>
        <w:rPr>
          <w:rFonts w:hint="default" w:ascii="Times New Roman" w:hAnsi="Times New Roman" w:cs="Times New Roman"/>
          <w:color w:val="000000"/>
          <w:szCs w:val="21"/>
        </w:rPr>
        <w:t>……………………………………</w:t>
      </w:r>
      <w:r>
        <w:rPr>
          <w:rFonts w:hint="default"/>
        </w:rPr>
        <w:t>60</w:t>
      </w:r>
    </w:p>
    <w:p w14:paraId="05728E83">
      <w:pPr>
        <w:jc w:val="left"/>
        <w:rPr>
          <w:rFonts w:hint="default"/>
        </w:rPr>
      </w:pPr>
      <w:r>
        <w:rPr>
          <w:rFonts w:hint="eastAsia"/>
          <w:lang w:val="en-US" w:eastAsia="zh-CN"/>
        </w:rPr>
        <w:t xml:space="preserve">    </w:t>
      </w:r>
      <w:r>
        <w:rPr>
          <w:rFonts w:hint="default"/>
        </w:rPr>
        <w:t>10.8</w:t>
      </w:r>
      <w:r>
        <w:rPr>
          <w:rFonts w:hint="eastAsia"/>
          <w:lang w:val="en-US" w:eastAsia="zh-CN"/>
        </w:rPr>
        <w:t xml:space="preserve"> </w:t>
      </w:r>
      <w:r>
        <w:rPr>
          <w:rFonts w:hint="default"/>
        </w:rPr>
        <w:t>Equipment installation and renovation engineering</w:t>
      </w:r>
      <w:r>
        <w:rPr>
          <w:rFonts w:hint="default" w:ascii="Times New Roman" w:hAnsi="Times New Roman" w:cs="Times New Roman"/>
          <w:color w:val="000000"/>
          <w:szCs w:val="21"/>
        </w:rPr>
        <w:t>……………………………………</w:t>
      </w:r>
      <w:r>
        <w:rPr>
          <w:rFonts w:hint="default"/>
        </w:rPr>
        <w:t>61</w:t>
      </w:r>
    </w:p>
    <w:p w14:paraId="21221E82">
      <w:pPr>
        <w:jc w:val="left"/>
        <w:rPr>
          <w:rFonts w:hint="default"/>
        </w:rPr>
      </w:pPr>
      <w:r>
        <w:rPr>
          <w:rFonts w:hint="eastAsia"/>
          <w:lang w:val="en-US" w:eastAsia="zh-CN"/>
        </w:rPr>
        <w:t xml:space="preserve">    </w:t>
      </w:r>
      <w:r>
        <w:rPr>
          <w:rFonts w:hint="default"/>
        </w:rPr>
        <w:t>10.9</w:t>
      </w:r>
      <w:r>
        <w:rPr>
          <w:rFonts w:hint="eastAsia"/>
          <w:lang w:val="en-US" w:eastAsia="zh-CN"/>
        </w:rPr>
        <w:t xml:space="preserve"> </w:t>
      </w:r>
      <w:r>
        <w:rPr>
          <w:rFonts w:hint="default"/>
        </w:rPr>
        <w:t>Electrical renovation engineering</w:t>
      </w:r>
      <w:r>
        <w:rPr>
          <w:rFonts w:hint="default" w:ascii="Times New Roman" w:hAnsi="Times New Roman" w:cs="Times New Roman"/>
          <w:color w:val="000000"/>
          <w:szCs w:val="21"/>
        </w:rPr>
        <w:t>………………………………………………………</w:t>
      </w:r>
      <w:r>
        <w:rPr>
          <w:rFonts w:hint="default"/>
        </w:rPr>
        <w:t>62</w:t>
      </w:r>
    </w:p>
    <w:p w14:paraId="59FE24A1">
      <w:pPr>
        <w:jc w:val="left"/>
        <w:rPr>
          <w:rFonts w:hint="default"/>
        </w:rPr>
      </w:pPr>
      <w:r>
        <w:rPr>
          <w:rFonts w:hint="eastAsia"/>
          <w:lang w:val="en-US" w:eastAsia="zh-CN"/>
        </w:rPr>
        <w:t xml:space="preserve">    </w:t>
      </w:r>
      <w:r>
        <w:rPr>
          <w:rFonts w:hint="default"/>
        </w:rPr>
        <w:t>10.10</w:t>
      </w:r>
      <w:r>
        <w:rPr>
          <w:rFonts w:hint="eastAsia"/>
          <w:lang w:val="en-US" w:eastAsia="zh-CN"/>
        </w:rPr>
        <w:t xml:space="preserve"> </w:t>
      </w:r>
      <w:r>
        <w:rPr>
          <w:rFonts w:hint="default"/>
        </w:rPr>
        <w:t>Elevator renovation engineering</w:t>
      </w:r>
      <w:r>
        <w:rPr>
          <w:rFonts w:hint="default" w:ascii="Times New Roman" w:hAnsi="Times New Roman" w:cs="Times New Roman"/>
          <w:color w:val="000000"/>
          <w:szCs w:val="21"/>
        </w:rPr>
        <w:t>………………………………………………………</w:t>
      </w:r>
      <w:r>
        <w:rPr>
          <w:rFonts w:hint="default"/>
        </w:rPr>
        <w:t>63</w:t>
      </w:r>
    </w:p>
    <w:p w14:paraId="47A88FAB">
      <w:pPr>
        <w:jc w:val="left"/>
        <w:rPr>
          <w:rFonts w:hint="default"/>
        </w:rPr>
      </w:pPr>
      <w:r>
        <w:rPr>
          <w:rFonts w:hint="eastAsia"/>
          <w:lang w:val="en-US" w:eastAsia="zh-CN"/>
        </w:rPr>
        <w:t xml:space="preserve">    </w:t>
      </w:r>
      <w:r>
        <w:rPr>
          <w:rFonts w:hint="default"/>
        </w:rPr>
        <w:t>10.11</w:t>
      </w:r>
      <w:r>
        <w:rPr>
          <w:rFonts w:hint="eastAsia"/>
          <w:lang w:val="en-US" w:eastAsia="zh-CN"/>
        </w:rPr>
        <w:t xml:space="preserve"> </w:t>
      </w:r>
      <w:r>
        <w:rPr>
          <w:rFonts w:hint="default"/>
        </w:rPr>
        <w:t>Parking lot renovation engineering</w:t>
      </w:r>
      <w:r>
        <w:rPr>
          <w:rFonts w:hint="default" w:ascii="Times New Roman" w:hAnsi="Times New Roman" w:cs="Times New Roman"/>
          <w:color w:val="000000"/>
          <w:szCs w:val="21"/>
        </w:rPr>
        <w:t>……………………………………………………</w:t>
      </w:r>
      <w:r>
        <w:rPr>
          <w:rFonts w:hint="default"/>
        </w:rPr>
        <w:t>63</w:t>
      </w:r>
    </w:p>
    <w:p w14:paraId="3957AB8E">
      <w:pPr>
        <w:jc w:val="left"/>
        <w:rPr>
          <w:rFonts w:hint="default"/>
        </w:rPr>
      </w:pPr>
      <w:r>
        <w:rPr>
          <w:rFonts w:hint="default"/>
        </w:rPr>
        <w:t>11  Site Inspection and evaluation</w:t>
      </w:r>
      <w:r>
        <w:rPr>
          <w:rFonts w:hint="default" w:ascii="Times New Roman" w:hAnsi="Times New Roman" w:cs="Times New Roman"/>
          <w:color w:val="000000"/>
          <w:szCs w:val="21"/>
        </w:rPr>
        <w:t>……………………………………………………………</w:t>
      </w:r>
      <w:r>
        <w:rPr>
          <w:rFonts w:hint="default"/>
        </w:rPr>
        <w:t>65</w:t>
      </w:r>
    </w:p>
    <w:p w14:paraId="5AC0D49B">
      <w:pPr>
        <w:jc w:val="left"/>
        <w:rPr>
          <w:rFonts w:hint="default"/>
        </w:rPr>
      </w:pPr>
      <w:r>
        <w:rPr>
          <w:rFonts w:hint="eastAsia"/>
          <w:lang w:val="en-US" w:eastAsia="zh-CN"/>
        </w:rPr>
        <w:t xml:space="preserve">    </w:t>
      </w:r>
      <w:r>
        <w:rPr>
          <w:rFonts w:hint="default"/>
        </w:rPr>
        <w:t>11.1</w:t>
      </w:r>
      <w:r>
        <w:rPr>
          <w:rFonts w:hint="eastAsia"/>
          <w:lang w:val="en-US" w:eastAsia="zh-CN"/>
        </w:rPr>
        <w:t xml:space="preserve"> </w:t>
      </w:r>
      <w:r>
        <w:rPr>
          <w:rFonts w:hint="default"/>
        </w:rPr>
        <w:t>Methods and procedures for site inspection</w:t>
      </w:r>
      <w:r>
        <w:rPr>
          <w:rFonts w:hint="default" w:ascii="Times New Roman" w:hAnsi="Times New Roman" w:cs="Times New Roman"/>
          <w:color w:val="000000"/>
          <w:szCs w:val="21"/>
        </w:rPr>
        <w:t>……………………………………………</w:t>
      </w:r>
      <w:r>
        <w:rPr>
          <w:rFonts w:hint="default"/>
        </w:rPr>
        <w:t>65</w:t>
      </w:r>
    </w:p>
    <w:p w14:paraId="4D736D3A">
      <w:pPr>
        <w:jc w:val="left"/>
        <w:rPr>
          <w:rFonts w:hint="default"/>
        </w:rPr>
      </w:pPr>
      <w:r>
        <w:rPr>
          <w:rFonts w:hint="eastAsia"/>
          <w:lang w:val="en-US" w:eastAsia="zh-CN"/>
        </w:rPr>
        <w:t xml:space="preserve">    </w:t>
      </w:r>
      <w:r>
        <w:rPr>
          <w:rFonts w:hint="default"/>
        </w:rPr>
        <w:t>11.2</w:t>
      </w:r>
      <w:r>
        <w:rPr>
          <w:rFonts w:hint="eastAsia"/>
          <w:lang w:val="en-US" w:eastAsia="zh-CN"/>
        </w:rPr>
        <w:t xml:space="preserve"> </w:t>
      </w:r>
      <w:r>
        <w:rPr>
          <w:rFonts w:hint="default"/>
        </w:rPr>
        <w:t>Review and evaluation of on-site inspection</w:t>
      </w:r>
      <w:r>
        <w:rPr>
          <w:rFonts w:hint="default" w:ascii="Times New Roman" w:hAnsi="Times New Roman" w:cs="Times New Roman"/>
          <w:color w:val="000000"/>
          <w:szCs w:val="21"/>
        </w:rPr>
        <w:t>…………………………………………</w:t>
      </w:r>
      <w:r>
        <w:rPr>
          <w:rFonts w:hint="default"/>
        </w:rPr>
        <w:t>66</w:t>
      </w:r>
    </w:p>
    <w:p w14:paraId="59C3D7BB">
      <w:pPr>
        <w:jc w:val="left"/>
        <w:rPr>
          <w:rFonts w:hint="default"/>
        </w:rPr>
      </w:pPr>
      <w:r>
        <w:rPr>
          <w:rFonts w:hint="default"/>
        </w:rPr>
        <w:t xml:space="preserve">Appendix A Quality Check List of civil engineering entity </w:t>
      </w:r>
      <w:r>
        <w:rPr>
          <w:rFonts w:hint="default" w:ascii="Times New Roman" w:hAnsi="Times New Roman" w:cs="Times New Roman"/>
          <w:color w:val="000000"/>
          <w:szCs w:val="21"/>
        </w:rPr>
        <w:t>………………………………………</w:t>
      </w:r>
      <w:r>
        <w:rPr>
          <w:rFonts w:hint="default"/>
        </w:rPr>
        <w:t>68</w:t>
      </w:r>
    </w:p>
    <w:p w14:paraId="4D2AA386">
      <w:pPr>
        <w:jc w:val="left"/>
        <w:rPr>
          <w:rFonts w:hint="default"/>
        </w:rPr>
      </w:pPr>
      <w:r>
        <w:rPr>
          <w:rFonts w:hint="default"/>
        </w:rPr>
        <w:t>Appendix B on-site quality inspection of Construction Electrical Equipment Installation Engineering</w:t>
      </w:r>
      <w:r>
        <w:rPr>
          <w:rFonts w:hint="default" w:ascii="Times New Roman" w:hAnsi="Times New Roman" w:cs="Times New Roman"/>
          <w:color w:val="000000"/>
          <w:szCs w:val="21"/>
        </w:rPr>
        <w:t>………………………………………………………………………</w:t>
      </w:r>
      <w:r>
        <w:rPr>
          <w:rFonts w:hint="default"/>
        </w:rPr>
        <w:t>69</w:t>
      </w:r>
    </w:p>
    <w:p w14:paraId="140C8B1C">
      <w:pPr>
        <w:jc w:val="left"/>
        <w:rPr>
          <w:rFonts w:hint="default"/>
        </w:rPr>
      </w:pPr>
      <w:r>
        <w:rPr>
          <w:rFonts w:hint="default"/>
        </w:rPr>
        <w:t>Appendix C on-site quality inspection of construction equipment installation engineering entity</w:t>
      </w:r>
    </w:p>
    <w:p w14:paraId="5E433D69">
      <w:pPr>
        <w:jc w:val="left"/>
        <w:rPr>
          <w:rFonts w:hint="default" w:eastAsia="宋体"/>
          <w:lang w:val="en-US" w:eastAsia="zh-CN"/>
        </w:rPr>
      </w:pPr>
      <w:r>
        <w:rPr>
          <w:rFonts w:hint="default" w:ascii="Times New Roman" w:hAnsi="Times New Roman" w:cs="Times New Roman"/>
          <w:color w:val="000000"/>
          <w:szCs w:val="21"/>
        </w:rPr>
        <w:t>……………………………………………………………………………………………………</w:t>
      </w:r>
      <w:r>
        <w:rPr>
          <w:rFonts w:hint="eastAsia" w:cs="Times New Roman"/>
          <w:color w:val="000000"/>
          <w:szCs w:val="21"/>
          <w:lang w:val="en-US" w:eastAsia="zh-CN"/>
        </w:rPr>
        <w:t>72</w:t>
      </w:r>
    </w:p>
    <w:p w14:paraId="78EC1C70">
      <w:pPr>
        <w:jc w:val="left"/>
        <w:rPr>
          <w:rFonts w:hint="default"/>
        </w:rPr>
      </w:pPr>
      <w:r>
        <w:rPr>
          <w:rFonts w:hint="default"/>
        </w:rPr>
        <w:t>Appendix D on-site quality inspection of Engineering Data Management</w:t>
      </w:r>
      <w:r>
        <w:rPr>
          <w:rFonts w:hint="default" w:ascii="Times New Roman" w:hAnsi="Times New Roman" w:cs="Times New Roman"/>
          <w:color w:val="000000"/>
          <w:szCs w:val="21"/>
        </w:rPr>
        <w:t>………………………</w:t>
      </w:r>
      <w:r>
        <w:rPr>
          <w:rFonts w:hint="default"/>
        </w:rPr>
        <w:t xml:space="preserve">74 </w:t>
      </w:r>
    </w:p>
    <w:p w14:paraId="2DE4C522">
      <w:pPr>
        <w:jc w:val="left"/>
        <w:rPr>
          <w:rFonts w:hint="default"/>
        </w:rPr>
      </w:pPr>
      <w:r>
        <w:rPr>
          <w:rFonts w:hint="default"/>
        </w:rPr>
        <w:t>Appendix E on-site inspection of Construction Project Management</w:t>
      </w:r>
      <w:r>
        <w:rPr>
          <w:rFonts w:hint="default" w:ascii="Times New Roman" w:hAnsi="Times New Roman" w:cs="Times New Roman"/>
          <w:color w:val="000000"/>
          <w:szCs w:val="21"/>
        </w:rPr>
        <w:t>……………………………</w:t>
      </w:r>
      <w:r>
        <w:rPr>
          <w:rFonts w:hint="default"/>
        </w:rPr>
        <w:t>80</w:t>
      </w:r>
    </w:p>
    <w:p w14:paraId="7C3F5995">
      <w:pPr>
        <w:jc w:val="left"/>
        <w:rPr>
          <w:rFonts w:hint="default"/>
        </w:rPr>
      </w:pPr>
      <w:r>
        <w:rPr>
          <w:rFonts w:hint="default"/>
        </w:rPr>
        <w:t>Appendix F Technology Application Innovation and intelligent construction on-site inspection</w:t>
      </w:r>
    </w:p>
    <w:p w14:paraId="389E84BC">
      <w:pPr>
        <w:jc w:val="left"/>
        <w:rPr>
          <w:rFonts w:hint="default"/>
        </w:rPr>
      </w:pPr>
      <w:r>
        <w:rPr>
          <w:rFonts w:hint="default" w:ascii="Times New Roman" w:hAnsi="Times New Roman" w:cs="Times New Roman"/>
          <w:color w:val="000000"/>
          <w:szCs w:val="21"/>
        </w:rPr>
        <w:t>……………………………………………………………………………………………………</w:t>
      </w:r>
      <w:r>
        <w:rPr>
          <w:rFonts w:hint="default"/>
        </w:rPr>
        <w:t xml:space="preserve">81 </w:t>
      </w:r>
    </w:p>
    <w:p w14:paraId="41AE30C8">
      <w:pPr>
        <w:jc w:val="left"/>
        <w:rPr>
          <w:rFonts w:hint="default"/>
        </w:rPr>
      </w:pPr>
      <w:r>
        <w:rPr>
          <w:rFonts w:hint="default"/>
        </w:rPr>
        <w:t>Appendix G green construction on-site inspection form</w:t>
      </w:r>
      <w:r>
        <w:rPr>
          <w:rFonts w:hint="default" w:ascii="Times New Roman" w:hAnsi="Times New Roman" w:cs="Times New Roman"/>
          <w:color w:val="000000"/>
          <w:szCs w:val="21"/>
        </w:rPr>
        <w:t>………………………………………</w:t>
      </w:r>
      <w:r>
        <w:rPr>
          <w:rFonts w:hint="default"/>
        </w:rPr>
        <w:t xml:space="preserve">82 </w:t>
      </w:r>
    </w:p>
    <w:p w14:paraId="54E01B1E">
      <w:pPr>
        <w:jc w:val="left"/>
        <w:rPr>
          <w:rFonts w:hint="default"/>
        </w:rPr>
      </w:pPr>
      <w:r>
        <w:rPr>
          <w:rFonts w:hint="default"/>
        </w:rPr>
        <w:t>Appendix H on-site quality inspection of Retrofit Engineering Data Managemen</w:t>
      </w:r>
      <w:r>
        <w:rPr>
          <w:rFonts w:hint="default" w:ascii="Times New Roman" w:hAnsi="Times New Roman" w:cs="Times New Roman"/>
          <w:color w:val="000000"/>
          <w:szCs w:val="21"/>
        </w:rPr>
        <w:t>……………</w:t>
      </w:r>
      <w:r>
        <w:rPr>
          <w:rFonts w:hint="default"/>
        </w:rPr>
        <w:t>83</w:t>
      </w:r>
    </w:p>
    <w:p w14:paraId="414972D8">
      <w:pPr>
        <w:jc w:val="left"/>
        <w:rPr>
          <w:rFonts w:hint="default"/>
        </w:rPr>
      </w:pPr>
      <w:r>
        <w:rPr>
          <w:rFonts w:hint="default"/>
        </w:rPr>
        <w:t>Appendix J on-site process inspection of retrofit engineeringt</w:t>
      </w:r>
      <w:r>
        <w:rPr>
          <w:rFonts w:hint="default" w:ascii="Times New Roman" w:hAnsi="Times New Roman" w:cs="Times New Roman"/>
          <w:color w:val="000000"/>
          <w:szCs w:val="21"/>
        </w:rPr>
        <w:t>…………………………………</w:t>
      </w:r>
      <w:r>
        <w:rPr>
          <w:rFonts w:hint="default"/>
        </w:rPr>
        <w:t>91</w:t>
      </w:r>
    </w:p>
    <w:p w14:paraId="610EF1A4">
      <w:pPr>
        <w:jc w:val="left"/>
        <w:rPr>
          <w:rFonts w:hint="default"/>
        </w:rPr>
      </w:pPr>
      <w:r>
        <w:rPr>
          <w:rFonts w:hint="default"/>
        </w:rPr>
        <w:t>Appendix K Project Construction Unit's Evaluation Form for Construction Quality</w:t>
      </w:r>
      <w:r>
        <w:rPr>
          <w:rFonts w:hint="default" w:ascii="Times New Roman" w:hAnsi="Times New Roman" w:cs="Times New Roman"/>
          <w:color w:val="000000"/>
          <w:szCs w:val="21"/>
        </w:rPr>
        <w:t>……………</w:t>
      </w:r>
      <w:r>
        <w:rPr>
          <w:rFonts w:hint="default"/>
        </w:rPr>
        <w:t>92</w:t>
      </w:r>
    </w:p>
    <w:p w14:paraId="7A5E4874">
      <w:pPr>
        <w:jc w:val="left"/>
        <w:rPr>
          <w:rFonts w:hint="default"/>
        </w:rPr>
      </w:pPr>
      <w:r>
        <w:rPr>
          <w:rFonts w:hint="default"/>
        </w:rPr>
        <w:t>Appendix L Project Supervision Unit's Evaluation Form for Construction Quality</w:t>
      </w:r>
      <w:r>
        <w:rPr>
          <w:rFonts w:hint="default" w:ascii="Times New Roman" w:hAnsi="Times New Roman" w:cs="Times New Roman"/>
          <w:color w:val="000000"/>
          <w:szCs w:val="21"/>
        </w:rPr>
        <w:t>……………</w:t>
      </w:r>
      <w:r>
        <w:rPr>
          <w:rFonts w:hint="default"/>
        </w:rPr>
        <w:t>93</w:t>
      </w:r>
    </w:p>
    <w:p w14:paraId="42A56481">
      <w:pPr>
        <w:jc w:val="left"/>
        <w:rPr>
          <w:rFonts w:hint="default"/>
        </w:rPr>
      </w:pPr>
      <w:r>
        <w:rPr>
          <w:rFonts w:hint="default"/>
        </w:rPr>
        <w:t>Appendix M Construction quality evaluation of the Great Wall Cup</w:t>
      </w:r>
      <w:r>
        <w:rPr>
          <w:rFonts w:hint="default" w:ascii="Times New Roman" w:hAnsi="Times New Roman" w:cs="Times New Roman"/>
          <w:color w:val="000000"/>
          <w:szCs w:val="21"/>
        </w:rPr>
        <w:t>…………………………</w:t>
      </w:r>
      <w:r>
        <w:rPr>
          <w:rFonts w:hint="default"/>
        </w:rPr>
        <w:t>94</w:t>
      </w:r>
    </w:p>
    <w:p w14:paraId="57458C21">
      <w:pPr>
        <w:jc w:val="left"/>
        <w:rPr>
          <w:rFonts w:hint="default"/>
        </w:rPr>
      </w:pPr>
      <w:r>
        <w:rPr>
          <w:rFonts w:hint="eastAsia"/>
          <w:lang w:val="en-US" w:eastAsia="zh-CN"/>
        </w:rPr>
        <w:t>Explanation of Wording in this</w:t>
      </w:r>
      <w:r>
        <w:rPr>
          <w:rFonts w:hint="default"/>
        </w:rPr>
        <w:t xml:space="preserve"> Standard </w:t>
      </w:r>
      <w:r>
        <w:rPr>
          <w:rFonts w:hint="default" w:ascii="Times New Roman" w:hAnsi="Times New Roman" w:cs="Times New Roman"/>
          <w:color w:val="000000"/>
          <w:szCs w:val="21"/>
        </w:rPr>
        <w:t>…………………………………………………………</w:t>
      </w:r>
      <w:r>
        <w:rPr>
          <w:rFonts w:hint="default"/>
        </w:rPr>
        <w:t>95</w:t>
      </w:r>
    </w:p>
    <w:p w14:paraId="53448768">
      <w:pPr>
        <w:jc w:val="left"/>
        <w:rPr>
          <w:rFonts w:hint="default"/>
        </w:rPr>
      </w:pPr>
      <w:r>
        <w:rPr>
          <w:rFonts w:ascii="Times New Roman" w:hAnsi="Times New Roman" w:cs="Times New Roman"/>
          <w:b w:val="0"/>
          <w:kern w:val="1"/>
          <w:szCs w:val="20"/>
        </w:rPr>
        <w:t>List of Quoted Standard</w:t>
      </w:r>
      <w:r>
        <w:rPr>
          <w:rFonts w:hint="default"/>
          <w:lang w:val="en-US" w:eastAsia="zh-CN"/>
        </w:rPr>
        <w:t>s</w:t>
      </w:r>
      <w:r>
        <w:rPr>
          <w:rFonts w:hint="default" w:ascii="Times New Roman" w:hAnsi="Times New Roman" w:cs="Times New Roman"/>
          <w:color w:val="000000"/>
          <w:szCs w:val="21"/>
        </w:rPr>
        <w:t>…………………………………………………………………</w:t>
      </w:r>
      <w:r>
        <w:rPr>
          <w:rFonts w:hint="default"/>
        </w:rPr>
        <w:t>96</w:t>
      </w:r>
    </w:p>
    <w:p w14:paraId="39165877">
      <w:pPr>
        <w:jc w:val="left"/>
        <w:rPr>
          <w:rFonts w:hint="default"/>
        </w:rPr>
        <w:sectPr>
          <w:footerReference r:id="rId6" w:type="default"/>
          <w:pgSz w:w="11905" w:h="16837"/>
          <w:pgMar w:top="1440" w:right="1803" w:bottom="1440" w:left="1800" w:header="720" w:footer="992" w:gutter="0"/>
          <w:pgNumType w:start="1"/>
          <w:cols w:space="720" w:num="1"/>
          <w:docGrid w:type="lines" w:linePitch="312" w:charSpace="0"/>
        </w:sectPr>
      </w:pPr>
      <w:r>
        <w:rPr>
          <w:rFonts w:hint="default"/>
          <w:lang w:val="en-US" w:eastAsia="zh-CN"/>
        </w:rPr>
        <w:t>Addition:</w:t>
      </w:r>
      <w:r>
        <w:rPr>
          <w:rFonts w:hint="default"/>
        </w:rPr>
        <w:t>Explanation</w:t>
      </w:r>
      <w:r>
        <w:rPr>
          <w:rFonts w:hint="eastAsia"/>
          <w:lang w:val="en-US" w:eastAsia="zh-CN"/>
        </w:rPr>
        <w:t xml:space="preserve"> of </w:t>
      </w:r>
      <w:r>
        <w:rPr>
          <w:rFonts w:ascii="Times New Roman" w:hAnsi="Times New Roman" w:cs="Times New Roman"/>
          <w:b w:val="0"/>
          <w:kern w:val="1"/>
          <w:szCs w:val="20"/>
        </w:rPr>
        <w:t>Provisions</w:t>
      </w:r>
      <w:r>
        <w:rPr>
          <w:rFonts w:hint="default"/>
        </w:rPr>
        <w:t>……………………………………………………………98</w:t>
      </w:r>
    </w:p>
    <w:p w14:paraId="3B99C234">
      <w:pPr>
        <w:spacing w:before="312" w:beforeLines="100" w:after="312" w:afterLines="100" w:line="400" w:lineRule="exact"/>
        <w:jc w:val="center"/>
        <w:rPr>
          <w:rStyle w:val="32"/>
          <w:rFonts w:ascii="Times New Roman" w:hAnsi="Times New Roman" w:eastAsia="黑体"/>
          <w:sz w:val="28"/>
          <w:szCs w:val="28"/>
        </w:rPr>
      </w:pPr>
      <w:r>
        <w:rPr>
          <w:rStyle w:val="32"/>
          <w:rFonts w:ascii="Times New Roman" w:hAnsi="Times New Roman" w:eastAsia="黑体"/>
          <w:b/>
          <w:bCs/>
          <w:sz w:val="28"/>
          <w:szCs w:val="28"/>
        </w:rPr>
        <w:t>1</w:t>
      </w:r>
      <w:r>
        <w:rPr>
          <w:rStyle w:val="32"/>
          <w:rFonts w:ascii="Times New Roman" w:hAnsi="Times New Roman" w:eastAsia="黑体"/>
          <w:sz w:val="28"/>
          <w:szCs w:val="28"/>
        </w:rPr>
        <w:t xml:space="preserve">  总   则</w:t>
      </w:r>
    </w:p>
    <w:bookmarkEnd w:id="219"/>
    <w:bookmarkEnd w:id="220"/>
    <w:bookmarkEnd w:id="221"/>
    <w:bookmarkEnd w:id="222"/>
    <w:bookmarkEnd w:id="223"/>
    <w:bookmarkEnd w:id="224"/>
    <w:bookmarkEnd w:id="225"/>
    <w:bookmarkEnd w:id="226"/>
    <w:bookmarkEnd w:id="227"/>
    <w:p w14:paraId="42BA3DE4">
      <w:pPr>
        <w:spacing w:line="400" w:lineRule="exact"/>
        <w:rPr>
          <w:color w:val="000000"/>
          <w:szCs w:val="21"/>
        </w:rPr>
      </w:pPr>
      <w:r>
        <w:rPr>
          <w:b/>
          <w:bCs/>
          <w:color w:val="000000"/>
          <w:szCs w:val="21"/>
        </w:rPr>
        <w:t>1.0.1</w:t>
      </w:r>
      <w:r>
        <w:rPr>
          <w:color w:val="000000"/>
          <w:szCs w:val="21"/>
        </w:rPr>
        <w:t xml:space="preserve">  为推动建筑长城杯工程创建活动持续绿色健康发展，提高建筑工程施工质量和项目管理水平，规范建筑长城杯工程质量评审标准和评价方法，制定本标准。</w:t>
      </w:r>
    </w:p>
    <w:p w14:paraId="268D3BE0">
      <w:pPr>
        <w:spacing w:line="400" w:lineRule="exact"/>
        <w:rPr>
          <w:color w:val="000000"/>
          <w:szCs w:val="21"/>
        </w:rPr>
      </w:pPr>
      <w:r>
        <w:rPr>
          <w:b/>
          <w:bCs/>
          <w:color w:val="000000"/>
          <w:szCs w:val="21"/>
        </w:rPr>
        <w:t xml:space="preserve">1.0.2  </w:t>
      </w:r>
      <w:r>
        <w:rPr>
          <w:color w:val="000000"/>
          <w:szCs w:val="21"/>
        </w:rPr>
        <w:t>本标准适用于北京市行政区域内</w:t>
      </w:r>
      <w:r>
        <w:rPr>
          <w:rFonts w:hint="eastAsia"/>
          <w:color w:val="000000"/>
          <w:szCs w:val="21"/>
        </w:rPr>
        <w:t>新建、扩建、改建</w:t>
      </w:r>
      <w:r>
        <w:rPr>
          <w:rFonts w:hint="eastAsia"/>
          <w:color w:val="000000" w:themeColor="text1"/>
          <w:szCs w:val="21"/>
          <w14:textFill>
            <w14:solidFill>
              <w14:schemeClr w14:val="tx1"/>
            </w14:solidFill>
          </w14:textFill>
        </w:rPr>
        <w:t>工程的</w:t>
      </w:r>
      <w:r>
        <w:rPr>
          <w:color w:val="000000"/>
          <w:szCs w:val="21"/>
        </w:rPr>
        <w:t>建筑长城杯工程金质奖、银质奖的</w:t>
      </w:r>
      <w:r>
        <w:rPr>
          <w:rFonts w:hint="eastAsia"/>
          <w:color w:val="000000"/>
          <w:szCs w:val="21"/>
        </w:rPr>
        <w:t>评审</w:t>
      </w:r>
      <w:r>
        <w:rPr>
          <w:color w:val="000000"/>
          <w:szCs w:val="21"/>
        </w:rPr>
        <w:t xml:space="preserve">。特殊工程应结合实际情况，参照本标准执行。     </w:t>
      </w:r>
    </w:p>
    <w:p w14:paraId="06F9EF96">
      <w:pPr>
        <w:spacing w:line="400" w:lineRule="exact"/>
        <w:rPr>
          <w:color w:val="000000"/>
          <w:szCs w:val="21"/>
        </w:rPr>
      </w:pPr>
      <w:r>
        <w:rPr>
          <w:b/>
          <w:bCs/>
          <w:color w:val="000000"/>
          <w:szCs w:val="21"/>
        </w:rPr>
        <w:t xml:space="preserve">1.0.3  </w:t>
      </w:r>
      <w:r>
        <w:rPr>
          <w:color w:val="000000"/>
          <w:szCs w:val="21"/>
        </w:rPr>
        <w:t>建筑长城杯工程评审除应符合本标准外，尚应符合国家和北京市现行有关标准的规定。</w:t>
      </w:r>
    </w:p>
    <w:p w14:paraId="02FFCCB6">
      <w:pPr>
        <w:spacing w:before="312" w:beforeLines="100" w:after="312" w:afterLines="100" w:line="400" w:lineRule="exact"/>
        <w:jc w:val="center"/>
        <w:rPr>
          <w:rFonts w:eastAsia="黑体"/>
          <w:b/>
          <w:bCs/>
          <w:color w:val="000000"/>
          <w:sz w:val="28"/>
          <w:szCs w:val="28"/>
        </w:rPr>
      </w:pPr>
      <w:r>
        <w:rPr>
          <w:rFonts w:eastAsia="黑体"/>
          <w:b/>
          <w:bCs/>
          <w:color w:val="000000"/>
          <w:sz w:val="30"/>
          <w:szCs w:val="30"/>
        </w:rPr>
        <w:br w:type="page"/>
      </w:r>
      <w:bookmarkStart w:id="268" w:name="_Toc2018"/>
      <w:bookmarkStart w:id="269" w:name="_Toc31262"/>
      <w:bookmarkStart w:id="270" w:name="_Toc21162"/>
      <w:bookmarkStart w:id="271" w:name="_Toc30118"/>
      <w:bookmarkStart w:id="272" w:name="_Toc30508"/>
      <w:bookmarkStart w:id="273" w:name="_Toc14162"/>
      <w:bookmarkStart w:id="274" w:name="_Toc19283"/>
      <w:bookmarkStart w:id="275" w:name="_Toc18075"/>
      <w:bookmarkStart w:id="276" w:name="_Toc19767"/>
      <w:r>
        <w:rPr>
          <w:rStyle w:val="32"/>
          <w:rFonts w:ascii="Times New Roman" w:hAnsi="Times New Roman" w:eastAsia="黑体"/>
          <w:b/>
          <w:bCs/>
          <w:sz w:val="28"/>
          <w:szCs w:val="28"/>
        </w:rPr>
        <w:t>2</w:t>
      </w:r>
      <w:r>
        <w:rPr>
          <w:rStyle w:val="32"/>
          <w:rFonts w:ascii="Times New Roman" w:hAnsi="Times New Roman" w:eastAsia="黑体"/>
          <w:sz w:val="28"/>
          <w:szCs w:val="28"/>
          <w:lang w:val="en-US"/>
        </w:rPr>
        <w:t xml:space="preserve">  </w:t>
      </w:r>
      <w:r>
        <w:rPr>
          <w:rStyle w:val="32"/>
          <w:rFonts w:ascii="Times New Roman" w:hAnsi="Times New Roman" w:eastAsia="黑体"/>
          <w:sz w:val="28"/>
          <w:szCs w:val="28"/>
        </w:rPr>
        <w:t>基本规定</w:t>
      </w:r>
      <w:bookmarkEnd w:id="268"/>
      <w:bookmarkEnd w:id="269"/>
      <w:bookmarkEnd w:id="270"/>
      <w:bookmarkEnd w:id="271"/>
      <w:bookmarkEnd w:id="272"/>
      <w:bookmarkEnd w:id="273"/>
      <w:bookmarkEnd w:id="274"/>
      <w:bookmarkEnd w:id="275"/>
      <w:bookmarkEnd w:id="276"/>
    </w:p>
    <w:p w14:paraId="5959D7AE">
      <w:pPr>
        <w:spacing w:line="400" w:lineRule="exact"/>
        <w:rPr>
          <w:color w:val="000000"/>
          <w:szCs w:val="21"/>
        </w:rPr>
      </w:pPr>
      <w:r>
        <w:rPr>
          <w:b/>
          <w:bCs/>
          <w:color w:val="000000"/>
          <w:szCs w:val="21"/>
        </w:rPr>
        <w:t xml:space="preserve">2.0.1  </w:t>
      </w:r>
      <w:r>
        <w:rPr>
          <w:color w:val="000000"/>
          <w:szCs w:val="21"/>
        </w:rPr>
        <w:t>建筑长城杯工程评审应在工程竣工验收后进行，并应满足</w:t>
      </w:r>
      <w:r>
        <w:rPr>
          <w:rFonts w:hint="eastAsia"/>
          <w:color w:val="000000"/>
          <w:szCs w:val="21"/>
        </w:rPr>
        <w:t>下列</w:t>
      </w:r>
      <w:r>
        <w:rPr>
          <w:color w:val="000000"/>
          <w:szCs w:val="21"/>
        </w:rPr>
        <w:t>条件：</w:t>
      </w:r>
    </w:p>
    <w:p w14:paraId="2C3BC6B9">
      <w:pPr>
        <w:spacing w:line="400" w:lineRule="exact"/>
        <w:ind w:firstLine="422" w:firstLineChars="200"/>
        <w:rPr>
          <w:color w:val="000000"/>
          <w:szCs w:val="21"/>
        </w:rPr>
      </w:pPr>
      <w:r>
        <w:rPr>
          <w:b/>
          <w:color w:val="000000"/>
          <w:szCs w:val="21"/>
        </w:rPr>
        <w:t>1</w:t>
      </w:r>
      <w:r>
        <w:rPr>
          <w:color w:val="000000"/>
          <w:szCs w:val="21"/>
        </w:rPr>
        <w:t xml:space="preserve">  </w:t>
      </w:r>
      <w:r>
        <w:rPr>
          <w:rFonts w:hint="eastAsia"/>
          <w:color w:val="000000"/>
          <w:szCs w:val="21"/>
        </w:rPr>
        <w:t>新建</w:t>
      </w:r>
      <w:r>
        <w:rPr>
          <w:color w:val="000000"/>
          <w:szCs w:val="21"/>
        </w:rPr>
        <w:t>工程已获得北京市建筑结构长城杯</w:t>
      </w:r>
      <w:r>
        <w:rPr>
          <w:rFonts w:hint="eastAsia"/>
          <w:color w:val="000000"/>
          <w:szCs w:val="21"/>
        </w:rPr>
        <w:t>，改造工程改造前已通过结构安全鉴定；</w:t>
      </w:r>
    </w:p>
    <w:p w14:paraId="1AB0A575">
      <w:pPr>
        <w:spacing w:line="400" w:lineRule="exact"/>
        <w:ind w:firstLine="422" w:firstLineChars="200"/>
        <w:rPr>
          <w:color w:val="000000"/>
          <w:szCs w:val="21"/>
        </w:rPr>
      </w:pPr>
      <w:r>
        <w:rPr>
          <w:b/>
          <w:color w:val="000000"/>
          <w:szCs w:val="21"/>
        </w:rPr>
        <w:t>2</w:t>
      </w:r>
      <w:r>
        <w:rPr>
          <w:color w:val="000000"/>
          <w:szCs w:val="21"/>
        </w:rPr>
        <w:t xml:space="preserve">  </w:t>
      </w:r>
      <w:r>
        <w:rPr>
          <w:rFonts w:hint="eastAsia"/>
          <w:color w:val="000000"/>
          <w:szCs w:val="21"/>
        </w:rPr>
        <w:t>工程经施工</w:t>
      </w:r>
      <w:r>
        <w:rPr>
          <w:color w:val="000000"/>
          <w:szCs w:val="21"/>
        </w:rPr>
        <w:t>单位自检</w:t>
      </w:r>
      <w:r>
        <w:rPr>
          <w:rFonts w:hint="eastAsia"/>
          <w:color w:val="000000"/>
          <w:szCs w:val="21"/>
        </w:rPr>
        <w:t>、监理单位核查合格为前提，</w:t>
      </w:r>
      <w:r>
        <w:rPr>
          <w:color w:val="000000"/>
          <w:szCs w:val="21"/>
        </w:rPr>
        <w:t>竣工验收合格且观感质量评价为好；</w:t>
      </w:r>
    </w:p>
    <w:p w14:paraId="572DD523">
      <w:pPr>
        <w:spacing w:line="400" w:lineRule="exact"/>
        <w:ind w:firstLine="422" w:firstLineChars="200"/>
        <w:rPr>
          <w:color w:val="000000"/>
        </w:rPr>
      </w:pPr>
      <w:r>
        <w:rPr>
          <w:rFonts w:hint="eastAsia"/>
          <w:b/>
          <w:bCs/>
          <w:color w:val="000000"/>
          <w:szCs w:val="21"/>
        </w:rPr>
        <w:t>3</w:t>
      </w:r>
      <w:r>
        <w:rPr>
          <w:rFonts w:hint="eastAsia"/>
          <w:color w:val="000000"/>
          <w:szCs w:val="21"/>
        </w:rPr>
        <w:t xml:space="preserve">  工程经</w:t>
      </w:r>
      <w:r>
        <w:rPr>
          <w:color w:val="000000"/>
          <w:szCs w:val="21"/>
        </w:rPr>
        <w:t>建设</w:t>
      </w:r>
      <w:r>
        <w:rPr>
          <w:rFonts w:hint="eastAsia"/>
          <w:color w:val="000000"/>
          <w:szCs w:val="21"/>
        </w:rPr>
        <w:t>、</w:t>
      </w:r>
      <w:r>
        <w:rPr>
          <w:color w:val="000000"/>
          <w:szCs w:val="21"/>
        </w:rPr>
        <w:t>监理和使用单位</w:t>
      </w:r>
      <w:r>
        <w:rPr>
          <w:rFonts w:hint="eastAsia"/>
          <w:color w:val="000000"/>
          <w:szCs w:val="21"/>
        </w:rPr>
        <w:t>（业主）评价</w:t>
      </w:r>
      <w:r>
        <w:rPr>
          <w:color w:val="000000"/>
          <w:szCs w:val="21"/>
        </w:rPr>
        <w:t>满意；</w:t>
      </w:r>
    </w:p>
    <w:p w14:paraId="09C65C03">
      <w:pPr>
        <w:spacing w:line="400" w:lineRule="exact"/>
        <w:ind w:firstLine="422" w:firstLineChars="200"/>
        <w:rPr>
          <w:color w:val="000000"/>
          <w:szCs w:val="21"/>
        </w:rPr>
      </w:pPr>
      <w:r>
        <w:rPr>
          <w:rFonts w:hint="eastAsia"/>
          <w:b/>
          <w:color w:val="000000"/>
          <w:szCs w:val="21"/>
        </w:rPr>
        <w:t>4</w:t>
      </w:r>
      <w:r>
        <w:rPr>
          <w:color w:val="000000"/>
          <w:szCs w:val="21"/>
        </w:rPr>
        <w:t xml:space="preserve">  工程的电梯、人防、卫生检疫、消防、燃气、智能</w:t>
      </w:r>
      <w:r>
        <w:rPr>
          <w:rFonts w:hint="eastAsia"/>
          <w:color w:val="000000"/>
          <w:szCs w:val="21"/>
        </w:rPr>
        <w:t>、电力、</w:t>
      </w:r>
      <w:r>
        <w:rPr>
          <w:rFonts w:hint="eastAsia"/>
          <w:color w:val="000000" w:themeColor="text1"/>
          <w:szCs w:val="21"/>
          <w14:textFill>
            <w14:solidFill>
              <w14:schemeClr w14:val="tx1"/>
            </w14:solidFill>
          </w14:textFill>
        </w:rPr>
        <w:t>防雷、规划</w:t>
      </w:r>
      <w:r>
        <w:rPr>
          <w:color w:val="000000"/>
          <w:szCs w:val="21"/>
        </w:rPr>
        <w:t>等项目已按规定</w:t>
      </w:r>
      <w:r>
        <w:rPr>
          <w:rFonts w:hint="eastAsia"/>
          <w:color w:val="000000"/>
          <w:szCs w:val="21"/>
        </w:rPr>
        <w:t>通</w:t>
      </w:r>
      <w:r>
        <w:rPr>
          <w:color w:val="000000"/>
          <w:szCs w:val="21"/>
        </w:rPr>
        <w:t>过专项验收或检验合格；</w:t>
      </w:r>
    </w:p>
    <w:p w14:paraId="2357C844">
      <w:pPr>
        <w:spacing w:line="400" w:lineRule="exact"/>
        <w:ind w:firstLine="422" w:firstLineChars="200"/>
        <w:rPr>
          <w:color w:val="000000" w:themeColor="text1"/>
          <w:szCs w:val="21"/>
          <w14:textFill>
            <w14:solidFill>
              <w14:schemeClr w14:val="tx1"/>
            </w14:solidFill>
          </w14:textFill>
        </w:rPr>
      </w:pPr>
      <w:r>
        <w:rPr>
          <w:rFonts w:hint="eastAsia"/>
          <w:b/>
          <w:color w:val="000000"/>
          <w:szCs w:val="21"/>
        </w:rPr>
        <w:t>5</w:t>
      </w:r>
      <w:r>
        <w:rPr>
          <w:b/>
          <w:color w:val="000000"/>
          <w:szCs w:val="21"/>
        </w:rPr>
        <w:t xml:space="preserve"> </w:t>
      </w:r>
      <w:r>
        <w:rPr>
          <w:color w:val="000000"/>
          <w:szCs w:val="21"/>
        </w:rPr>
        <w:t xml:space="preserve"> </w:t>
      </w:r>
      <w:r>
        <w:rPr>
          <w:rFonts w:hint="eastAsia"/>
          <w:color w:val="000000" w:themeColor="text1"/>
          <w:szCs w:val="21"/>
          <w14:textFill>
            <w14:solidFill>
              <w14:schemeClr w14:val="tx1"/>
            </w14:solidFill>
          </w14:textFill>
        </w:rPr>
        <w:t>住宅工程应完成工程竣工验收，并在交房后评审。其他建筑工程应至少使用六个月后评审。</w:t>
      </w:r>
    </w:p>
    <w:p w14:paraId="6343C8DC">
      <w:pPr>
        <w:spacing w:line="400" w:lineRule="exact"/>
        <w:rPr>
          <w:color w:val="000000"/>
          <w:szCs w:val="21"/>
        </w:rPr>
      </w:pPr>
      <w:r>
        <w:rPr>
          <w:b/>
          <w:bCs/>
          <w:color w:val="000000"/>
          <w:szCs w:val="21"/>
        </w:rPr>
        <w:t>2.0.2</w:t>
      </w:r>
      <w:r>
        <w:rPr>
          <w:color w:val="000000"/>
          <w:szCs w:val="21"/>
        </w:rPr>
        <w:t xml:space="preserve">  建筑长城杯工程评审应以符合国家和北京市现行强制性工程建设标准和设计文件为基本条件，存在下列问题时不得评审建筑长城杯：</w:t>
      </w:r>
    </w:p>
    <w:p w14:paraId="79124670">
      <w:pPr>
        <w:spacing w:line="400" w:lineRule="exact"/>
        <w:ind w:firstLine="422" w:firstLineChars="200"/>
        <w:rPr>
          <w:color w:val="000000"/>
          <w:szCs w:val="21"/>
        </w:rPr>
      </w:pPr>
      <w:bookmarkStart w:id="277" w:name="_Toc4312_WPSOffice_Level2"/>
      <w:r>
        <w:rPr>
          <w:b/>
          <w:bCs/>
          <w:color w:val="000000"/>
          <w:szCs w:val="21"/>
        </w:rPr>
        <w:t>1</w:t>
      </w:r>
      <w:r>
        <w:rPr>
          <w:color w:val="000000"/>
          <w:szCs w:val="21"/>
        </w:rPr>
        <w:t xml:space="preserve">  存在影响结构安全和耐久性的质量问题；</w:t>
      </w:r>
      <w:bookmarkEnd w:id="277"/>
    </w:p>
    <w:p w14:paraId="287D7CC6">
      <w:pPr>
        <w:spacing w:line="400" w:lineRule="exact"/>
        <w:ind w:firstLine="422" w:firstLineChars="200"/>
        <w:rPr>
          <w:color w:val="000000"/>
          <w:szCs w:val="21"/>
        </w:rPr>
      </w:pPr>
      <w:bookmarkStart w:id="278" w:name="_Toc17575_WPSOffice_Level2"/>
      <w:r>
        <w:rPr>
          <w:b/>
          <w:bCs/>
          <w:color w:val="000000"/>
          <w:szCs w:val="21"/>
        </w:rPr>
        <w:t>2</w:t>
      </w:r>
      <w:r>
        <w:rPr>
          <w:color w:val="000000"/>
          <w:szCs w:val="21"/>
        </w:rPr>
        <w:t xml:space="preserve">  </w:t>
      </w:r>
      <w:r>
        <w:rPr>
          <w:rFonts w:hint="eastAsia"/>
          <w:color w:val="000000"/>
          <w:szCs w:val="21"/>
        </w:rPr>
        <w:t>新建工程</w:t>
      </w:r>
      <w:r>
        <w:rPr>
          <w:color w:val="000000"/>
          <w:szCs w:val="21"/>
        </w:rPr>
        <w:t>由于质量缺陷进行了结构加固；</w:t>
      </w:r>
      <w:bookmarkEnd w:id="278"/>
    </w:p>
    <w:p w14:paraId="3E89CE08">
      <w:pPr>
        <w:spacing w:line="400" w:lineRule="exact"/>
        <w:ind w:firstLine="422" w:firstLineChars="200"/>
        <w:rPr>
          <w:color w:val="000000"/>
          <w:szCs w:val="21"/>
        </w:rPr>
      </w:pPr>
      <w:bookmarkStart w:id="279" w:name="_Toc18386_WPSOffice_Level2"/>
      <w:r>
        <w:rPr>
          <w:b/>
          <w:bCs/>
          <w:color w:val="000000"/>
          <w:szCs w:val="21"/>
        </w:rPr>
        <w:t>3</w:t>
      </w:r>
      <w:r>
        <w:rPr>
          <w:color w:val="000000"/>
          <w:szCs w:val="21"/>
        </w:rPr>
        <w:t xml:space="preserve">  存在违反国家强制性工程建设</w:t>
      </w:r>
      <w:bookmarkEnd w:id="279"/>
      <w:r>
        <w:rPr>
          <w:color w:val="000000"/>
          <w:kern w:val="21"/>
          <w:szCs w:val="21"/>
        </w:rPr>
        <w:t>规范</w:t>
      </w:r>
      <w:r>
        <w:rPr>
          <w:color w:val="000000"/>
          <w:szCs w:val="21"/>
        </w:rPr>
        <w:t>的问题；</w:t>
      </w:r>
    </w:p>
    <w:p w14:paraId="22E5EFCB">
      <w:pPr>
        <w:spacing w:line="400" w:lineRule="exact"/>
        <w:ind w:firstLine="422" w:firstLineChars="200"/>
        <w:rPr>
          <w:color w:val="000000"/>
          <w:szCs w:val="21"/>
        </w:rPr>
      </w:pPr>
      <w:bookmarkStart w:id="280" w:name="_Toc7029_WPSOffice_Level2"/>
      <w:r>
        <w:rPr>
          <w:b/>
          <w:bCs/>
          <w:color w:val="000000"/>
          <w:szCs w:val="21"/>
        </w:rPr>
        <w:t>4</w:t>
      </w:r>
      <w:r>
        <w:rPr>
          <w:color w:val="000000"/>
          <w:szCs w:val="21"/>
        </w:rPr>
        <w:t xml:space="preserve">  工程建设</w:t>
      </w:r>
      <w:r>
        <w:rPr>
          <w:rFonts w:hint="eastAsia"/>
          <w:color w:val="000000"/>
          <w:szCs w:val="21"/>
        </w:rPr>
        <w:t>资料</w:t>
      </w:r>
      <w:r>
        <w:rPr>
          <w:color w:val="000000"/>
          <w:szCs w:val="21"/>
        </w:rPr>
        <w:t>弄虚作假</w:t>
      </w:r>
      <w:r>
        <w:rPr>
          <w:rFonts w:hint="eastAsia"/>
          <w:color w:val="000000"/>
          <w:szCs w:val="21"/>
        </w:rPr>
        <w:t>；</w:t>
      </w:r>
    </w:p>
    <w:p w14:paraId="2844691D">
      <w:pPr>
        <w:spacing w:line="400" w:lineRule="exact"/>
        <w:ind w:firstLine="422" w:firstLineChars="200"/>
        <w:rPr>
          <w:color w:val="000000"/>
          <w:szCs w:val="21"/>
        </w:rPr>
      </w:pPr>
      <w:r>
        <w:rPr>
          <w:rFonts w:hint="eastAsia"/>
          <w:b/>
          <w:bCs/>
          <w:color w:val="000000"/>
          <w:szCs w:val="21"/>
        </w:rPr>
        <w:t>5</w:t>
      </w:r>
      <w:r>
        <w:rPr>
          <w:rFonts w:hint="eastAsia"/>
          <w:color w:val="000000"/>
          <w:szCs w:val="21"/>
        </w:rPr>
        <w:t xml:space="preserve">  </w:t>
      </w:r>
      <w:r>
        <w:rPr>
          <w:color w:val="000000"/>
          <w:szCs w:val="21"/>
        </w:rPr>
        <w:t>缺失重要的安全和功能检验</w:t>
      </w:r>
      <w:bookmarkEnd w:id="280"/>
      <w:r>
        <w:rPr>
          <w:color w:val="000000"/>
          <w:szCs w:val="21"/>
        </w:rPr>
        <w:t>资料；</w:t>
      </w:r>
    </w:p>
    <w:p w14:paraId="76582EE9">
      <w:pPr>
        <w:spacing w:line="400" w:lineRule="exact"/>
        <w:ind w:firstLine="422" w:firstLineChars="200"/>
        <w:rPr>
          <w:color w:val="000000"/>
          <w:szCs w:val="21"/>
        </w:rPr>
      </w:pPr>
      <w:bookmarkStart w:id="281" w:name="_Toc7763_WPSOffice_Level2"/>
      <w:r>
        <w:rPr>
          <w:rFonts w:hint="eastAsia"/>
          <w:b/>
          <w:bCs/>
          <w:color w:val="000000"/>
          <w:szCs w:val="21"/>
        </w:rPr>
        <w:t>6</w:t>
      </w:r>
      <w:r>
        <w:rPr>
          <w:color w:val="000000"/>
          <w:szCs w:val="21"/>
        </w:rPr>
        <w:t xml:space="preserve">  工程存在未完施工分部、分项工程的；</w:t>
      </w:r>
      <w:bookmarkEnd w:id="281"/>
    </w:p>
    <w:p w14:paraId="5B6E4CEE">
      <w:pPr>
        <w:spacing w:line="400" w:lineRule="exact"/>
        <w:ind w:firstLine="422" w:firstLineChars="200"/>
        <w:rPr>
          <w:color w:val="000000"/>
          <w:szCs w:val="21"/>
        </w:rPr>
      </w:pPr>
      <w:bookmarkStart w:id="282" w:name="_Toc7386_WPSOffice_Level2"/>
      <w:r>
        <w:rPr>
          <w:rFonts w:hint="eastAsia"/>
          <w:b/>
          <w:bCs/>
          <w:color w:val="000000"/>
          <w:szCs w:val="21"/>
        </w:rPr>
        <w:t>7</w:t>
      </w:r>
      <w:r>
        <w:rPr>
          <w:color w:val="000000"/>
          <w:szCs w:val="21"/>
        </w:rPr>
        <w:t xml:space="preserve">  工程发生过质量、安全责任事故等社会影响恶</w:t>
      </w:r>
      <w:bookmarkEnd w:id="282"/>
      <w:r>
        <w:rPr>
          <w:color w:val="000000"/>
          <w:szCs w:val="21"/>
        </w:rPr>
        <w:t>劣的事件。</w:t>
      </w:r>
    </w:p>
    <w:p w14:paraId="1F60EF5E">
      <w:pPr>
        <w:spacing w:line="400" w:lineRule="exact"/>
        <w:rPr>
          <w:color w:val="000000"/>
          <w:szCs w:val="21"/>
        </w:rPr>
      </w:pPr>
      <w:r>
        <w:rPr>
          <w:b/>
          <w:bCs/>
          <w:color w:val="000000"/>
          <w:szCs w:val="21"/>
        </w:rPr>
        <w:t>2</w:t>
      </w:r>
      <w:r>
        <w:rPr>
          <w:rFonts w:hint="eastAsia"/>
          <w:b/>
          <w:bCs/>
          <w:color w:val="000000"/>
          <w:szCs w:val="21"/>
        </w:rPr>
        <w:t>.0.3</w:t>
      </w:r>
      <w:r>
        <w:rPr>
          <w:rFonts w:hint="eastAsia"/>
          <w:color w:val="000000"/>
          <w:szCs w:val="21"/>
        </w:rPr>
        <w:t xml:space="preserve">  </w:t>
      </w:r>
      <w:r>
        <w:rPr>
          <w:color w:val="000000"/>
          <w:szCs w:val="21"/>
        </w:rPr>
        <w:t>建筑长城杯工程评审</w:t>
      </w:r>
      <w:r>
        <w:rPr>
          <w:rFonts w:hint="eastAsia"/>
          <w:color w:val="000000"/>
          <w:szCs w:val="21"/>
        </w:rPr>
        <w:t>应包括</w:t>
      </w:r>
      <w:r>
        <w:rPr>
          <w:color w:val="000000"/>
          <w:szCs w:val="21"/>
        </w:rPr>
        <w:t>现场检查、评议评价和</w:t>
      </w:r>
      <w:r>
        <w:rPr>
          <w:rFonts w:hint="eastAsia"/>
          <w:color w:val="000000"/>
          <w:szCs w:val="21"/>
        </w:rPr>
        <w:t>会议</w:t>
      </w:r>
      <w:r>
        <w:rPr>
          <w:color w:val="000000"/>
          <w:szCs w:val="21"/>
        </w:rPr>
        <w:t>评审。检查组</w:t>
      </w:r>
      <w:r>
        <w:rPr>
          <w:rFonts w:hint="eastAsia"/>
          <w:color w:val="000000"/>
          <w:szCs w:val="21"/>
        </w:rPr>
        <w:t>应</w:t>
      </w:r>
      <w:r>
        <w:rPr>
          <w:color w:val="000000"/>
          <w:szCs w:val="21"/>
        </w:rPr>
        <w:t>依据本标准对工程进行现场检查和评议评价，由</w:t>
      </w:r>
      <w:r>
        <w:rPr>
          <w:rFonts w:hint="eastAsia"/>
          <w:color w:val="000000"/>
          <w:szCs w:val="21"/>
        </w:rPr>
        <w:t>北京市优质工程评审委员会</w:t>
      </w:r>
      <w:r>
        <w:rPr>
          <w:color w:val="000000"/>
          <w:szCs w:val="21"/>
        </w:rPr>
        <w:t>对通过现场评议评价的工程进行评审，形成评审结论。</w:t>
      </w:r>
    </w:p>
    <w:p w14:paraId="6C616686">
      <w:pPr>
        <w:spacing w:line="400" w:lineRule="exact"/>
        <w:rPr>
          <w:color w:val="000000"/>
          <w:szCs w:val="21"/>
        </w:rPr>
      </w:pPr>
      <w:r>
        <w:rPr>
          <w:b/>
          <w:bCs/>
          <w:color w:val="000000"/>
          <w:szCs w:val="21"/>
        </w:rPr>
        <w:t>2.0.</w:t>
      </w:r>
      <w:r>
        <w:rPr>
          <w:rFonts w:hint="eastAsia"/>
          <w:b/>
          <w:bCs/>
          <w:color w:val="000000"/>
          <w:szCs w:val="21"/>
        </w:rPr>
        <w:t>4</w:t>
      </w:r>
      <w:r>
        <w:rPr>
          <w:color w:val="000000"/>
          <w:szCs w:val="21"/>
        </w:rPr>
        <w:t xml:space="preserve">  建筑长城杯工程</w:t>
      </w:r>
      <w:r>
        <w:rPr>
          <w:rFonts w:hint="eastAsia"/>
          <w:color w:val="000000"/>
          <w:szCs w:val="21"/>
        </w:rPr>
        <w:t>现场检查和评议评价</w:t>
      </w:r>
      <w:r>
        <w:rPr>
          <w:color w:val="000000"/>
          <w:szCs w:val="21"/>
        </w:rPr>
        <w:t>应采取量化评价方式，对工程施工项目管理、工程资料管理、</w:t>
      </w:r>
      <w:r>
        <w:rPr>
          <w:rFonts w:hint="eastAsia"/>
          <w:color w:val="000000"/>
          <w:szCs w:val="21"/>
        </w:rPr>
        <w:t>技术应用创新和智能建造</w:t>
      </w:r>
      <w:r>
        <w:rPr>
          <w:color w:val="000000"/>
          <w:szCs w:val="21"/>
        </w:rPr>
        <w:t>、</w:t>
      </w:r>
      <w:r>
        <w:rPr>
          <w:rFonts w:hint="eastAsia"/>
          <w:color w:val="000000"/>
          <w:szCs w:val="21"/>
        </w:rPr>
        <w:t>绿色施工</w:t>
      </w:r>
      <w:r>
        <w:rPr>
          <w:color w:val="000000"/>
          <w:szCs w:val="21"/>
        </w:rPr>
        <w:t>、土建工程、建筑电气设备安装工程、建筑设备安装工程七个方面进行评价</w:t>
      </w:r>
      <w:r>
        <w:rPr>
          <w:rFonts w:hint="eastAsia"/>
          <w:color w:val="000000"/>
          <w:szCs w:val="21"/>
        </w:rPr>
        <w:t>，</w:t>
      </w:r>
      <w:r>
        <w:rPr>
          <w:color w:val="000000"/>
          <w:szCs w:val="21"/>
        </w:rPr>
        <w:t>抽查</w:t>
      </w:r>
      <w:r>
        <w:rPr>
          <w:rFonts w:hint="eastAsia"/>
          <w:color w:val="000000"/>
          <w:szCs w:val="21"/>
        </w:rPr>
        <w:t>比例</w:t>
      </w:r>
      <w:r>
        <w:rPr>
          <w:color w:val="000000"/>
          <w:szCs w:val="21"/>
        </w:rPr>
        <w:t>不低于30%。</w:t>
      </w:r>
    </w:p>
    <w:p w14:paraId="47312E8A">
      <w:pPr>
        <w:spacing w:line="400" w:lineRule="exact"/>
        <w:rPr>
          <w:color w:val="000000"/>
          <w:szCs w:val="21"/>
        </w:rPr>
      </w:pPr>
      <w:r>
        <w:rPr>
          <w:b/>
          <w:bCs/>
          <w:color w:val="000000"/>
          <w:szCs w:val="21"/>
        </w:rPr>
        <w:t>2.0.</w:t>
      </w:r>
      <w:r>
        <w:rPr>
          <w:rFonts w:hint="eastAsia"/>
          <w:b/>
          <w:bCs/>
          <w:color w:val="000000"/>
          <w:szCs w:val="21"/>
        </w:rPr>
        <w:t>5</w:t>
      </w:r>
      <w:r>
        <w:rPr>
          <w:b/>
          <w:bCs/>
          <w:color w:val="000000"/>
          <w:szCs w:val="21"/>
        </w:rPr>
        <w:t xml:space="preserve">  </w:t>
      </w:r>
      <w:r>
        <w:rPr>
          <w:color w:val="000000"/>
          <w:szCs w:val="21"/>
        </w:rPr>
        <w:t>工程</w:t>
      </w:r>
      <w:r>
        <w:rPr>
          <w:rFonts w:hint="eastAsia"/>
          <w:color w:val="000000"/>
          <w:szCs w:val="21"/>
        </w:rPr>
        <w:t>创</w:t>
      </w:r>
      <w:r>
        <w:rPr>
          <w:color w:val="000000"/>
          <w:szCs w:val="21"/>
        </w:rPr>
        <w:t>建筑长城杯应组织体系健全、策划先行、样板引路，过程控制有效，一次成优。</w:t>
      </w:r>
    </w:p>
    <w:p w14:paraId="5D837167">
      <w:pPr>
        <w:spacing w:line="400" w:lineRule="exact"/>
        <w:rPr>
          <w:color w:val="000000"/>
          <w:szCs w:val="21"/>
        </w:rPr>
      </w:pPr>
      <w:r>
        <w:rPr>
          <w:b/>
          <w:bCs/>
          <w:color w:val="000000"/>
          <w:szCs w:val="21"/>
        </w:rPr>
        <w:t>2.0.</w:t>
      </w:r>
      <w:r>
        <w:rPr>
          <w:rFonts w:hint="eastAsia"/>
          <w:b/>
          <w:bCs/>
          <w:color w:val="000000"/>
          <w:szCs w:val="21"/>
        </w:rPr>
        <w:t>6</w:t>
      </w:r>
      <w:r>
        <w:rPr>
          <w:b/>
          <w:bCs/>
          <w:color w:val="000000"/>
          <w:szCs w:val="21"/>
        </w:rPr>
        <w:t xml:space="preserve">  </w:t>
      </w:r>
      <w:r>
        <w:rPr>
          <w:color w:val="000000"/>
          <w:szCs w:val="21"/>
        </w:rPr>
        <w:t>建筑长城杯工程中采用的</w:t>
      </w:r>
      <w:r>
        <w:rPr>
          <w:rFonts w:hint="eastAsia"/>
          <w:color w:val="000000"/>
          <w:szCs w:val="21"/>
        </w:rPr>
        <w:t>新材料、新技术、新工艺、新设备</w:t>
      </w:r>
      <w:r>
        <w:rPr>
          <w:color w:val="000000"/>
          <w:szCs w:val="21"/>
        </w:rPr>
        <w:t>，应有专家</w:t>
      </w:r>
      <w:r>
        <w:rPr>
          <w:rFonts w:hint="eastAsia"/>
          <w:color w:val="000000"/>
          <w:szCs w:val="21"/>
        </w:rPr>
        <w:t>论证</w:t>
      </w:r>
      <w:r>
        <w:rPr>
          <w:color w:val="000000"/>
          <w:szCs w:val="21"/>
        </w:rPr>
        <w:t>意见、使用说明等相应的技术文件。</w:t>
      </w:r>
    </w:p>
    <w:p w14:paraId="3554966F">
      <w:pPr>
        <w:spacing w:line="400" w:lineRule="exact"/>
        <w:rPr>
          <w:color w:val="000000" w:themeColor="text1"/>
          <w:szCs w:val="21"/>
          <w14:textFill>
            <w14:solidFill>
              <w14:schemeClr w14:val="tx1"/>
            </w14:solidFill>
          </w14:textFill>
        </w:rPr>
      </w:pPr>
      <w:r>
        <w:rPr>
          <w:b/>
          <w:bCs/>
          <w:color w:val="000000"/>
          <w:szCs w:val="21"/>
        </w:rPr>
        <w:t>2.0.</w:t>
      </w:r>
      <w:r>
        <w:rPr>
          <w:rFonts w:hint="eastAsia"/>
          <w:b/>
          <w:bCs/>
          <w:color w:val="000000"/>
          <w:szCs w:val="21"/>
        </w:rPr>
        <w:t>7</w:t>
      </w:r>
      <w:r>
        <w:rPr>
          <w:color w:val="000000"/>
          <w:szCs w:val="21"/>
        </w:rPr>
        <w:t xml:space="preserve">  工程所采用的材料、半成品、成品、建筑构配件和设备产品的规格型号、质量、性能、有害物质含量和释放量等，应符合设计</w:t>
      </w:r>
      <w:r>
        <w:rPr>
          <w:rFonts w:hint="eastAsia"/>
          <w:color w:val="000000" w:themeColor="text1"/>
          <w:szCs w:val="21"/>
          <w14:textFill>
            <w14:solidFill>
              <w14:schemeClr w14:val="tx1"/>
            </w14:solidFill>
          </w14:textFill>
        </w:rPr>
        <w:t>和工程建设标准</w:t>
      </w:r>
      <w:r>
        <w:rPr>
          <w:color w:val="000000" w:themeColor="text1"/>
          <w:szCs w:val="21"/>
          <w14:textFill>
            <w14:solidFill>
              <w14:schemeClr w14:val="tx1"/>
            </w14:solidFill>
          </w14:textFill>
        </w:rPr>
        <w:t>要求，绿色环保。严禁使用国家、北京市明令淘汰和禁止使用的产品，使用限制使用的产品，应符合其适用范围。</w:t>
      </w:r>
    </w:p>
    <w:p w14:paraId="79610B02">
      <w:pPr>
        <w:spacing w:line="400" w:lineRule="exac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2.0.</w:t>
      </w:r>
      <w:r>
        <w:rPr>
          <w:rFonts w:hint="eastAsia"/>
          <w:b/>
          <w:bCs/>
          <w:color w:val="000000" w:themeColor="text1"/>
          <w:szCs w:val="21"/>
          <w14:textFill>
            <w14:solidFill>
              <w14:schemeClr w14:val="tx1"/>
            </w14:solidFill>
          </w14:textFill>
        </w:rPr>
        <w:t>8</w:t>
      </w:r>
      <w:r>
        <w:rPr>
          <w:b/>
          <w:bCs/>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各专业设计深度应满足施工要求，无设计缺陷，各专业</w:t>
      </w:r>
      <w:r>
        <w:rPr>
          <w:color w:val="000000" w:themeColor="text1"/>
          <w:szCs w:val="21"/>
          <w14:textFill>
            <w14:solidFill>
              <w14:schemeClr w14:val="tx1"/>
            </w14:solidFill>
          </w14:textFill>
        </w:rPr>
        <w:t>深化设计应综合</w:t>
      </w:r>
      <w:r>
        <w:rPr>
          <w:rFonts w:hint="eastAsia"/>
          <w:color w:val="000000" w:themeColor="text1"/>
          <w:szCs w:val="21"/>
          <w14:textFill>
            <w14:solidFill>
              <w14:schemeClr w14:val="tx1"/>
            </w14:solidFill>
          </w14:textFill>
        </w:rPr>
        <w:t>统筹</w:t>
      </w:r>
      <w:r>
        <w:rPr>
          <w:color w:val="000000" w:themeColor="text1"/>
          <w:szCs w:val="21"/>
          <w14:textFill>
            <w14:solidFill>
              <w14:schemeClr w14:val="tx1"/>
            </w14:solidFill>
          </w14:textFill>
        </w:rPr>
        <w:t>布局。</w:t>
      </w:r>
    </w:p>
    <w:p w14:paraId="71B99E9B">
      <w:pPr>
        <w:spacing w:line="400" w:lineRule="exact"/>
        <w:rPr>
          <w:color w:val="000000"/>
          <w:szCs w:val="21"/>
        </w:rPr>
      </w:pPr>
      <w:r>
        <w:rPr>
          <w:b/>
          <w:bCs/>
          <w:color w:val="000000"/>
          <w:szCs w:val="21"/>
        </w:rPr>
        <w:t xml:space="preserve">2.0.9 </w:t>
      </w:r>
      <w:r>
        <w:rPr>
          <w:color w:val="000000"/>
          <w:szCs w:val="21"/>
        </w:rPr>
        <w:t>建筑长城杯工程应是评选出的优质建筑工程，应做到地基基础和主体结构安全、可靠；装修</w:t>
      </w:r>
      <w:r>
        <w:rPr>
          <w:rFonts w:hint="eastAsia"/>
          <w:color w:val="000000"/>
          <w:szCs w:val="21"/>
        </w:rPr>
        <w:t>精细</w:t>
      </w:r>
      <w:r>
        <w:rPr>
          <w:color w:val="000000"/>
          <w:szCs w:val="21"/>
        </w:rPr>
        <w:t>、工艺</w:t>
      </w:r>
      <w:r>
        <w:rPr>
          <w:rFonts w:hint="eastAsia"/>
          <w:color w:val="000000"/>
          <w:szCs w:val="21"/>
        </w:rPr>
        <w:t>科学</w:t>
      </w:r>
      <w:r>
        <w:rPr>
          <w:color w:val="000000"/>
          <w:szCs w:val="21"/>
        </w:rPr>
        <w:t>，观感质量好；设备安装规范，管线布置合理，标识清晰，系统运行平稳</w:t>
      </w:r>
      <w:r>
        <w:rPr>
          <w:rFonts w:hint="eastAsia"/>
          <w:color w:val="000000"/>
          <w:szCs w:val="21"/>
        </w:rPr>
        <w:t>、</w:t>
      </w:r>
      <w:r>
        <w:rPr>
          <w:color w:val="000000"/>
          <w:szCs w:val="21"/>
        </w:rPr>
        <w:t>可靠</w:t>
      </w:r>
      <w:r>
        <w:rPr>
          <w:rFonts w:hint="eastAsia"/>
          <w:color w:val="000000"/>
          <w:szCs w:val="21"/>
        </w:rPr>
        <w:t>，功能完善</w:t>
      </w:r>
      <w:r>
        <w:rPr>
          <w:color w:val="000000"/>
          <w:szCs w:val="21"/>
        </w:rPr>
        <w:t>；工程资料内容齐全、真实有效、编目规范，具有可追溯性。</w:t>
      </w:r>
    </w:p>
    <w:p w14:paraId="2B2D2D1F">
      <w:pPr>
        <w:spacing w:line="400" w:lineRule="exact"/>
        <w:rPr>
          <w:color w:val="000000"/>
          <w:szCs w:val="21"/>
        </w:rPr>
      </w:pPr>
      <w:r>
        <w:rPr>
          <w:b/>
          <w:bCs/>
          <w:color w:val="000000"/>
          <w:szCs w:val="21"/>
        </w:rPr>
        <w:t xml:space="preserve">2.0.10  </w:t>
      </w:r>
      <w:r>
        <w:rPr>
          <w:color w:val="000000"/>
          <w:szCs w:val="21"/>
        </w:rPr>
        <w:t>建筑长城杯工程建设应推进绿色与智</w:t>
      </w:r>
      <w:r>
        <w:rPr>
          <w:rFonts w:hint="eastAsia"/>
          <w:color w:val="000000"/>
          <w:szCs w:val="21"/>
        </w:rPr>
        <w:t>能</w:t>
      </w:r>
      <w:r>
        <w:rPr>
          <w:color w:val="000000"/>
          <w:szCs w:val="21"/>
        </w:rPr>
        <w:t>建造，开展环境保护、资源节约与循环利用，完成现行标准、规范所要求的各项指标，利用信息技术和先进的智能设备，推进可持续低碳发展的建造方向。</w:t>
      </w:r>
    </w:p>
    <w:p w14:paraId="22E747C8">
      <w:pPr>
        <w:spacing w:line="400" w:lineRule="exact"/>
        <w:rPr>
          <w:color w:val="000000"/>
        </w:rPr>
      </w:pPr>
      <w:r>
        <w:rPr>
          <w:b/>
          <w:bCs/>
          <w:color w:val="000000"/>
          <w:szCs w:val="21"/>
        </w:rPr>
        <w:t>2.0.1</w:t>
      </w:r>
      <w:r>
        <w:rPr>
          <w:rFonts w:hint="eastAsia"/>
          <w:b/>
          <w:bCs/>
          <w:color w:val="000000"/>
          <w:szCs w:val="21"/>
        </w:rPr>
        <w:t>1</w:t>
      </w:r>
      <w:r>
        <w:rPr>
          <w:rFonts w:hint="eastAsia"/>
          <w:color w:val="000000"/>
          <w:szCs w:val="21"/>
        </w:rPr>
        <w:t xml:space="preserve">  工程实体质量应采用观察和量测方法检查，应符合相关国家质量验收标准规定。</w:t>
      </w:r>
    </w:p>
    <w:p w14:paraId="0C161143">
      <w:pPr>
        <w:spacing w:line="400" w:lineRule="exact"/>
        <w:jc w:val="left"/>
        <w:rPr>
          <w:color w:val="000000"/>
          <w:szCs w:val="21"/>
        </w:rPr>
      </w:pPr>
    </w:p>
    <w:p w14:paraId="7EBD4747">
      <w:pPr>
        <w:spacing w:before="312" w:beforeLines="100" w:after="312" w:afterLines="100" w:line="400" w:lineRule="exact"/>
        <w:jc w:val="center"/>
        <w:rPr>
          <w:rStyle w:val="32"/>
          <w:rFonts w:ascii="Times New Roman" w:hAnsi="Times New Roman" w:eastAsia="黑体"/>
          <w:sz w:val="28"/>
          <w:szCs w:val="28"/>
        </w:rPr>
      </w:pPr>
      <w:r>
        <w:rPr>
          <w:rStyle w:val="32"/>
          <w:rFonts w:ascii="Times New Roman" w:hAnsi="Times New Roman" w:eastAsia="黑体"/>
          <w:sz w:val="28"/>
          <w:szCs w:val="28"/>
        </w:rPr>
        <w:br w:type="page"/>
      </w:r>
      <w:bookmarkStart w:id="283" w:name="_Toc19074"/>
      <w:bookmarkStart w:id="284" w:name="_Toc27907"/>
      <w:bookmarkStart w:id="285" w:name="_Toc23555"/>
      <w:bookmarkStart w:id="286" w:name="_Toc29947"/>
      <w:bookmarkStart w:id="287" w:name="_Toc30191"/>
      <w:bookmarkStart w:id="288" w:name="_Toc29344"/>
      <w:bookmarkStart w:id="289" w:name="_Toc19543"/>
      <w:bookmarkStart w:id="290" w:name="_Toc28483"/>
      <w:bookmarkStart w:id="291" w:name="_Toc24026"/>
      <w:r>
        <w:rPr>
          <w:rStyle w:val="32"/>
          <w:rFonts w:ascii="Times New Roman" w:hAnsi="Times New Roman" w:eastAsia="黑体"/>
          <w:b/>
          <w:bCs/>
          <w:sz w:val="28"/>
          <w:szCs w:val="28"/>
        </w:rPr>
        <w:t>3</w:t>
      </w:r>
      <w:r>
        <w:rPr>
          <w:rStyle w:val="32"/>
          <w:rFonts w:ascii="Times New Roman" w:hAnsi="Times New Roman" w:eastAsia="黑体"/>
          <w:sz w:val="28"/>
          <w:szCs w:val="28"/>
        </w:rPr>
        <w:t xml:space="preserve"> </w:t>
      </w:r>
      <w:r>
        <w:rPr>
          <w:rStyle w:val="32"/>
          <w:rFonts w:ascii="Times New Roman" w:hAnsi="Times New Roman" w:eastAsia="黑体"/>
          <w:sz w:val="28"/>
          <w:szCs w:val="28"/>
          <w:lang w:val="en-US"/>
        </w:rPr>
        <w:t xml:space="preserve"> </w:t>
      </w:r>
      <w:r>
        <w:rPr>
          <w:rStyle w:val="32"/>
          <w:rFonts w:ascii="Times New Roman" w:hAnsi="Times New Roman" w:eastAsia="黑体"/>
          <w:sz w:val="28"/>
          <w:szCs w:val="28"/>
        </w:rPr>
        <w:t>施工项目管理</w:t>
      </w:r>
    </w:p>
    <w:bookmarkEnd w:id="283"/>
    <w:bookmarkEnd w:id="284"/>
    <w:bookmarkEnd w:id="285"/>
    <w:bookmarkEnd w:id="286"/>
    <w:bookmarkEnd w:id="287"/>
    <w:bookmarkEnd w:id="288"/>
    <w:bookmarkEnd w:id="289"/>
    <w:bookmarkEnd w:id="290"/>
    <w:bookmarkEnd w:id="291"/>
    <w:p w14:paraId="7F34EEBB">
      <w:pPr>
        <w:spacing w:line="400" w:lineRule="exact"/>
        <w:rPr>
          <w:rFonts w:ascii="宋体" w:hAnsi="宋体" w:cs="仿宋_GB2312"/>
          <w:color w:val="000000" w:themeColor="text1"/>
          <w:szCs w:val="21"/>
          <w14:textFill>
            <w14:solidFill>
              <w14:schemeClr w14:val="tx1"/>
            </w14:solidFill>
          </w14:textFill>
        </w:rPr>
      </w:pPr>
      <w:r>
        <w:rPr>
          <w:b/>
          <w:color w:val="000000"/>
          <w:szCs w:val="21"/>
        </w:rPr>
        <w:t>3.0.1</w:t>
      </w:r>
      <w:r>
        <w:rPr>
          <w:color w:val="000000"/>
          <w:szCs w:val="21"/>
        </w:rPr>
        <w:t xml:space="preserve"> </w:t>
      </w:r>
      <w:r>
        <w:rPr>
          <w:color w:val="000000" w:themeColor="text1"/>
          <w:szCs w:val="21"/>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工程项目施工应有完善的项目质量管理体系，质量责任人及岗位职责明确。施工过程中建立了质量管理标准化制度，控制措施针对性强，且已落实到位。并能运用现代化管理方法和信息技术实行目标管理，工程应符合建设程序，规章制度健全、资源配置合理、管理手段先进、施工组织有序、工艺操作规范、成品保护到位。</w:t>
      </w:r>
    </w:p>
    <w:p w14:paraId="54582BD3">
      <w:pPr>
        <w:spacing w:line="400" w:lineRule="exact"/>
        <w:rPr>
          <w:color w:val="000000"/>
          <w:szCs w:val="21"/>
        </w:rPr>
      </w:pPr>
      <w:r>
        <w:rPr>
          <w:b/>
          <w:bCs/>
          <w:color w:val="000000"/>
          <w:szCs w:val="21"/>
        </w:rPr>
        <w:t>3.0.</w:t>
      </w:r>
      <w:r>
        <w:rPr>
          <w:rFonts w:hint="eastAsia"/>
          <w:b/>
          <w:bCs/>
          <w:color w:val="000000"/>
          <w:szCs w:val="21"/>
        </w:rPr>
        <w:t>2</w:t>
      </w:r>
      <w:r>
        <w:rPr>
          <w:b/>
          <w:bCs/>
          <w:color w:val="000000"/>
          <w:szCs w:val="21"/>
        </w:rPr>
        <w:t xml:space="preserve">  </w:t>
      </w:r>
      <w:r>
        <w:rPr>
          <w:color w:val="000000"/>
          <w:szCs w:val="21"/>
        </w:rPr>
        <w:t xml:space="preserve">项目的组织机构、人员任职能力，应与工程的规模、技术复杂程度和建筑、电气、设备的专业特点相适应，项目技术和质量管理人员的数量应符合北京市有关规定。 </w:t>
      </w:r>
    </w:p>
    <w:p w14:paraId="347900AC">
      <w:pPr>
        <w:spacing w:line="400" w:lineRule="exact"/>
        <w:rPr>
          <w:color w:val="000000"/>
          <w:szCs w:val="21"/>
        </w:rPr>
      </w:pPr>
      <w:r>
        <w:rPr>
          <w:b/>
          <w:color w:val="000000"/>
          <w:szCs w:val="21"/>
        </w:rPr>
        <w:t>3.0.</w:t>
      </w:r>
      <w:r>
        <w:rPr>
          <w:rFonts w:hint="eastAsia"/>
          <w:b/>
          <w:color w:val="000000"/>
          <w:szCs w:val="21"/>
        </w:rPr>
        <w:t>3</w:t>
      </w:r>
      <w:r>
        <w:rPr>
          <w:b/>
          <w:color w:val="000000"/>
          <w:szCs w:val="21"/>
        </w:rPr>
        <w:t xml:space="preserve"> </w:t>
      </w:r>
      <w:r>
        <w:rPr>
          <w:color w:val="000000"/>
          <w:szCs w:val="21"/>
        </w:rPr>
        <w:t xml:space="preserve"> 项目</w:t>
      </w:r>
      <w:r>
        <w:rPr>
          <w:rFonts w:hint="eastAsia"/>
          <w:color w:val="000000"/>
          <w:szCs w:val="21"/>
        </w:rPr>
        <w:t>应根据工程特点、重点及难点进行关键工序和质量亮点策划，</w:t>
      </w:r>
      <w:r>
        <w:rPr>
          <w:color w:val="000000"/>
          <w:szCs w:val="21"/>
        </w:rPr>
        <w:t>编制</w:t>
      </w:r>
      <w:r>
        <w:rPr>
          <w:rFonts w:hint="eastAsia"/>
          <w:color w:val="000000"/>
          <w:szCs w:val="21"/>
        </w:rPr>
        <w:t>创优策划书。策划书应满足现行国家标准《建筑与市政工程施工质量控制通用规范》GB</w:t>
      </w:r>
      <w:r>
        <w:rPr>
          <w:color w:val="000000"/>
          <w:szCs w:val="21"/>
        </w:rPr>
        <w:t xml:space="preserve"> </w:t>
      </w:r>
      <w:r>
        <w:rPr>
          <w:rFonts w:hint="eastAsia"/>
          <w:color w:val="000000"/>
          <w:szCs w:val="21"/>
        </w:rPr>
        <w:t>55032的规定。</w:t>
      </w:r>
    </w:p>
    <w:p w14:paraId="1350D628">
      <w:pPr>
        <w:spacing w:line="400" w:lineRule="exact"/>
        <w:rPr>
          <w:color w:val="000000"/>
          <w:szCs w:val="21"/>
        </w:rPr>
      </w:pPr>
      <w:r>
        <w:rPr>
          <w:b/>
          <w:bCs/>
          <w:color w:val="000000"/>
          <w:szCs w:val="21"/>
        </w:rPr>
        <w:t>3.0.</w:t>
      </w:r>
      <w:r>
        <w:rPr>
          <w:rFonts w:hint="eastAsia"/>
          <w:b/>
          <w:bCs/>
          <w:color w:val="000000"/>
          <w:szCs w:val="21"/>
        </w:rPr>
        <w:t>4</w:t>
      </w:r>
      <w:r>
        <w:rPr>
          <w:b/>
          <w:bCs/>
          <w:color w:val="000000"/>
          <w:szCs w:val="21"/>
        </w:rPr>
        <w:t xml:space="preserve"> </w:t>
      </w:r>
      <w:r>
        <w:rPr>
          <w:color w:val="000000"/>
          <w:szCs w:val="21"/>
        </w:rPr>
        <w:t xml:space="preserve"> 施工组织设计应具有指导性。施工组织设计的编制程序、内容和编制依据，应符</w:t>
      </w:r>
      <w:r>
        <w:rPr>
          <w:rFonts w:hint="eastAsia"/>
          <w:color w:val="000000"/>
          <w:szCs w:val="21"/>
          <w:lang w:val="en-US" w:eastAsia="zh-CN"/>
        </w:rPr>
        <w:t>合现行地方</w:t>
      </w:r>
      <w:r>
        <w:rPr>
          <w:color w:val="000000"/>
          <w:szCs w:val="21"/>
        </w:rPr>
        <w:t>标准《建筑工程施工组织设计管理规程》DB11/ T</w:t>
      </w:r>
      <w:r>
        <w:rPr>
          <w:rFonts w:hint="eastAsia"/>
          <w:color w:val="000000"/>
          <w:szCs w:val="21"/>
          <w:lang w:val="en-US" w:eastAsia="zh-CN"/>
        </w:rPr>
        <w:t xml:space="preserve"> </w:t>
      </w:r>
      <w:r>
        <w:rPr>
          <w:color w:val="000000"/>
          <w:szCs w:val="21"/>
        </w:rPr>
        <w:t>363</w:t>
      </w:r>
      <w:r>
        <w:rPr>
          <w:rFonts w:hint="eastAsia"/>
          <w:color w:val="000000"/>
          <w:szCs w:val="21"/>
        </w:rPr>
        <w:t>和《建筑工程施工技术管理规程》</w:t>
      </w:r>
      <w:r>
        <w:rPr>
          <w:color w:val="000000"/>
          <w:szCs w:val="21"/>
        </w:rPr>
        <w:t>DB11/T</w:t>
      </w:r>
      <w:r>
        <w:rPr>
          <w:rFonts w:hint="eastAsia"/>
          <w:color w:val="000000"/>
          <w:szCs w:val="21"/>
          <w:lang w:val="en-US" w:eastAsia="zh-CN"/>
        </w:rPr>
        <w:t xml:space="preserve"> </w:t>
      </w:r>
      <w:r>
        <w:rPr>
          <w:rFonts w:hint="eastAsia"/>
          <w:color w:val="000000"/>
          <w:szCs w:val="21"/>
        </w:rPr>
        <w:t>1745</w:t>
      </w:r>
      <w:r>
        <w:rPr>
          <w:color w:val="000000"/>
          <w:szCs w:val="21"/>
        </w:rPr>
        <w:t>，与工程性质、规模、特点和施工条件等实际情况结合。建设规模和技术难度较大的工程项目的施工组织设计应组织专家评审。</w:t>
      </w:r>
    </w:p>
    <w:p w14:paraId="3E436B9B">
      <w:pPr>
        <w:spacing w:line="400" w:lineRule="exact"/>
        <w:rPr>
          <w:color w:val="000000"/>
          <w:szCs w:val="21"/>
        </w:rPr>
      </w:pPr>
      <w:r>
        <w:rPr>
          <w:b/>
          <w:color w:val="000000"/>
          <w:szCs w:val="21"/>
        </w:rPr>
        <w:t>3.0.</w:t>
      </w:r>
      <w:r>
        <w:rPr>
          <w:rFonts w:hint="eastAsia"/>
          <w:b/>
          <w:color w:val="000000"/>
          <w:szCs w:val="21"/>
        </w:rPr>
        <w:t>5</w:t>
      </w:r>
      <w:r>
        <w:rPr>
          <w:color w:val="000000"/>
          <w:szCs w:val="21"/>
        </w:rPr>
        <w:t xml:space="preserve">  施工方案应具有针对性。施工方案应符合施工组织设计、现行国家标准和设计要求。危险性较大的分部分项工程、涉及主要使用功能的分部分项工程、季节性施工及施工试验、施工测量等技术质量控制措施等，应有施工方案。施工方案中项目任务、施工安排、施工准备、施工工艺和质量、绿色施工要求等具体内容，应符合工程实际。</w:t>
      </w:r>
    </w:p>
    <w:p w14:paraId="5454B836">
      <w:pPr>
        <w:spacing w:line="400" w:lineRule="exact"/>
        <w:rPr>
          <w:color w:val="000000"/>
          <w:szCs w:val="21"/>
        </w:rPr>
      </w:pPr>
      <w:r>
        <w:rPr>
          <w:b/>
          <w:color w:val="000000"/>
          <w:szCs w:val="21"/>
        </w:rPr>
        <w:t>3.0.</w:t>
      </w:r>
      <w:r>
        <w:rPr>
          <w:rFonts w:hint="eastAsia"/>
          <w:b/>
          <w:color w:val="000000"/>
          <w:szCs w:val="21"/>
        </w:rPr>
        <w:t>6</w:t>
      </w:r>
      <w:r>
        <w:rPr>
          <w:color w:val="000000"/>
          <w:szCs w:val="21"/>
        </w:rPr>
        <w:t xml:space="preserve">  施工组织设计、施工方案应按北京市规定程序进行审批，经监理单位审查后方可实施，超过一定规模的危险性较大的分部分项工程专项施工方案应</w:t>
      </w:r>
      <w:r>
        <w:rPr>
          <w:rFonts w:hint="eastAsia"/>
          <w:color w:val="000000"/>
          <w:szCs w:val="21"/>
        </w:rPr>
        <w:t>通过</w:t>
      </w:r>
      <w:r>
        <w:rPr>
          <w:color w:val="000000"/>
          <w:szCs w:val="21"/>
        </w:rPr>
        <w:t>专家论证</w:t>
      </w:r>
      <w:r>
        <w:rPr>
          <w:rFonts w:hint="eastAsia"/>
          <w:color w:val="000000"/>
          <w:szCs w:val="21"/>
        </w:rPr>
        <w:t>，</w:t>
      </w:r>
      <w:r>
        <w:rPr>
          <w:color w:val="000000"/>
          <w:szCs w:val="21"/>
        </w:rPr>
        <w:t>在实施过程中如有调整变更时，应重新履行审批</w:t>
      </w:r>
      <w:r>
        <w:rPr>
          <w:rFonts w:hint="eastAsia"/>
          <w:color w:val="000000"/>
          <w:szCs w:val="21"/>
        </w:rPr>
        <w:t>、论证</w:t>
      </w:r>
      <w:r>
        <w:rPr>
          <w:color w:val="000000"/>
          <w:szCs w:val="21"/>
        </w:rPr>
        <w:t>手续。</w:t>
      </w:r>
    </w:p>
    <w:p w14:paraId="5E79D31A">
      <w:pPr>
        <w:spacing w:line="400" w:lineRule="exact"/>
        <w:rPr>
          <w:color w:val="000000"/>
          <w:szCs w:val="21"/>
        </w:rPr>
      </w:pPr>
      <w:r>
        <w:rPr>
          <w:b/>
          <w:color w:val="000000"/>
          <w:szCs w:val="21"/>
        </w:rPr>
        <w:t>3.0.</w:t>
      </w:r>
      <w:r>
        <w:rPr>
          <w:rFonts w:hint="eastAsia"/>
          <w:b/>
          <w:color w:val="000000"/>
          <w:szCs w:val="21"/>
        </w:rPr>
        <w:t>7</w:t>
      </w:r>
      <w:r>
        <w:rPr>
          <w:b/>
          <w:color w:val="000000"/>
          <w:szCs w:val="21"/>
        </w:rPr>
        <w:t xml:space="preserve"> </w:t>
      </w:r>
      <w:r>
        <w:rPr>
          <w:color w:val="000000"/>
          <w:szCs w:val="21"/>
        </w:rPr>
        <w:t xml:space="preserve"> </w:t>
      </w:r>
      <w:r>
        <w:rPr>
          <w:rFonts w:hint="eastAsia" w:ascii="宋体" w:hAnsi="宋体" w:cs="宋体"/>
          <w:bCs/>
          <w:color w:val="000000"/>
          <w:kern w:val="2"/>
          <w:szCs w:val="21"/>
        </w:rPr>
        <w:t>技术交底应项目齐全，内容具有可操作性</w:t>
      </w:r>
      <w:r>
        <w:rPr>
          <w:color w:val="000000"/>
          <w:szCs w:val="21"/>
        </w:rPr>
        <w:t>。技术交底应是设计图纸、施工组织设计和施工方案的具体化，应包括施工组织设计交底、施工方案交底、专项施工方案交底和施工作业交底，修改量大、变更内容复杂的设计变更或洽商应有交底记录，各项交底记录应签字齐全，不得补签和代签。</w:t>
      </w:r>
    </w:p>
    <w:p w14:paraId="44CC63B2">
      <w:pPr>
        <w:spacing w:line="400" w:lineRule="exact"/>
        <w:rPr>
          <w:color w:val="000000"/>
          <w:szCs w:val="21"/>
        </w:rPr>
      </w:pPr>
      <w:r>
        <w:rPr>
          <w:b/>
          <w:color w:val="000000"/>
          <w:szCs w:val="21"/>
        </w:rPr>
        <w:t>3.0.</w:t>
      </w:r>
      <w:r>
        <w:rPr>
          <w:rFonts w:hint="eastAsia"/>
          <w:b/>
          <w:color w:val="000000"/>
          <w:szCs w:val="21"/>
        </w:rPr>
        <w:t>8</w:t>
      </w:r>
      <w:r>
        <w:rPr>
          <w:color w:val="000000"/>
          <w:szCs w:val="21"/>
        </w:rPr>
        <w:t xml:space="preserve">  工程应整洁，小区工程的庭院、道路、环境绿化和配套设施应符合设计要求。</w:t>
      </w:r>
    </w:p>
    <w:p w14:paraId="7C682B38">
      <w:pPr>
        <w:spacing w:line="400" w:lineRule="exact"/>
        <w:rPr>
          <w:color w:val="000000"/>
          <w:szCs w:val="21"/>
        </w:rPr>
      </w:pPr>
      <w:r>
        <w:rPr>
          <w:b/>
          <w:color w:val="000000"/>
          <w:szCs w:val="21"/>
        </w:rPr>
        <w:t>3.0.</w:t>
      </w:r>
      <w:r>
        <w:rPr>
          <w:rFonts w:hint="eastAsia"/>
          <w:b/>
          <w:color w:val="000000"/>
          <w:szCs w:val="21"/>
        </w:rPr>
        <w:t>9</w:t>
      </w:r>
      <w:r>
        <w:rPr>
          <w:color w:val="000000"/>
          <w:szCs w:val="21"/>
        </w:rPr>
        <w:t xml:space="preserve">  项目应开展</w:t>
      </w:r>
      <w:r>
        <w:rPr>
          <w:rFonts w:hint="eastAsia"/>
          <w:color w:val="000000"/>
          <w:szCs w:val="21"/>
        </w:rPr>
        <w:t>质量控制</w:t>
      </w:r>
      <w:r>
        <w:rPr>
          <w:color w:val="000000"/>
          <w:szCs w:val="21"/>
        </w:rPr>
        <w:t>小组活动，</w:t>
      </w:r>
      <w:r>
        <w:rPr>
          <w:rFonts w:hint="eastAsia" w:ascii="宋体" w:hAnsi="宋体"/>
          <w:color w:val="000000"/>
        </w:rPr>
        <w:t>推进质量信得过班组建设，</w:t>
      </w:r>
      <w:r>
        <w:rPr>
          <w:color w:val="000000"/>
          <w:szCs w:val="21"/>
        </w:rPr>
        <w:t>持续改进，不断提高工程质量。</w:t>
      </w:r>
    </w:p>
    <w:p w14:paraId="0F4587D8">
      <w:pPr>
        <w:spacing w:line="400" w:lineRule="exact"/>
        <w:rPr>
          <w:rFonts w:eastAsia="黑体"/>
          <w:color w:val="000000"/>
          <w:sz w:val="30"/>
          <w:szCs w:val="30"/>
        </w:rPr>
      </w:pPr>
      <w:r>
        <w:rPr>
          <w:b/>
          <w:color w:val="000000"/>
          <w:szCs w:val="21"/>
        </w:rPr>
        <w:t>3.0.1</w:t>
      </w:r>
      <w:r>
        <w:rPr>
          <w:rFonts w:hint="eastAsia"/>
          <w:b/>
          <w:color w:val="000000"/>
          <w:szCs w:val="21"/>
        </w:rPr>
        <w:t>0</w:t>
      </w:r>
      <w:r>
        <w:rPr>
          <w:b/>
          <w:color w:val="000000"/>
          <w:szCs w:val="21"/>
        </w:rPr>
        <w:t xml:space="preserve">  </w:t>
      </w:r>
      <w:r>
        <w:rPr>
          <w:color w:val="000000"/>
          <w:szCs w:val="21"/>
        </w:rPr>
        <w:t>评审施工项目管理，主要抽查项目组织机构</w:t>
      </w:r>
      <w:r>
        <w:rPr>
          <w:rFonts w:hint="eastAsia"/>
          <w:color w:val="000000"/>
          <w:szCs w:val="21"/>
        </w:rPr>
        <w:t>和</w:t>
      </w:r>
      <w:r>
        <w:rPr>
          <w:color w:val="000000"/>
          <w:szCs w:val="21"/>
        </w:rPr>
        <w:t>管理文件</w:t>
      </w:r>
      <w:r>
        <w:rPr>
          <w:rFonts w:hint="eastAsia"/>
          <w:color w:val="000000"/>
          <w:szCs w:val="21"/>
        </w:rPr>
        <w:t>的指导作用及其落实情况，</w:t>
      </w:r>
      <w:r>
        <w:rPr>
          <w:color w:val="000000"/>
          <w:szCs w:val="21"/>
        </w:rPr>
        <w:t>结合实体工程质量，对施工项目管理工作的质量水平和有效性做出评价。</w:t>
      </w:r>
    </w:p>
    <w:p w14:paraId="56F2C0BF">
      <w:pPr>
        <w:spacing w:before="312" w:beforeLines="100" w:after="312" w:afterLines="100" w:line="400" w:lineRule="exact"/>
        <w:jc w:val="center"/>
        <w:rPr>
          <w:rStyle w:val="32"/>
          <w:rFonts w:ascii="Times New Roman" w:hAnsi="Times New Roman" w:eastAsia="黑体"/>
          <w:sz w:val="28"/>
          <w:szCs w:val="28"/>
        </w:rPr>
      </w:pPr>
      <w:r>
        <w:rPr>
          <w:rFonts w:eastAsia="黑体"/>
          <w:color w:val="000000"/>
          <w:sz w:val="30"/>
          <w:szCs w:val="30"/>
        </w:rPr>
        <w:br w:type="page"/>
      </w:r>
      <w:bookmarkStart w:id="292" w:name="_Toc24749"/>
      <w:bookmarkStart w:id="293" w:name="_Toc10946"/>
      <w:bookmarkStart w:id="294" w:name="_Toc31989"/>
      <w:bookmarkStart w:id="295" w:name="_Toc16359"/>
      <w:bookmarkStart w:id="296" w:name="_Toc5601"/>
      <w:bookmarkStart w:id="297" w:name="_Toc14079"/>
      <w:bookmarkStart w:id="298" w:name="_Toc29199"/>
      <w:bookmarkStart w:id="299" w:name="_Toc13138"/>
      <w:bookmarkStart w:id="300" w:name="_Toc16665"/>
      <w:r>
        <w:rPr>
          <w:rStyle w:val="32"/>
          <w:rFonts w:ascii="Times New Roman" w:hAnsi="Times New Roman" w:eastAsia="黑体"/>
          <w:b/>
          <w:bCs/>
          <w:sz w:val="28"/>
          <w:szCs w:val="28"/>
          <w:lang w:val="en-US"/>
        </w:rPr>
        <w:t>4</w:t>
      </w:r>
      <w:r>
        <w:rPr>
          <w:rStyle w:val="32"/>
          <w:rFonts w:ascii="Times New Roman" w:hAnsi="Times New Roman" w:eastAsia="黑体"/>
          <w:sz w:val="28"/>
          <w:szCs w:val="28"/>
          <w:lang w:val="en-US"/>
        </w:rPr>
        <w:t xml:space="preserve">  </w:t>
      </w:r>
      <w:r>
        <w:rPr>
          <w:rStyle w:val="32"/>
          <w:rFonts w:ascii="Times New Roman" w:hAnsi="Times New Roman" w:eastAsia="黑体"/>
          <w:sz w:val="28"/>
          <w:szCs w:val="28"/>
        </w:rPr>
        <w:t>工程资料管理</w:t>
      </w:r>
    </w:p>
    <w:bookmarkEnd w:id="292"/>
    <w:bookmarkEnd w:id="293"/>
    <w:bookmarkEnd w:id="294"/>
    <w:bookmarkEnd w:id="295"/>
    <w:bookmarkEnd w:id="296"/>
    <w:bookmarkEnd w:id="297"/>
    <w:bookmarkEnd w:id="298"/>
    <w:bookmarkEnd w:id="299"/>
    <w:bookmarkEnd w:id="300"/>
    <w:p w14:paraId="07D3BA88">
      <w:pPr>
        <w:spacing w:line="400" w:lineRule="exact"/>
        <w:rPr>
          <w:color w:val="000000"/>
          <w:szCs w:val="21"/>
        </w:rPr>
      </w:pPr>
      <w:r>
        <w:rPr>
          <w:b/>
          <w:color w:val="000000"/>
          <w:szCs w:val="21"/>
        </w:rPr>
        <w:t>4.0.1</w:t>
      </w:r>
      <w:r>
        <w:rPr>
          <w:color w:val="000000"/>
          <w:szCs w:val="21"/>
        </w:rPr>
        <w:t xml:space="preserve">  工程资料管理应符合</w:t>
      </w:r>
      <w:r>
        <w:rPr>
          <w:rFonts w:hint="eastAsia"/>
          <w:color w:val="000000"/>
          <w:szCs w:val="21"/>
          <w:lang w:val="en-US" w:eastAsia="zh-CN"/>
        </w:rPr>
        <w:t>国家现行标准</w:t>
      </w:r>
      <w:r>
        <w:rPr>
          <w:color w:val="000000"/>
          <w:szCs w:val="21"/>
        </w:rPr>
        <w:t>《建设工程文件归档规范》GB/T 50328和《建筑工程资料管理规程》DB11/T 695及相关专业规范、标准的有关规定。</w:t>
      </w:r>
    </w:p>
    <w:p w14:paraId="2EC71ED3">
      <w:pPr>
        <w:spacing w:line="400" w:lineRule="exact"/>
        <w:rPr>
          <w:color w:val="000000"/>
          <w:szCs w:val="21"/>
        </w:rPr>
      </w:pPr>
      <w:r>
        <w:rPr>
          <w:b/>
          <w:color w:val="000000"/>
          <w:szCs w:val="21"/>
        </w:rPr>
        <w:t>4.0.2</w:t>
      </w:r>
      <w:r>
        <w:rPr>
          <w:color w:val="000000"/>
          <w:szCs w:val="21"/>
        </w:rPr>
        <w:t xml:space="preserve">  工程资料管理应分工明确、责任清楚，并应在项目部的质量计划中明确，工程档案资料应真实可靠、分类正确、目录清晰、页码完整、内容齐全、装订成册。</w:t>
      </w:r>
    </w:p>
    <w:p w14:paraId="70131F34">
      <w:pPr>
        <w:spacing w:line="400" w:lineRule="exact"/>
        <w:rPr>
          <w:color w:val="000000"/>
          <w:szCs w:val="21"/>
        </w:rPr>
      </w:pPr>
      <w:r>
        <w:rPr>
          <w:b/>
          <w:color w:val="000000"/>
          <w:szCs w:val="21"/>
        </w:rPr>
        <w:t>4.0.3</w:t>
      </w:r>
      <w:r>
        <w:rPr>
          <w:color w:val="000000"/>
          <w:szCs w:val="21"/>
        </w:rPr>
        <w:t xml:space="preserve">  项目应推进工程质量验收资料电子化。</w:t>
      </w:r>
    </w:p>
    <w:p w14:paraId="3EFCEF8B">
      <w:pPr>
        <w:spacing w:line="400" w:lineRule="exact"/>
        <w:rPr>
          <w:color w:val="000000"/>
          <w:szCs w:val="21"/>
        </w:rPr>
      </w:pPr>
      <w:r>
        <w:rPr>
          <w:b/>
          <w:color w:val="000000"/>
          <w:szCs w:val="21"/>
        </w:rPr>
        <w:t>4.0.</w:t>
      </w:r>
      <w:r>
        <w:rPr>
          <w:rFonts w:hint="eastAsia"/>
          <w:b/>
          <w:color w:val="000000"/>
          <w:szCs w:val="21"/>
        </w:rPr>
        <w:t>4</w:t>
      </w:r>
      <w:r>
        <w:rPr>
          <w:color w:val="000000"/>
          <w:szCs w:val="21"/>
        </w:rPr>
        <w:t xml:space="preserve">  工程资料应符合下列基本规定：</w:t>
      </w:r>
    </w:p>
    <w:p w14:paraId="1BAD109F">
      <w:pPr>
        <w:spacing w:line="400" w:lineRule="exact"/>
        <w:ind w:firstLine="422" w:firstLineChars="200"/>
        <w:rPr>
          <w:color w:val="000000"/>
          <w:szCs w:val="21"/>
        </w:rPr>
      </w:pPr>
      <w:r>
        <w:rPr>
          <w:b/>
          <w:bCs/>
          <w:color w:val="000000"/>
          <w:szCs w:val="21"/>
        </w:rPr>
        <w:t xml:space="preserve">1  </w:t>
      </w:r>
      <w:r>
        <w:rPr>
          <w:color w:val="000000"/>
          <w:szCs w:val="21"/>
        </w:rPr>
        <w:t>真实反映工程质量的实际情况，与工程进度同步形成、收集和整理，相关人员及单位的签字盖章齐全；</w:t>
      </w:r>
    </w:p>
    <w:p w14:paraId="1E6C6B6C">
      <w:pPr>
        <w:spacing w:line="400" w:lineRule="exact"/>
        <w:ind w:firstLine="422" w:firstLineChars="200"/>
        <w:rPr>
          <w:color w:val="000000"/>
          <w:szCs w:val="21"/>
        </w:rPr>
      </w:pPr>
      <w:r>
        <w:rPr>
          <w:b/>
          <w:bCs/>
          <w:color w:val="000000"/>
          <w:szCs w:val="21"/>
        </w:rPr>
        <w:t xml:space="preserve">2  </w:t>
      </w:r>
      <w:r>
        <w:rPr>
          <w:color w:val="000000"/>
          <w:szCs w:val="21"/>
        </w:rPr>
        <w:t>应为原件，当不能提供原件时，复印件应加盖提供单位公章，注明复印日期，并有经手人签字；</w:t>
      </w:r>
    </w:p>
    <w:p w14:paraId="7AB1A9AF">
      <w:pPr>
        <w:spacing w:line="400" w:lineRule="exact"/>
        <w:ind w:firstLine="422" w:firstLineChars="200"/>
        <w:rPr>
          <w:color w:val="000000"/>
          <w:szCs w:val="21"/>
        </w:rPr>
      </w:pPr>
      <w:r>
        <w:rPr>
          <w:b/>
          <w:bCs/>
          <w:color w:val="000000"/>
          <w:szCs w:val="21"/>
        </w:rPr>
        <w:t xml:space="preserve">3  </w:t>
      </w:r>
      <w:r>
        <w:rPr>
          <w:color w:val="000000"/>
          <w:szCs w:val="21"/>
        </w:rPr>
        <w:t>应归档立卷，专业分包单位的资料应单独组卷，建立总目录、卷内（盒内）目录和分项目录；</w:t>
      </w:r>
    </w:p>
    <w:p w14:paraId="5A80A75A">
      <w:pPr>
        <w:spacing w:line="400" w:lineRule="exact"/>
        <w:ind w:firstLine="422" w:firstLineChars="200"/>
        <w:rPr>
          <w:color w:val="000000"/>
          <w:szCs w:val="21"/>
        </w:rPr>
      </w:pPr>
      <w:r>
        <w:rPr>
          <w:b/>
          <w:bCs/>
          <w:color w:val="000000"/>
          <w:szCs w:val="21"/>
        </w:rPr>
        <w:t xml:space="preserve">4  </w:t>
      </w:r>
      <w:r>
        <w:rPr>
          <w:color w:val="000000"/>
          <w:szCs w:val="21"/>
        </w:rPr>
        <w:t>应内容完整齐全、真实有效、具有可追溯性。</w:t>
      </w:r>
    </w:p>
    <w:p w14:paraId="00F0C321">
      <w:pPr>
        <w:spacing w:line="400" w:lineRule="exact"/>
        <w:rPr>
          <w:color w:val="000000"/>
          <w:szCs w:val="21"/>
        </w:rPr>
      </w:pPr>
      <w:r>
        <w:rPr>
          <w:b/>
          <w:color w:val="000000"/>
          <w:szCs w:val="21"/>
        </w:rPr>
        <w:t>4.0.</w:t>
      </w:r>
      <w:r>
        <w:rPr>
          <w:rFonts w:hint="eastAsia"/>
          <w:b/>
          <w:color w:val="000000"/>
          <w:szCs w:val="21"/>
        </w:rPr>
        <w:t>5</w:t>
      </w:r>
      <w:r>
        <w:rPr>
          <w:color w:val="000000"/>
          <w:szCs w:val="21"/>
        </w:rPr>
        <w:t xml:space="preserve"> </w:t>
      </w:r>
      <w:r>
        <w:rPr>
          <w:rFonts w:hint="eastAsia"/>
          <w:color w:val="000000"/>
          <w:szCs w:val="21"/>
        </w:rPr>
        <w:t xml:space="preserve"> </w:t>
      </w:r>
      <w:r>
        <w:rPr>
          <w:color w:val="000000"/>
          <w:szCs w:val="21"/>
        </w:rPr>
        <w:t>各专业资料</w:t>
      </w:r>
      <w:r>
        <w:rPr>
          <w:rFonts w:hint="eastAsia"/>
          <w:color w:val="000000"/>
          <w:szCs w:val="21"/>
        </w:rPr>
        <w:t>应符合下列规定：</w:t>
      </w:r>
    </w:p>
    <w:p w14:paraId="75AEF9B9">
      <w:pPr>
        <w:spacing w:line="400" w:lineRule="exact"/>
        <w:ind w:firstLine="422" w:firstLineChars="200"/>
        <w:rPr>
          <w:color w:val="000000"/>
          <w:szCs w:val="21"/>
        </w:rPr>
      </w:pPr>
      <w:r>
        <w:rPr>
          <w:b/>
          <w:bCs/>
          <w:color w:val="000000"/>
          <w:szCs w:val="21"/>
        </w:rPr>
        <w:t>1</w:t>
      </w:r>
      <w:r>
        <w:rPr>
          <w:color w:val="000000"/>
          <w:szCs w:val="21"/>
        </w:rPr>
        <w:t xml:space="preserve">  企业资质及相关专业人员的岗位证书，特种作业人员资质证书，专业分包单位资质等级应符合本标准第3.0.2条的规定；</w:t>
      </w:r>
    </w:p>
    <w:p w14:paraId="0B1D7069">
      <w:pPr>
        <w:spacing w:line="400" w:lineRule="exact"/>
        <w:ind w:firstLine="422" w:firstLineChars="200"/>
        <w:rPr>
          <w:color w:val="000000"/>
          <w:szCs w:val="21"/>
        </w:rPr>
      </w:pPr>
      <w:r>
        <w:rPr>
          <w:b/>
          <w:bCs/>
          <w:color w:val="000000"/>
          <w:szCs w:val="21"/>
        </w:rPr>
        <w:t xml:space="preserve">2  </w:t>
      </w:r>
      <w:r>
        <w:rPr>
          <w:color w:val="000000"/>
          <w:szCs w:val="21"/>
        </w:rPr>
        <w:t>施工组织设计、创优策划书、各专项施工方案、技术交底等施工技术资料应符合本标准第</w:t>
      </w:r>
      <w:r>
        <w:rPr>
          <w:rFonts w:hint="eastAsia"/>
          <w:color w:val="000000"/>
          <w:szCs w:val="21"/>
        </w:rPr>
        <w:t>3.0.1、</w:t>
      </w:r>
      <w:r>
        <w:rPr>
          <w:color w:val="000000"/>
          <w:szCs w:val="21"/>
        </w:rPr>
        <w:t>3.0.3、3.0.4、3.0.5、3.0.6条的规定；</w:t>
      </w:r>
    </w:p>
    <w:p w14:paraId="474BCD27">
      <w:pPr>
        <w:spacing w:line="400" w:lineRule="exact"/>
        <w:ind w:firstLine="422" w:firstLineChars="200"/>
        <w:rPr>
          <w:szCs w:val="21"/>
        </w:rPr>
      </w:pPr>
      <w:r>
        <w:rPr>
          <w:b/>
          <w:bCs/>
          <w:color w:val="000000"/>
          <w:szCs w:val="21"/>
        </w:rPr>
        <w:t xml:space="preserve">3 </w:t>
      </w:r>
      <w:r>
        <w:rPr>
          <w:color w:val="000000"/>
          <w:szCs w:val="21"/>
        </w:rPr>
        <w:t xml:space="preserve"> </w:t>
      </w:r>
      <w:r>
        <w:rPr>
          <w:rFonts w:hint="eastAsia"/>
          <w:color w:val="000000"/>
          <w:szCs w:val="21"/>
        </w:rPr>
        <w:t>图纸会审、设计变更、工程洽商及设计交底</w:t>
      </w:r>
      <w:r>
        <w:rPr>
          <w:rFonts w:hint="eastAsia"/>
          <w:color w:val="000000" w:themeColor="text1"/>
          <w:szCs w:val="21"/>
          <w14:textFill>
            <w14:solidFill>
              <w14:schemeClr w14:val="tx1"/>
            </w14:solidFill>
          </w14:textFill>
        </w:rPr>
        <w:t>文件</w:t>
      </w:r>
      <w:r>
        <w:rPr>
          <w:rFonts w:ascii="宋体" w:hAnsi="宋体" w:cs="仿宋_GB2312"/>
          <w:color w:val="000000" w:themeColor="text1"/>
          <w:szCs w:val="21"/>
          <w14:textFill>
            <w14:solidFill>
              <w14:schemeClr w14:val="tx1"/>
            </w14:solidFill>
          </w14:textFill>
        </w:rPr>
        <w:t>资料</w:t>
      </w:r>
      <w:r>
        <w:rPr>
          <w:rFonts w:hint="eastAsia" w:ascii="宋体" w:hAnsi="宋体" w:cs="仿宋_GB2312"/>
          <w:szCs w:val="21"/>
        </w:rPr>
        <w:t>应齐全有效，变更应在施工图中改绘，并注明修改依据；</w:t>
      </w:r>
    </w:p>
    <w:p w14:paraId="743AC0DB">
      <w:pPr>
        <w:spacing w:line="400" w:lineRule="exact"/>
        <w:ind w:firstLine="422" w:firstLineChars="200"/>
        <w:rPr>
          <w:color w:val="000000"/>
          <w:szCs w:val="21"/>
        </w:rPr>
      </w:pPr>
      <w:r>
        <w:rPr>
          <w:b/>
          <w:bCs/>
          <w:color w:val="000000"/>
          <w:szCs w:val="21"/>
        </w:rPr>
        <w:t>4</w:t>
      </w:r>
      <w:r>
        <w:rPr>
          <w:color w:val="000000"/>
          <w:szCs w:val="21"/>
        </w:rPr>
        <w:t xml:space="preserve">  重要的分部分项工程隐蔽验收记录和影像资料、施工试验记录、实体检测报告等应齐全完整；</w:t>
      </w:r>
    </w:p>
    <w:p w14:paraId="17334204">
      <w:pPr>
        <w:spacing w:line="400" w:lineRule="exact"/>
        <w:ind w:firstLine="422" w:firstLineChars="200"/>
        <w:rPr>
          <w:color w:val="000000"/>
          <w:szCs w:val="21"/>
        </w:rPr>
      </w:pPr>
      <w:r>
        <w:rPr>
          <w:b/>
          <w:bCs/>
          <w:color w:val="000000"/>
          <w:szCs w:val="21"/>
        </w:rPr>
        <w:t>5</w:t>
      </w:r>
      <w:r>
        <w:rPr>
          <w:color w:val="000000"/>
          <w:szCs w:val="21"/>
        </w:rPr>
        <w:t xml:space="preserve">  检验批、分项、分部工程质量验收记录、竣工验收资料应齐全</w:t>
      </w:r>
      <w:r>
        <w:rPr>
          <w:rFonts w:hint="eastAsia"/>
          <w:color w:val="000000"/>
          <w:szCs w:val="21"/>
        </w:rPr>
        <w:t>，住宅工程分户验收资料应真实完整；</w:t>
      </w:r>
    </w:p>
    <w:p w14:paraId="0F3DF607">
      <w:pPr>
        <w:spacing w:line="400" w:lineRule="exact"/>
        <w:ind w:firstLine="422" w:firstLineChars="200"/>
        <w:rPr>
          <w:color w:val="000000"/>
          <w:szCs w:val="21"/>
        </w:rPr>
      </w:pPr>
      <w:r>
        <w:rPr>
          <w:b/>
          <w:bCs/>
          <w:color w:val="000000"/>
          <w:szCs w:val="21"/>
        </w:rPr>
        <w:t xml:space="preserve">6 </w:t>
      </w:r>
      <w:r>
        <w:rPr>
          <w:color w:val="000000"/>
          <w:szCs w:val="21"/>
        </w:rPr>
        <w:t xml:space="preserve"> 监理通知单与监理通知回复单应一一对应，如有监理不合格项处置记录，查看监理报告，</w:t>
      </w:r>
      <w:r>
        <w:rPr>
          <w:rFonts w:hint="eastAsia"/>
          <w:color w:val="000000"/>
          <w:szCs w:val="21"/>
        </w:rPr>
        <w:t>应</w:t>
      </w:r>
      <w:r>
        <w:rPr>
          <w:color w:val="000000"/>
          <w:szCs w:val="21"/>
        </w:rPr>
        <w:t>核查处置结果；</w:t>
      </w:r>
    </w:p>
    <w:p w14:paraId="489B589D">
      <w:pPr>
        <w:spacing w:line="400" w:lineRule="exact"/>
        <w:ind w:firstLine="422" w:firstLineChars="200"/>
        <w:rPr>
          <w:color w:val="000000"/>
          <w:szCs w:val="21"/>
          <w:highlight w:val="green"/>
        </w:rPr>
      </w:pPr>
      <w:r>
        <w:rPr>
          <w:b/>
          <w:bCs/>
          <w:color w:val="000000"/>
          <w:szCs w:val="21"/>
        </w:rPr>
        <w:t xml:space="preserve">7 </w:t>
      </w:r>
      <w:r>
        <w:rPr>
          <w:color w:val="000000"/>
          <w:szCs w:val="21"/>
        </w:rPr>
        <w:t xml:space="preserve"> 施工日志应逐日记录</w:t>
      </w:r>
      <w:r>
        <w:rPr>
          <w:rFonts w:hint="eastAsia"/>
          <w:color w:val="000000"/>
          <w:szCs w:val="21"/>
        </w:rPr>
        <w:t>，应</w:t>
      </w:r>
      <w:r>
        <w:rPr>
          <w:color w:val="000000"/>
          <w:szCs w:val="21"/>
        </w:rPr>
        <w:t>记录生产进度、人、机、料等情况，应有重要的技术质量安全活动记录，</w:t>
      </w:r>
      <w:r>
        <w:rPr>
          <w:rFonts w:hint="eastAsia"/>
          <w:color w:val="000000"/>
          <w:szCs w:val="21"/>
        </w:rPr>
        <w:t>记录内容真实有效；</w:t>
      </w:r>
    </w:p>
    <w:p w14:paraId="475D0180">
      <w:pPr>
        <w:spacing w:line="400" w:lineRule="exact"/>
        <w:ind w:firstLine="422" w:firstLineChars="200"/>
        <w:rPr>
          <w:color w:val="000000"/>
          <w:szCs w:val="21"/>
        </w:rPr>
      </w:pPr>
      <w:r>
        <w:rPr>
          <w:b/>
          <w:bCs/>
          <w:color w:val="000000"/>
          <w:szCs w:val="21"/>
        </w:rPr>
        <w:t>8</w:t>
      </w:r>
      <w:r>
        <w:rPr>
          <w:color w:val="000000"/>
          <w:szCs w:val="21"/>
        </w:rPr>
        <w:t xml:space="preserve">  竣工图应与工程施工实际相符，图章和图签应签字齐全有效。</w:t>
      </w:r>
    </w:p>
    <w:p w14:paraId="615D33AC">
      <w:pPr>
        <w:spacing w:line="400" w:lineRule="exact"/>
        <w:rPr>
          <w:color w:val="000000"/>
          <w:szCs w:val="21"/>
        </w:rPr>
      </w:pPr>
      <w:r>
        <w:rPr>
          <w:b/>
          <w:color w:val="000000"/>
          <w:kern w:val="2"/>
          <w:szCs w:val="21"/>
        </w:rPr>
        <w:t>4.0.</w:t>
      </w:r>
      <w:r>
        <w:rPr>
          <w:rFonts w:hint="eastAsia"/>
          <w:b/>
          <w:color w:val="000000"/>
          <w:kern w:val="2"/>
          <w:szCs w:val="21"/>
        </w:rPr>
        <w:t>6</w:t>
      </w:r>
      <w:r>
        <w:rPr>
          <w:b/>
          <w:color w:val="000000"/>
          <w:kern w:val="2"/>
          <w:szCs w:val="21"/>
        </w:rPr>
        <w:t xml:space="preserve"> </w:t>
      </w:r>
      <w:r>
        <w:rPr>
          <w:rFonts w:hint="eastAsia"/>
          <w:b/>
          <w:color w:val="000000"/>
          <w:kern w:val="2"/>
          <w:szCs w:val="21"/>
        </w:rPr>
        <w:t xml:space="preserve"> </w:t>
      </w:r>
      <w:r>
        <w:rPr>
          <w:color w:val="000000"/>
          <w:szCs w:val="21"/>
        </w:rPr>
        <w:t>工程所使用的主要材料、设备的质量合格证明文件和进场检验记录，应符合</w:t>
      </w:r>
      <w:r>
        <w:rPr>
          <w:rFonts w:hint="eastAsia"/>
          <w:color w:val="000000"/>
          <w:szCs w:val="21"/>
        </w:rPr>
        <w:t>下列规定</w:t>
      </w:r>
      <w:r>
        <w:rPr>
          <w:color w:val="000000"/>
          <w:szCs w:val="21"/>
        </w:rPr>
        <w:t>：</w:t>
      </w:r>
    </w:p>
    <w:p w14:paraId="740DCD43">
      <w:pPr>
        <w:spacing w:line="400" w:lineRule="exact"/>
        <w:ind w:firstLine="422" w:firstLineChars="200"/>
        <w:rPr>
          <w:color w:val="000000"/>
          <w:szCs w:val="21"/>
        </w:rPr>
      </w:pPr>
      <w:r>
        <w:rPr>
          <w:b/>
          <w:color w:val="000000"/>
          <w:szCs w:val="21"/>
        </w:rPr>
        <w:t xml:space="preserve">1  </w:t>
      </w:r>
      <w:r>
        <w:rPr>
          <w:color w:val="000000"/>
          <w:szCs w:val="21"/>
        </w:rPr>
        <w:t>主要材料、构配件和设备应有齐全的产品合格证书和性能检测报告，其品种、规格、型号、性能等应符合设计要求和现行国家产品标准。进场检验应符合工程质量验收标准的规定，材料、构配件进场检验记录或设备开箱检验记录的内容应具体；</w:t>
      </w:r>
    </w:p>
    <w:p w14:paraId="07CB7888">
      <w:pPr>
        <w:spacing w:line="400" w:lineRule="exact"/>
        <w:ind w:firstLine="422" w:firstLineChars="200"/>
        <w:rPr>
          <w:color w:val="000000" w:themeColor="text1"/>
          <w:szCs w:val="21"/>
          <w14:textFill>
            <w14:solidFill>
              <w14:schemeClr w14:val="tx1"/>
            </w14:solidFill>
          </w14:textFill>
        </w:rPr>
      </w:pPr>
      <w:r>
        <w:rPr>
          <w:b/>
          <w:bCs/>
          <w:color w:val="000000"/>
          <w:szCs w:val="21"/>
        </w:rPr>
        <w:t>2</w:t>
      </w:r>
      <w:r>
        <w:rPr>
          <w:color w:val="000000"/>
          <w:szCs w:val="21"/>
        </w:rPr>
        <w:t xml:space="preserve">  </w:t>
      </w:r>
      <w:r>
        <w:rPr>
          <w:color w:val="000000"/>
          <w:szCs w:val="21"/>
          <w:lang w:val="zh-CN"/>
        </w:rPr>
        <w:t>消防</w:t>
      </w:r>
      <w:r>
        <w:rPr>
          <w:color w:val="000000"/>
          <w:szCs w:val="21"/>
        </w:rPr>
        <w:t>、电力、卫生、环保等材料和设备，</w:t>
      </w:r>
      <w:r>
        <w:rPr>
          <w:rFonts w:hint="eastAsia" w:ascii="宋体" w:hAnsi="宋体" w:cs="仿宋_GB2312"/>
          <w:color w:val="000000" w:themeColor="text1"/>
          <w:szCs w:val="21"/>
          <w14:textFill>
            <w14:solidFill>
              <w14:schemeClr w14:val="tx1"/>
            </w14:solidFill>
          </w14:textFill>
        </w:rPr>
        <w:t>需有相关部门的认可文件；</w:t>
      </w:r>
    </w:p>
    <w:p w14:paraId="0D9AC6AF">
      <w:pPr>
        <w:spacing w:line="400" w:lineRule="exact"/>
        <w:ind w:firstLine="422"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涉及安全、节能、环境保护和主要使用功能的材料、设备等产品进场检验，复验应按照有关规定见证取样，复验的项目和试验数量应符合相关专业质量验收标准的规定；</w:t>
      </w:r>
    </w:p>
    <w:p w14:paraId="074BE4D0">
      <w:pPr>
        <w:spacing w:line="400" w:lineRule="exact"/>
        <w:ind w:firstLine="422" w:firstLineChars="200"/>
        <w:rPr>
          <w:color w:val="000000"/>
          <w:szCs w:val="21"/>
        </w:rPr>
      </w:pPr>
      <w:r>
        <w:rPr>
          <w:b/>
          <w:bCs/>
          <w:color w:val="000000"/>
          <w:szCs w:val="21"/>
        </w:rPr>
        <w:t xml:space="preserve">4  </w:t>
      </w:r>
      <w:r>
        <w:rPr>
          <w:color w:val="000000"/>
          <w:szCs w:val="21"/>
        </w:rPr>
        <w:t>国家强制认证的材料、设备，应有与其型号、规格一致的认证证书和认证检验报告，</w:t>
      </w:r>
      <w:r>
        <w:rPr>
          <w:rFonts w:hint="eastAsia" w:ascii="宋体" w:hAnsi="宋体" w:cs="宋体"/>
          <w:bCs/>
          <w:color w:val="000000"/>
          <w:szCs w:val="21"/>
        </w:rPr>
        <w:t>材料、</w:t>
      </w:r>
      <w:r>
        <w:rPr>
          <w:color w:val="000000"/>
          <w:szCs w:val="21"/>
        </w:rPr>
        <w:t>设备上应有“CCC”标志；</w:t>
      </w:r>
    </w:p>
    <w:p w14:paraId="2B39B70E">
      <w:pPr>
        <w:spacing w:line="400" w:lineRule="exact"/>
        <w:ind w:firstLine="422" w:firstLineChars="200"/>
        <w:rPr>
          <w:color w:val="000000"/>
          <w:szCs w:val="21"/>
        </w:rPr>
      </w:pPr>
      <w:r>
        <w:rPr>
          <w:rFonts w:hint="eastAsia"/>
          <w:b/>
          <w:bCs/>
          <w:color w:val="000000"/>
          <w:szCs w:val="21"/>
        </w:rPr>
        <w:t>5</w:t>
      </w:r>
      <w:r>
        <w:rPr>
          <w:color w:val="000000"/>
          <w:szCs w:val="21"/>
        </w:rPr>
        <w:t xml:space="preserve">  进口的材料、设备，还应有相应的商检单、安装使用说明书和性能检验报告等。</w:t>
      </w:r>
    </w:p>
    <w:p w14:paraId="25A5758D">
      <w:pPr>
        <w:spacing w:line="400" w:lineRule="exact"/>
        <w:rPr>
          <w:color w:val="000000"/>
          <w:szCs w:val="21"/>
        </w:rPr>
      </w:pPr>
      <w:r>
        <w:rPr>
          <w:b/>
          <w:color w:val="000000"/>
          <w:szCs w:val="21"/>
        </w:rPr>
        <w:t>4.0.</w:t>
      </w:r>
      <w:r>
        <w:rPr>
          <w:rFonts w:hint="eastAsia"/>
          <w:b/>
          <w:color w:val="000000"/>
          <w:szCs w:val="21"/>
        </w:rPr>
        <w:t>7</w:t>
      </w:r>
      <w:r>
        <w:rPr>
          <w:color w:val="000000"/>
          <w:szCs w:val="21"/>
        </w:rPr>
        <w:t xml:space="preserve"> </w:t>
      </w:r>
      <w:r>
        <w:rPr>
          <w:rFonts w:hint="eastAsia"/>
          <w:color w:val="000000"/>
          <w:szCs w:val="21"/>
        </w:rPr>
        <w:t xml:space="preserve"> </w:t>
      </w:r>
      <w:r>
        <w:rPr>
          <w:color w:val="000000"/>
          <w:szCs w:val="21"/>
        </w:rPr>
        <w:t>土建专业资料应重点抽查</w:t>
      </w:r>
      <w:r>
        <w:rPr>
          <w:rFonts w:hint="eastAsia"/>
          <w:color w:val="000000"/>
          <w:szCs w:val="21"/>
        </w:rPr>
        <w:t>下列</w:t>
      </w:r>
      <w:r>
        <w:rPr>
          <w:color w:val="000000"/>
          <w:szCs w:val="21"/>
        </w:rPr>
        <w:t>主要内容</w:t>
      </w:r>
      <w:r>
        <w:rPr>
          <w:rFonts w:hint="eastAsia"/>
          <w:color w:val="000000"/>
          <w:szCs w:val="21"/>
        </w:rPr>
        <w:t>：</w:t>
      </w:r>
    </w:p>
    <w:p w14:paraId="321CF845">
      <w:pPr>
        <w:spacing w:line="400" w:lineRule="exact"/>
        <w:ind w:firstLine="422" w:firstLineChars="200"/>
        <w:rPr>
          <w:color w:val="000000"/>
          <w:szCs w:val="21"/>
        </w:rPr>
      </w:pPr>
      <w:r>
        <w:rPr>
          <w:b/>
          <w:bCs/>
          <w:color w:val="000000"/>
          <w:szCs w:val="21"/>
        </w:rPr>
        <w:t>1</w:t>
      </w:r>
      <w:r>
        <w:rPr>
          <w:color w:val="000000"/>
          <w:szCs w:val="21"/>
        </w:rPr>
        <w:t xml:space="preserve">  室内装修工程所采用的天然花岗岩石材、瓷质砖的放射性限量，人造木板及其制品、水性涂料和腻子、溶剂型涂料及腻子、防水涂料、防火涂料、水性处理剂、胶粘剂、壁纸（布）、地毯</w:t>
      </w:r>
      <w:r>
        <w:rPr>
          <w:rFonts w:hint="eastAsia"/>
          <w:color w:val="000000"/>
          <w:szCs w:val="21"/>
        </w:rPr>
        <w:t>、</w:t>
      </w:r>
      <w:r>
        <w:rPr>
          <w:rFonts w:hint="eastAsia" w:ascii="宋体" w:hAnsi="宋体" w:cs="宋体"/>
          <w:bCs/>
          <w:color w:val="000000"/>
          <w:szCs w:val="21"/>
        </w:rPr>
        <w:t>橡胶类合成材料</w:t>
      </w:r>
      <w:r>
        <w:rPr>
          <w:color w:val="000000"/>
          <w:szCs w:val="21"/>
        </w:rPr>
        <w:t>等污染物释放量或含量的</w:t>
      </w:r>
      <w:r>
        <w:rPr>
          <w:rFonts w:hint="eastAsia"/>
          <w:color w:val="000000"/>
          <w:szCs w:val="21"/>
        </w:rPr>
        <w:t>进场</w:t>
      </w:r>
      <w:r>
        <w:rPr>
          <w:color w:val="000000"/>
          <w:szCs w:val="21"/>
        </w:rPr>
        <w:t>复验报告；</w:t>
      </w:r>
    </w:p>
    <w:p w14:paraId="68C81943">
      <w:pPr>
        <w:spacing w:line="400" w:lineRule="exact"/>
        <w:ind w:firstLine="422" w:firstLineChars="200"/>
        <w:rPr>
          <w:color w:val="000000"/>
          <w:szCs w:val="21"/>
        </w:rPr>
      </w:pPr>
      <w:r>
        <w:rPr>
          <w:b/>
          <w:bCs/>
          <w:color w:val="000000"/>
          <w:szCs w:val="21"/>
        </w:rPr>
        <w:t>2</w:t>
      </w:r>
      <w:r>
        <w:rPr>
          <w:color w:val="000000"/>
          <w:szCs w:val="21"/>
        </w:rPr>
        <w:t xml:space="preserve">  饰面型防火涂料、阻燃剂及现场阻燃处理的材料、B1、B2级材料的燃烧性能复验报告；</w:t>
      </w:r>
    </w:p>
    <w:p w14:paraId="738DD77D">
      <w:pPr>
        <w:spacing w:line="400" w:lineRule="exact"/>
        <w:ind w:firstLine="422" w:firstLineChars="200"/>
        <w:rPr>
          <w:color w:val="000000"/>
          <w:szCs w:val="21"/>
        </w:rPr>
      </w:pPr>
      <w:r>
        <w:rPr>
          <w:b/>
          <w:color w:val="000000"/>
          <w:szCs w:val="21"/>
        </w:rPr>
        <w:t>3</w:t>
      </w:r>
      <w:r>
        <w:rPr>
          <w:color w:val="000000"/>
          <w:szCs w:val="21"/>
        </w:rPr>
        <w:t xml:space="preserve">  </w:t>
      </w:r>
      <w:r>
        <w:rPr>
          <w:rFonts w:hint="eastAsia" w:ascii="宋体" w:hAnsi="宋体" w:cs="仿宋_GB2312"/>
          <w:color w:val="000000" w:themeColor="text1"/>
          <w:szCs w:val="21"/>
          <w14:textFill>
            <w14:solidFill>
              <w14:schemeClr w14:val="tx1"/>
            </w14:solidFill>
          </w14:textFill>
        </w:rPr>
        <w:t>防水材料的物理性能复验报告及室内防水材料的环保性能复验报告。基层、细部做法、防水层和保温层、保护层与隔离层等隐蔽工程验收记录和</w:t>
      </w:r>
      <w:r>
        <w:rPr>
          <w:rFonts w:ascii="宋体" w:hAnsi="宋体" w:cs="仿宋_GB2312"/>
          <w:color w:val="000000" w:themeColor="text1"/>
          <w:szCs w:val="21"/>
          <w14:textFill>
            <w14:solidFill>
              <w14:schemeClr w14:val="tx1"/>
            </w14:solidFill>
          </w14:textFill>
        </w:rPr>
        <w:t>影像</w:t>
      </w:r>
      <w:r>
        <w:rPr>
          <w:rFonts w:hint="eastAsia" w:ascii="宋体" w:hAnsi="宋体" w:cs="仿宋_GB2312"/>
          <w:color w:val="000000" w:themeColor="text1"/>
          <w:szCs w:val="21"/>
          <w14:textFill>
            <w14:solidFill>
              <w14:schemeClr w14:val="tx1"/>
            </w14:solidFill>
          </w14:textFill>
        </w:rPr>
        <w:t>资料。</w:t>
      </w:r>
      <w:r>
        <w:rPr>
          <w:rFonts w:hint="eastAsia" w:ascii="宋体" w:hAnsi="宋体" w:cs="仿宋_GB2312"/>
          <w:szCs w:val="21"/>
        </w:rPr>
        <w:t>防水工程试水检查记录，地下工程渗漏水检测记录；</w:t>
      </w:r>
    </w:p>
    <w:p w14:paraId="1C691CB8">
      <w:pPr>
        <w:spacing w:line="400" w:lineRule="exact"/>
        <w:ind w:firstLine="422" w:firstLineChars="200"/>
        <w:rPr>
          <w:color w:val="000000"/>
          <w:szCs w:val="21"/>
        </w:rPr>
      </w:pPr>
      <w:r>
        <w:rPr>
          <w:b/>
          <w:bCs/>
          <w:color w:val="000000"/>
          <w:szCs w:val="21"/>
        </w:rPr>
        <w:t>4</w:t>
      </w:r>
      <w:r>
        <w:rPr>
          <w:color w:val="000000"/>
          <w:szCs w:val="21"/>
        </w:rPr>
        <w:t xml:space="preserve">  建筑物沉降观测报告，建筑物垂直度、标高测量记录，大跨度钢网架、网壳挠度测量记录</w:t>
      </w:r>
      <w:r>
        <w:rPr>
          <w:rFonts w:hint="eastAsia"/>
          <w:color w:val="000000"/>
          <w:szCs w:val="21"/>
        </w:rPr>
        <w:t>，回填土试验报告；</w:t>
      </w:r>
    </w:p>
    <w:p w14:paraId="32C0A328">
      <w:pPr>
        <w:spacing w:line="400" w:lineRule="exact"/>
        <w:ind w:firstLine="422" w:firstLineChars="200"/>
        <w:rPr>
          <w:color w:val="000000"/>
          <w:szCs w:val="21"/>
        </w:rPr>
      </w:pPr>
      <w:r>
        <w:rPr>
          <w:b/>
          <w:bCs/>
          <w:color w:val="000000"/>
          <w:szCs w:val="21"/>
        </w:rPr>
        <w:t>5</w:t>
      </w:r>
      <w:r>
        <w:rPr>
          <w:color w:val="000000"/>
          <w:szCs w:val="21"/>
        </w:rPr>
        <w:t xml:space="preserve">  金属屋面系统抗风揭性能试验；</w:t>
      </w:r>
    </w:p>
    <w:p w14:paraId="3DE05FA7">
      <w:pPr>
        <w:spacing w:line="400" w:lineRule="exact"/>
        <w:ind w:firstLine="422" w:firstLineChars="200"/>
        <w:rPr>
          <w:color w:val="000000"/>
          <w:szCs w:val="21"/>
        </w:rPr>
      </w:pPr>
      <w:r>
        <w:rPr>
          <w:b/>
          <w:bCs/>
          <w:color w:val="000000"/>
          <w:szCs w:val="21"/>
        </w:rPr>
        <w:t xml:space="preserve">6  </w:t>
      </w:r>
      <w:r>
        <w:rPr>
          <w:color w:val="000000"/>
          <w:szCs w:val="21"/>
        </w:rPr>
        <w:t>建筑物外墙饰面砖粘结强度检验报告；</w:t>
      </w:r>
    </w:p>
    <w:p w14:paraId="759DA046">
      <w:pPr>
        <w:spacing w:line="400" w:lineRule="exact"/>
        <w:ind w:firstLine="422" w:firstLineChars="200"/>
        <w:rPr>
          <w:color w:val="000000"/>
          <w:szCs w:val="21"/>
        </w:rPr>
      </w:pPr>
      <w:r>
        <w:rPr>
          <w:b/>
          <w:bCs/>
          <w:color w:val="000000"/>
          <w:szCs w:val="21"/>
        </w:rPr>
        <w:t xml:space="preserve">7  </w:t>
      </w:r>
      <w:r>
        <w:rPr>
          <w:color w:val="000000"/>
          <w:szCs w:val="21"/>
        </w:rPr>
        <w:t>后置埋件和槽式预埋件现场承载力检验报告；</w:t>
      </w:r>
    </w:p>
    <w:p w14:paraId="401B02F9">
      <w:pPr>
        <w:spacing w:line="400" w:lineRule="exact"/>
        <w:ind w:firstLine="422" w:firstLineChars="200"/>
        <w:rPr>
          <w:color w:val="000000"/>
          <w:szCs w:val="21"/>
        </w:rPr>
      </w:pPr>
      <w:r>
        <w:rPr>
          <w:b/>
          <w:bCs/>
          <w:color w:val="000000"/>
          <w:szCs w:val="21"/>
        </w:rPr>
        <w:t xml:space="preserve">8  </w:t>
      </w:r>
      <w:r>
        <w:rPr>
          <w:color w:val="000000"/>
          <w:szCs w:val="21"/>
        </w:rPr>
        <w:t>外窗气密性能、水密性能、抗风压性能、传热系数的复验报告，</w:t>
      </w:r>
      <w:r>
        <w:rPr>
          <w:rFonts w:hint="eastAsia"/>
          <w:color w:val="000000"/>
          <w:szCs w:val="21"/>
        </w:rPr>
        <w:t>透光、部分透光遮阳材料的太阳光透射比、太阳光反射比、中空玻璃的密封性能</w:t>
      </w:r>
      <w:r>
        <w:rPr>
          <w:color w:val="000000"/>
          <w:szCs w:val="21"/>
        </w:rPr>
        <w:t>复验报告，外窗淋水</w:t>
      </w:r>
      <w:r>
        <w:rPr>
          <w:rFonts w:hint="eastAsia"/>
          <w:color w:val="000000"/>
          <w:szCs w:val="21"/>
        </w:rPr>
        <w:t>试验记录</w:t>
      </w:r>
      <w:r>
        <w:rPr>
          <w:color w:val="000000"/>
          <w:szCs w:val="21"/>
        </w:rPr>
        <w:t>，外窗气密性能、水密性能现场实体检验报告；</w:t>
      </w:r>
    </w:p>
    <w:p w14:paraId="4C0340BF">
      <w:pPr>
        <w:spacing w:line="400" w:lineRule="exact"/>
        <w:ind w:firstLine="422" w:firstLineChars="200"/>
        <w:rPr>
          <w:color w:val="000000"/>
          <w:szCs w:val="21"/>
        </w:rPr>
      </w:pPr>
      <w:r>
        <w:rPr>
          <w:b/>
          <w:bCs/>
          <w:color w:val="000000"/>
          <w:szCs w:val="21"/>
        </w:rPr>
        <w:t xml:space="preserve">9  </w:t>
      </w:r>
      <w:r>
        <w:rPr>
          <w:color w:val="000000"/>
          <w:szCs w:val="21"/>
        </w:rPr>
        <w:t>幕墙工程施工图、计算书、专项施工方案，幕墙玻璃的可见光透射比、传热系数、遮阳系数、中空玻璃密封性能复验报告，透光、半透光遮阳材料的太阳光透射比、太阳光反射比复验报告，铝塑复合板的玻璃强度复验报告，石材、瓷板等抗弯强度、抗冻性复验报告，硅酮结构胶的邵氏硬度、标准条件拉伸粘结强度、相容性和剥离粘结性检验报告，石材用密封胶耐污染性检验报告，幕墙气密性能、水密性能、抗风压性能、层间变形性能及设计要求的其他性能检验报告，幕墙注胶和幕墙淋水等施工记录；</w:t>
      </w:r>
    </w:p>
    <w:p w14:paraId="355EB843">
      <w:pPr>
        <w:spacing w:line="400" w:lineRule="exact"/>
        <w:ind w:firstLine="422" w:firstLineChars="200"/>
        <w:rPr>
          <w:color w:val="000000"/>
          <w:szCs w:val="21"/>
        </w:rPr>
      </w:pPr>
      <w:r>
        <w:rPr>
          <w:b/>
          <w:bCs/>
          <w:color w:val="000000"/>
          <w:szCs w:val="21"/>
        </w:rPr>
        <w:t xml:space="preserve">10  </w:t>
      </w:r>
      <w:r>
        <w:rPr>
          <w:color w:val="000000"/>
          <w:szCs w:val="21"/>
        </w:rPr>
        <w:t>节能工程所用保温隔热材料的导热系数或热阻、密度、吸水率和燃烧性能（不燃材料除外）复验报告；外墙保温板与基层的现场粘结强度试验报告，锚固件锚固力现场拉拔试验报告，墙体保温砂浆的强度试验报告，外墙节能构造现场实体检验报告</w:t>
      </w:r>
      <w:r>
        <w:rPr>
          <w:rFonts w:hint="eastAsia"/>
          <w:color w:val="000000"/>
          <w:szCs w:val="21"/>
        </w:rPr>
        <w:t>；</w:t>
      </w:r>
    </w:p>
    <w:p w14:paraId="219261C7">
      <w:pPr>
        <w:spacing w:line="400" w:lineRule="exact"/>
        <w:ind w:firstLine="422" w:firstLineChars="200"/>
        <w:rPr>
          <w:color w:val="000000"/>
          <w:szCs w:val="21"/>
        </w:rPr>
      </w:pPr>
      <w:r>
        <w:rPr>
          <w:rFonts w:hint="eastAsia"/>
          <w:b/>
          <w:bCs/>
          <w:color w:val="000000"/>
          <w:szCs w:val="21"/>
        </w:rPr>
        <w:t xml:space="preserve">11 </w:t>
      </w:r>
      <w:r>
        <w:rPr>
          <w:rFonts w:hint="eastAsia"/>
          <w:color w:val="000000"/>
          <w:szCs w:val="21"/>
        </w:rPr>
        <w:t xml:space="preserve"> 装配式装修工程有隔音、隔热、阻燃等要求的部品合格证、性能检测报告及复验报告，整体防水底盘外观、耐渗水性、耐污染性、耐沙袋冲击、耐落球冲击、耐热水性复验报告，部品成品与主体结构或内装部品成品之间连接的隐蔽工程验收记录，卫生间地面的二次蓄水试验记录；</w:t>
      </w:r>
    </w:p>
    <w:p w14:paraId="7F49A964">
      <w:pPr>
        <w:spacing w:line="400" w:lineRule="exact"/>
        <w:ind w:firstLine="422" w:firstLineChars="200"/>
        <w:rPr>
          <w:color w:val="000000"/>
          <w:szCs w:val="21"/>
        </w:rPr>
      </w:pPr>
      <w:r>
        <w:rPr>
          <w:rFonts w:hint="eastAsia"/>
          <w:b/>
          <w:bCs/>
          <w:color w:val="000000"/>
          <w:szCs w:val="21"/>
        </w:rPr>
        <w:t>12</w:t>
      </w:r>
      <w:r>
        <w:rPr>
          <w:rFonts w:hint="eastAsia"/>
          <w:color w:val="000000"/>
          <w:szCs w:val="21"/>
        </w:rPr>
        <w:t xml:space="preserve">  改造工程原有房屋结构综合安全性鉴定报告，改造（加固）工程使用的钢材及焊接材料、纤维和纤维复合材料、胶粘剂等材料的合格证及复试报告，改造（加固）工艺的现场强度试验报告。</w:t>
      </w:r>
    </w:p>
    <w:p w14:paraId="648893BB">
      <w:pPr>
        <w:spacing w:line="400" w:lineRule="exact"/>
        <w:rPr>
          <w:color w:val="000000"/>
          <w:szCs w:val="21"/>
        </w:rPr>
      </w:pPr>
      <w:r>
        <w:rPr>
          <w:b/>
          <w:color w:val="000000"/>
          <w:szCs w:val="21"/>
        </w:rPr>
        <w:t>4.0.</w:t>
      </w:r>
      <w:r>
        <w:rPr>
          <w:rFonts w:hint="eastAsia"/>
          <w:b/>
          <w:color w:val="000000"/>
          <w:szCs w:val="21"/>
        </w:rPr>
        <w:t>8</w:t>
      </w:r>
      <w:r>
        <w:rPr>
          <w:rFonts w:hint="eastAsia"/>
          <w:color w:val="000000"/>
          <w:szCs w:val="21"/>
        </w:rPr>
        <w:t xml:space="preserve">  </w:t>
      </w:r>
      <w:r>
        <w:rPr>
          <w:color w:val="000000"/>
          <w:szCs w:val="21"/>
        </w:rPr>
        <w:t>建筑电气设备安装工程资料应重点抽查</w:t>
      </w:r>
      <w:r>
        <w:rPr>
          <w:rFonts w:hint="eastAsia"/>
          <w:color w:val="000000"/>
          <w:szCs w:val="21"/>
        </w:rPr>
        <w:t>下列</w:t>
      </w:r>
      <w:r>
        <w:rPr>
          <w:color w:val="000000"/>
          <w:szCs w:val="21"/>
        </w:rPr>
        <w:t>主要内容</w:t>
      </w:r>
      <w:r>
        <w:rPr>
          <w:rFonts w:hint="eastAsia"/>
          <w:color w:val="000000"/>
          <w:szCs w:val="21"/>
        </w:rPr>
        <w:t>：</w:t>
      </w:r>
    </w:p>
    <w:p w14:paraId="283F8706">
      <w:pPr>
        <w:spacing w:line="400" w:lineRule="exact"/>
        <w:ind w:firstLine="422" w:firstLineChars="200"/>
        <w:rPr>
          <w:color w:val="000000"/>
          <w:szCs w:val="21"/>
        </w:rPr>
      </w:pPr>
      <w:bookmarkStart w:id="301" w:name="_Toc19092_WPSOffice_Level2"/>
      <w:r>
        <w:rPr>
          <w:b/>
          <w:color w:val="000000"/>
          <w:szCs w:val="21"/>
        </w:rPr>
        <w:t>1</w:t>
      </w:r>
      <w:r>
        <w:rPr>
          <w:color w:val="000000"/>
          <w:szCs w:val="21"/>
        </w:rPr>
        <w:t xml:space="preserve">  按设计要求的接地电阻测试记录；</w:t>
      </w:r>
      <w:bookmarkEnd w:id="301"/>
    </w:p>
    <w:p w14:paraId="287F6BDF">
      <w:pPr>
        <w:spacing w:line="400" w:lineRule="exact"/>
        <w:ind w:firstLine="422" w:firstLineChars="200"/>
        <w:rPr>
          <w:color w:val="000000"/>
          <w:szCs w:val="21"/>
        </w:rPr>
      </w:pPr>
      <w:bookmarkStart w:id="302" w:name="_Toc18788_WPSOffice_Level2"/>
      <w:r>
        <w:rPr>
          <w:b/>
          <w:color w:val="000000"/>
          <w:szCs w:val="21"/>
        </w:rPr>
        <w:t xml:space="preserve">2 </w:t>
      </w:r>
      <w:r>
        <w:rPr>
          <w:color w:val="000000"/>
          <w:szCs w:val="21"/>
        </w:rPr>
        <w:t xml:space="preserve"> 高压电气设备和布线系统及继电保护系统的交接试验记录；</w:t>
      </w:r>
      <w:bookmarkEnd w:id="302"/>
    </w:p>
    <w:p w14:paraId="22D1E67E">
      <w:pPr>
        <w:spacing w:line="400" w:lineRule="exact"/>
        <w:ind w:firstLine="422" w:firstLineChars="200"/>
        <w:rPr>
          <w:color w:val="000000"/>
          <w:szCs w:val="21"/>
        </w:rPr>
      </w:pPr>
      <w:bookmarkStart w:id="303" w:name="_Toc26919_WPSOffice_Level2"/>
      <w:r>
        <w:rPr>
          <w:b/>
          <w:color w:val="000000"/>
          <w:szCs w:val="21"/>
        </w:rPr>
        <w:t>3</w:t>
      </w:r>
      <w:r>
        <w:rPr>
          <w:color w:val="000000"/>
          <w:szCs w:val="21"/>
        </w:rPr>
        <w:t xml:space="preserve">  电气设备的空载试运行或负载试运行记录；</w:t>
      </w:r>
      <w:bookmarkEnd w:id="303"/>
    </w:p>
    <w:p w14:paraId="1038A185">
      <w:pPr>
        <w:spacing w:line="400" w:lineRule="exact"/>
        <w:ind w:firstLine="422" w:firstLineChars="200"/>
        <w:rPr>
          <w:color w:val="000000"/>
          <w:szCs w:val="21"/>
        </w:rPr>
      </w:pPr>
      <w:bookmarkStart w:id="304" w:name="_Toc22712_WPSOffice_Level2"/>
      <w:r>
        <w:rPr>
          <w:b/>
          <w:color w:val="000000"/>
          <w:szCs w:val="21"/>
        </w:rPr>
        <w:t xml:space="preserve">4 </w:t>
      </w:r>
      <w:r>
        <w:rPr>
          <w:color w:val="000000"/>
          <w:szCs w:val="21"/>
        </w:rPr>
        <w:t xml:space="preserve"> 建筑照明通电试运行记录并按规范要求测试和记录照明系统的照度和功率密度值；</w:t>
      </w:r>
      <w:bookmarkEnd w:id="304"/>
    </w:p>
    <w:p w14:paraId="38323E3F">
      <w:pPr>
        <w:spacing w:line="400" w:lineRule="exact"/>
        <w:ind w:firstLine="422" w:firstLineChars="200"/>
        <w:rPr>
          <w:color w:val="000000"/>
          <w:szCs w:val="21"/>
        </w:rPr>
      </w:pPr>
      <w:bookmarkStart w:id="305" w:name="_Toc29479_WPSOffice_Level2"/>
      <w:r>
        <w:rPr>
          <w:b/>
          <w:color w:val="000000"/>
          <w:szCs w:val="21"/>
        </w:rPr>
        <w:t xml:space="preserve">5 </w:t>
      </w:r>
      <w:r>
        <w:rPr>
          <w:color w:val="000000"/>
          <w:szCs w:val="21"/>
        </w:rPr>
        <w:t xml:space="preserve"> 主要电气设备和线缆及其</w:t>
      </w:r>
      <w:r>
        <w:rPr>
          <w:rFonts w:hint="eastAsia"/>
          <w:color w:val="000000"/>
          <w:szCs w:val="21"/>
        </w:rPr>
        <w:t>他</w:t>
      </w:r>
      <w:r>
        <w:rPr>
          <w:color w:val="000000"/>
          <w:szCs w:val="21"/>
        </w:rPr>
        <w:t>必须摇测绝缘电阻的绝缘电阻摇测记录；</w:t>
      </w:r>
      <w:bookmarkEnd w:id="305"/>
    </w:p>
    <w:p w14:paraId="08BB4EE1">
      <w:pPr>
        <w:spacing w:line="400" w:lineRule="exact"/>
        <w:ind w:firstLine="422" w:firstLineChars="200"/>
        <w:rPr>
          <w:color w:val="000000"/>
          <w:szCs w:val="21"/>
        </w:rPr>
      </w:pPr>
      <w:bookmarkStart w:id="306" w:name="_Toc10083_WPSOffice_Level2"/>
      <w:r>
        <w:rPr>
          <w:b/>
          <w:color w:val="000000"/>
          <w:szCs w:val="21"/>
        </w:rPr>
        <w:t>6</w:t>
      </w:r>
      <w:r>
        <w:rPr>
          <w:color w:val="000000"/>
          <w:szCs w:val="21"/>
        </w:rPr>
        <w:t xml:space="preserve">  剩余电流动作保护器模拟测试记录；</w:t>
      </w:r>
      <w:bookmarkEnd w:id="306"/>
    </w:p>
    <w:p w14:paraId="045D5358">
      <w:pPr>
        <w:spacing w:line="400" w:lineRule="exact"/>
        <w:ind w:firstLine="422" w:firstLineChars="200"/>
        <w:rPr>
          <w:color w:val="000000"/>
          <w:szCs w:val="21"/>
        </w:rPr>
      </w:pPr>
      <w:bookmarkStart w:id="307" w:name="_Toc841_WPSOffice_Level2"/>
      <w:r>
        <w:rPr>
          <w:b/>
          <w:color w:val="000000"/>
          <w:szCs w:val="21"/>
        </w:rPr>
        <w:t>7</w:t>
      </w:r>
      <w:r>
        <w:rPr>
          <w:color w:val="000000"/>
          <w:szCs w:val="21"/>
        </w:rPr>
        <w:t xml:space="preserve">  防雷接闪带固定支架的垂直拉力试验记录；</w:t>
      </w:r>
      <w:bookmarkEnd w:id="307"/>
    </w:p>
    <w:p w14:paraId="1AAA1CFF">
      <w:pPr>
        <w:spacing w:line="400" w:lineRule="exact"/>
        <w:ind w:firstLine="422" w:firstLineChars="200"/>
        <w:rPr>
          <w:color w:val="000000"/>
          <w:szCs w:val="21"/>
        </w:rPr>
      </w:pPr>
      <w:bookmarkStart w:id="308" w:name="_Toc15415_WPSOffice_Level2"/>
      <w:r>
        <w:rPr>
          <w:b/>
          <w:color w:val="000000"/>
          <w:szCs w:val="21"/>
        </w:rPr>
        <w:t xml:space="preserve">8 </w:t>
      </w:r>
      <w:r>
        <w:rPr>
          <w:color w:val="000000"/>
          <w:szCs w:val="21"/>
        </w:rPr>
        <w:t xml:space="preserve"> 规范规定需测试的导线或母线连接点的测温记录；</w:t>
      </w:r>
      <w:bookmarkEnd w:id="308"/>
    </w:p>
    <w:p w14:paraId="24E7ED40">
      <w:pPr>
        <w:spacing w:line="400" w:lineRule="exact"/>
        <w:ind w:firstLine="422" w:firstLineChars="200"/>
        <w:rPr>
          <w:color w:val="000000"/>
          <w:szCs w:val="21"/>
        </w:rPr>
      </w:pPr>
      <w:bookmarkStart w:id="309" w:name="_Toc18495_WPSOffice_Level2"/>
      <w:r>
        <w:rPr>
          <w:b/>
          <w:color w:val="000000"/>
          <w:szCs w:val="21"/>
        </w:rPr>
        <w:t>9</w:t>
      </w:r>
      <w:r>
        <w:rPr>
          <w:color w:val="000000"/>
          <w:szCs w:val="21"/>
        </w:rPr>
        <w:t xml:space="preserve">  质量大于10 kg的大型灯具固定装置强度试验记录；</w:t>
      </w:r>
      <w:bookmarkEnd w:id="309"/>
    </w:p>
    <w:p w14:paraId="210B1B6F">
      <w:pPr>
        <w:spacing w:line="400" w:lineRule="exact"/>
        <w:ind w:firstLine="422" w:firstLineChars="200"/>
        <w:rPr>
          <w:color w:val="000000"/>
          <w:szCs w:val="21"/>
        </w:rPr>
      </w:pPr>
      <w:bookmarkStart w:id="310" w:name="_Toc27040_WPSOffice_Level2"/>
      <w:r>
        <w:rPr>
          <w:b/>
          <w:color w:val="000000"/>
          <w:szCs w:val="21"/>
        </w:rPr>
        <w:t>10</w:t>
      </w:r>
      <w:r>
        <w:rPr>
          <w:color w:val="000000"/>
          <w:szCs w:val="21"/>
        </w:rPr>
        <w:t xml:space="preserve"> 等电位连接导通性能测试记录；</w:t>
      </w:r>
      <w:bookmarkEnd w:id="310"/>
    </w:p>
    <w:p w14:paraId="3C55885B">
      <w:pPr>
        <w:spacing w:line="400" w:lineRule="exact"/>
        <w:ind w:firstLine="422" w:firstLineChars="200"/>
        <w:rPr>
          <w:color w:val="000000"/>
          <w:szCs w:val="21"/>
        </w:rPr>
      </w:pPr>
      <w:bookmarkStart w:id="311" w:name="_Toc14141_WPSOffice_Level2"/>
      <w:r>
        <w:rPr>
          <w:b/>
          <w:color w:val="000000"/>
          <w:szCs w:val="21"/>
        </w:rPr>
        <w:t>11</w:t>
      </w:r>
      <w:r>
        <w:rPr>
          <w:color w:val="000000"/>
          <w:szCs w:val="21"/>
        </w:rPr>
        <w:t xml:space="preserve"> 柴油发电机交接试验记录、试运行记录；</w:t>
      </w:r>
      <w:bookmarkEnd w:id="311"/>
    </w:p>
    <w:p w14:paraId="47E55A5A">
      <w:pPr>
        <w:spacing w:line="400" w:lineRule="exact"/>
        <w:ind w:firstLine="422" w:firstLineChars="200"/>
        <w:rPr>
          <w:color w:val="000000"/>
          <w:szCs w:val="21"/>
        </w:rPr>
      </w:pPr>
      <w:r>
        <w:rPr>
          <w:b/>
          <w:color w:val="000000"/>
          <w:szCs w:val="21"/>
        </w:rPr>
        <w:t>12</w:t>
      </w:r>
      <w:r>
        <w:rPr>
          <w:color w:val="000000"/>
          <w:szCs w:val="21"/>
        </w:rPr>
        <w:t>智能建筑各系统的自检记录、测试记录、调试记录及试运行记录；</w:t>
      </w:r>
    </w:p>
    <w:p w14:paraId="178BED24">
      <w:pPr>
        <w:spacing w:line="400" w:lineRule="exact"/>
        <w:ind w:firstLine="422" w:firstLineChars="200"/>
        <w:rPr>
          <w:color w:val="000000"/>
          <w:szCs w:val="21"/>
        </w:rPr>
      </w:pPr>
      <w:r>
        <w:rPr>
          <w:b/>
          <w:color w:val="000000"/>
          <w:szCs w:val="21"/>
        </w:rPr>
        <w:t>13</w:t>
      </w:r>
      <w:r>
        <w:rPr>
          <w:color w:val="000000"/>
          <w:szCs w:val="21"/>
        </w:rPr>
        <w:t xml:space="preserve"> 消防火灾自动报警及消防联动系统的调试记录和试运行记录；</w:t>
      </w:r>
    </w:p>
    <w:p w14:paraId="01FDF8F6">
      <w:pPr>
        <w:spacing w:line="400" w:lineRule="exact"/>
        <w:ind w:firstLine="422" w:firstLineChars="200"/>
        <w:rPr>
          <w:color w:val="000000"/>
          <w:szCs w:val="21"/>
        </w:rPr>
      </w:pPr>
      <w:r>
        <w:rPr>
          <w:b/>
          <w:color w:val="000000"/>
          <w:szCs w:val="21"/>
        </w:rPr>
        <w:t>14</w:t>
      </w:r>
      <w:r>
        <w:rPr>
          <w:color w:val="000000"/>
          <w:szCs w:val="21"/>
        </w:rPr>
        <w:t xml:space="preserve"> 逆变应急电源的测试试验记录；</w:t>
      </w:r>
    </w:p>
    <w:p w14:paraId="771326B3">
      <w:pPr>
        <w:spacing w:line="400" w:lineRule="exact"/>
        <w:ind w:firstLine="422" w:firstLineChars="200"/>
        <w:rPr>
          <w:color w:val="000000"/>
          <w:szCs w:val="21"/>
        </w:rPr>
      </w:pPr>
      <w:r>
        <w:rPr>
          <w:b/>
          <w:bCs/>
          <w:color w:val="000000"/>
          <w:szCs w:val="21"/>
        </w:rPr>
        <w:t>15</w:t>
      </w:r>
      <w:r>
        <w:rPr>
          <w:color w:val="000000"/>
          <w:szCs w:val="21"/>
        </w:rPr>
        <w:t xml:space="preserve"> 低压配电系统调试合格后的低压配电电源质量检测记录；</w:t>
      </w:r>
    </w:p>
    <w:p w14:paraId="7260CAAE">
      <w:pPr>
        <w:spacing w:line="400" w:lineRule="exact"/>
        <w:ind w:firstLine="422" w:firstLineChars="200"/>
        <w:rPr>
          <w:color w:val="000000"/>
          <w:szCs w:val="21"/>
        </w:rPr>
      </w:pPr>
      <w:r>
        <w:rPr>
          <w:b/>
          <w:bCs/>
          <w:color w:val="000000"/>
          <w:szCs w:val="21"/>
        </w:rPr>
        <w:t>16</w:t>
      </w:r>
      <w:r>
        <w:rPr>
          <w:color w:val="000000"/>
          <w:szCs w:val="21"/>
        </w:rPr>
        <w:t xml:space="preserve"> 电梯产品质量合格证、安装及维护使用保养说明、规范规定应有的安全部件型式认证复印件，施工中的各项安装记录，</w:t>
      </w:r>
      <w:r>
        <w:rPr>
          <w:rFonts w:hint="eastAsia" w:ascii="宋体" w:hAnsi="宋体" w:cs="宋体"/>
          <w:bCs/>
          <w:color w:val="000000"/>
          <w:szCs w:val="21"/>
        </w:rPr>
        <w:t>电梯安装验收报告及质量技术监督部门出具的年度检验合格证</w:t>
      </w:r>
      <w:r>
        <w:rPr>
          <w:rFonts w:hint="eastAsia"/>
          <w:color w:val="000000"/>
          <w:szCs w:val="21"/>
        </w:rPr>
        <w:t>。</w:t>
      </w:r>
    </w:p>
    <w:p w14:paraId="5F849E80">
      <w:pPr>
        <w:spacing w:line="400" w:lineRule="exact"/>
        <w:rPr>
          <w:color w:val="000000"/>
          <w:szCs w:val="21"/>
        </w:rPr>
      </w:pPr>
      <w:r>
        <w:rPr>
          <w:b/>
          <w:color w:val="000000"/>
          <w:szCs w:val="21"/>
        </w:rPr>
        <w:t>4.0.</w:t>
      </w:r>
      <w:r>
        <w:rPr>
          <w:rFonts w:hint="eastAsia"/>
          <w:b/>
          <w:color w:val="000000"/>
          <w:szCs w:val="21"/>
        </w:rPr>
        <w:t xml:space="preserve">9 </w:t>
      </w:r>
      <w:r>
        <w:rPr>
          <w:color w:val="000000"/>
          <w:szCs w:val="21"/>
        </w:rPr>
        <w:t xml:space="preserve"> 建筑设备安装工程资料应重点抽查</w:t>
      </w:r>
      <w:r>
        <w:rPr>
          <w:rFonts w:hint="eastAsia"/>
          <w:color w:val="000000"/>
          <w:szCs w:val="21"/>
        </w:rPr>
        <w:t>下列</w:t>
      </w:r>
      <w:r>
        <w:rPr>
          <w:color w:val="000000"/>
          <w:szCs w:val="21"/>
        </w:rPr>
        <w:t>主要内容</w:t>
      </w:r>
      <w:r>
        <w:rPr>
          <w:rFonts w:hint="eastAsia"/>
          <w:color w:val="000000"/>
          <w:szCs w:val="21"/>
        </w:rPr>
        <w:t>：</w:t>
      </w:r>
    </w:p>
    <w:p w14:paraId="15364243">
      <w:pPr>
        <w:spacing w:line="400" w:lineRule="exact"/>
        <w:ind w:firstLine="422" w:firstLineChars="200"/>
        <w:rPr>
          <w:color w:val="000000"/>
          <w:szCs w:val="21"/>
        </w:rPr>
      </w:pPr>
      <w:r>
        <w:rPr>
          <w:b/>
          <w:color w:val="000000"/>
          <w:szCs w:val="21"/>
        </w:rPr>
        <w:t>1</w:t>
      </w:r>
      <w:r>
        <w:rPr>
          <w:color w:val="000000"/>
          <w:szCs w:val="21"/>
        </w:rPr>
        <w:t xml:space="preserve">  给</w:t>
      </w:r>
      <w:r>
        <w:rPr>
          <w:rFonts w:hint="eastAsia"/>
          <w:color w:val="000000"/>
          <w:szCs w:val="21"/>
        </w:rPr>
        <w:t>水、</w:t>
      </w:r>
      <w:r>
        <w:rPr>
          <w:color w:val="000000"/>
          <w:szCs w:val="21"/>
        </w:rPr>
        <w:t>排水、供暖工程、通风空调工程中的各类水泵、风机、冷水机组、冷却塔、空调机组、新风机组等设备的单机试运转记录；</w:t>
      </w:r>
    </w:p>
    <w:p w14:paraId="0A8E32D1">
      <w:pPr>
        <w:spacing w:line="400" w:lineRule="exact"/>
        <w:ind w:firstLine="422" w:firstLineChars="200"/>
        <w:rPr>
          <w:b/>
          <w:color w:val="000000"/>
          <w:szCs w:val="21"/>
        </w:rPr>
      </w:pPr>
      <w:r>
        <w:rPr>
          <w:b/>
          <w:color w:val="000000"/>
          <w:szCs w:val="21"/>
        </w:rPr>
        <w:t>2</w:t>
      </w:r>
      <w:r>
        <w:rPr>
          <w:color w:val="000000"/>
          <w:szCs w:val="21"/>
        </w:rPr>
        <w:t xml:space="preserve">  供暖系统、消防系统、通风空调系统等系统试运转及调试记录；</w:t>
      </w:r>
    </w:p>
    <w:p w14:paraId="5B44EA85">
      <w:pPr>
        <w:spacing w:line="400" w:lineRule="exact"/>
        <w:ind w:firstLine="422" w:firstLineChars="200"/>
        <w:rPr>
          <w:color w:val="000000"/>
          <w:szCs w:val="21"/>
        </w:rPr>
      </w:pPr>
      <w:r>
        <w:rPr>
          <w:b/>
          <w:color w:val="000000"/>
          <w:szCs w:val="21"/>
        </w:rPr>
        <w:t xml:space="preserve">3  </w:t>
      </w:r>
      <w:r>
        <w:rPr>
          <w:color w:val="000000"/>
          <w:szCs w:val="21"/>
        </w:rPr>
        <w:t>非承压管道、设备，包括开式水箱、</w:t>
      </w:r>
      <w:r>
        <w:rPr>
          <w:rFonts w:hint="eastAsia"/>
          <w:color w:val="000000"/>
          <w:szCs w:val="21"/>
        </w:rPr>
        <w:t>具有溢流功能的卫生器具</w:t>
      </w:r>
      <w:r>
        <w:rPr>
          <w:color w:val="000000"/>
          <w:szCs w:val="21"/>
        </w:rPr>
        <w:t>、安装在室内的雨水管道等，以及暗装、埋地、有绝热层的排水管道</w:t>
      </w:r>
      <w:r>
        <w:rPr>
          <w:rFonts w:hint="eastAsia"/>
          <w:color w:val="000000"/>
          <w:szCs w:val="21"/>
        </w:rPr>
        <w:t>、</w:t>
      </w:r>
      <w:r>
        <w:rPr>
          <w:color w:val="000000"/>
          <w:szCs w:val="21"/>
        </w:rPr>
        <w:t>应有灌（满）水试验记录</w:t>
      </w:r>
      <w:r>
        <w:rPr>
          <w:rFonts w:hint="eastAsia"/>
          <w:color w:val="000000"/>
          <w:szCs w:val="21"/>
        </w:rPr>
        <w:t>；</w:t>
      </w:r>
    </w:p>
    <w:p w14:paraId="1F01C965">
      <w:pPr>
        <w:spacing w:line="400" w:lineRule="exact"/>
        <w:ind w:firstLine="422" w:firstLineChars="200"/>
        <w:rPr>
          <w:color w:val="000000"/>
          <w:szCs w:val="21"/>
        </w:rPr>
      </w:pPr>
      <w:r>
        <w:rPr>
          <w:b/>
          <w:color w:val="000000"/>
          <w:szCs w:val="21"/>
        </w:rPr>
        <w:t xml:space="preserve">4 </w:t>
      </w:r>
      <w:r>
        <w:rPr>
          <w:color w:val="000000"/>
          <w:szCs w:val="21"/>
        </w:rPr>
        <w:t xml:space="preserve"> 承压管道、设备强度试验记录；自动喷水灭火系统、气体灭火系统管道严密性试验及相关性能的检测、试验记录；</w:t>
      </w:r>
    </w:p>
    <w:p w14:paraId="3C3EE42A">
      <w:pPr>
        <w:spacing w:line="400" w:lineRule="exact"/>
        <w:ind w:firstLine="422" w:firstLineChars="200"/>
        <w:rPr>
          <w:color w:val="000000"/>
          <w:szCs w:val="21"/>
        </w:rPr>
      </w:pPr>
      <w:r>
        <w:rPr>
          <w:b/>
          <w:color w:val="000000"/>
          <w:szCs w:val="21"/>
        </w:rPr>
        <w:t>5</w:t>
      </w:r>
      <w:r>
        <w:rPr>
          <w:color w:val="000000"/>
          <w:szCs w:val="21"/>
        </w:rPr>
        <w:t xml:space="preserve">  给</w:t>
      </w:r>
      <w:r>
        <w:rPr>
          <w:rFonts w:hint="eastAsia"/>
          <w:color w:val="000000"/>
          <w:szCs w:val="21"/>
        </w:rPr>
        <w:t>水、</w:t>
      </w:r>
      <w:r>
        <w:rPr>
          <w:color w:val="000000"/>
          <w:szCs w:val="21"/>
        </w:rPr>
        <w:t>排水系统及游泳池水系统通水试验记录；</w:t>
      </w:r>
    </w:p>
    <w:p w14:paraId="2620287B">
      <w:pPr>
        <w:spacing w:line="400" w:lineRule="exact"/>
        <w:ind w:firstLine="422" w:firstLineChars="200"/>
        <w:rPr>
          <w:color w:val="000000"/>
          <w:szCs w:val="21"/>
        </w:rPr>
      </w:pPr>
      <w:r>
        <w:rPr>
          <w:b/>
          <w:color w:val="000000"/>
          <w:szCs w:val="21"/>
        </w:rPr>
        <w:t>6</w:t>
      </w:r>
      <w:r>
        <w:rPr>
          <w:color w:val="000000"/>
          <w:szCs w:val="21"/>
        </w:rPr>
        <w:t xml:space="preserve">  给水系统、</w:t>
      </w:r>
      <w:r>
        <w:rPr>
          <w:rFonts w:hint="eastAsia"/>
          <w:color w:val="000000"/>
          <w:szCs w:val="21"/>
        </w:rPr>
        <w:t>消防水系统、供暖系统</w:t>
      </w:r>
      <w:r>
        <w:rPr>
          <w:color w:val="000000"/>
          <w:szCs w:val="21"/>
        </w:rPr>
        <w:t>、空调水系统等及设计有要求的管道冲洗试验记录；介质为气体的管道系统吹洗试验记录；</w:t>
      </w:r>
    </w:p>
    <w:p w14:paraId="724F6666">
      <w:pPr>
        <w:pStyle w:val="2"/>
        <w:ind w:left="134" w:firstLine="285"/>
        <w:rPr>
          <w:color w:val="000000"/>
        </w:rPr>
      </w:pPr>
      <w:r>
        <w:rPr>
          <w:b/>
          <w:bCs/>
          <w:color w:val="000000"/>
        </w:rPr>
        <w:t>7</w:t>
      </w:r>
      <w:r>
        <w:rPr>
          <w:rFonts w:hint="eastAsia"/>
          <w:color w:val="000000"/>
        </w:rPr>
        <w:t xml:space="preserve"> </w:t>
      </w:r>
      <w:r>
        <w:rPr>
          <w:color w:val="000000"/>
        </w:rPr>
        <w:t xml:space="preserve"> </w:t>
      </w:r>
      <w:r>
        <w:rPr>
          <w:rFonts w:hint="eastAsia"/>
          <w:color w:val="000000"/>
        </w:rPr>
        <w:t>给水系统消毒记录；</w:t>
      </w:r>
    </w:p>
    <w:p w14:paraId="34AA16A8">
      <w:pPr>
        <w:spacing w:line="400" w:lineRule="exact"/>
        <w:ind w:firstLine="422" w:firstLineChars="200"/>
        <w:rPr>
          <w:color w:val="000000"/>
          <w:szCs w:val="21"/>
        </w:rPr>
      </w:pPr>
      <w:r>
        <w:rPr>
          <w:b/>
          <w:bCs/>
          <w:color w:val="000000"/>
        </w:rPr>
        <w:t>8</w:t>
      </w:r>
      <w:r>
        <w:rPr>
          <w:color w:val="000000"/>
          <w:szCs w:val="21"/>
        </w:rPr>
        <w:t xml:space="preserve">  排水水平干管、主立管通球试验记录；</w:t>
      </w:r>
    </w:p>
    <w:p w14:paraId="36F62E44">
      <w:pPr>
        <w:spacing w:line="400" w:lineRule="exact"/>
        <w:ind w:firstLine="422" w:firstLineChars="200"/>
        <w:rPr>
          <w:color w:val="000000"/>
          <w:szCs w:val="21"/>
        </w:rPr>
      </w:pPr>
      <w:r>
        <w:rPr>
          <w:b/>
          <w:color w:val="000000"/>
          <w:szCs w:val="21"/>
        </w:rPr>
        <w:t>9</w:t>
      </w:r>
      <w:r>
        <w:rPr>
          <w:color w:val="000000"/>
          <w:szCs w:val="21"/>
        </w:rPr>
        <w:t xml:space="preserve">  补偿器安装应有补偿器安装</w:t>
      </w:r>
      <w:r>
        <w:rPr>
          <w:rFonts w:hint="eastAsia"/>
          <w:color w:val="000000"/>
          <w:szCs w:val="21"/>
        </w:rPr>
        <w:t>、预拉伸（压缩）</w:t>
      </w:r>
      <w:r>
        <w:rPr>
          <w:color w:val="000000"/>
          <w:szCs w:val="21"/>
        </w:rPr>
        <w:t>记录；</w:t>
      </w:r>
    </w:p>
    <w:p w14:paraId="2A0D1EBF">
      <w:pPr>
        <w:pStyle w:val="2"/>
        <w:ind w:left="134" w:firstLine="285"/>
        <w:rPr>
          <w:color w:val="000000"/>
        </w:rPr>
      </w:pPr>
      <w:r>
        <w:rPr>
          <w:rFonts w:hint="eastAsia"/>
          <w:b/>
          <w:bCs/>
          <w:color w:val="000000"/>
        </w:rPr>
        <w:t>1</w:t>
      </w:r>
      <w:r>
        <w:rPr>
          <w:b/>
          <w:bCs/>
          <w:color w:val="000000"/>
        </w:rPr>
        <w:t>0</w:t>
      </w:r>
      <w:r>
        <w:rPr>
          <w:color w:val="000000"/>
        </w:rPr>
        <w:t xml:space="preserve"> </w:t>
      </w:r>
      <w:r>
        <w:rPr>
          <w:rFonts w:hint="eastAsia"/>
          <w:color w:val="000000"/>
          <w:szCs w:val="21"/>
        </w:rPr>
        <w:t>阀门、喷头、报警阀等的进场试验记录；</w:t>
      </w:r>
    </w:p>
    <w:p w14:paraId="42A47A78">
      <w:pPr>
        <w:spacing w:line="400" w:lineRule="exact"/>
        <w:ind w:firstLine="422" w:firstLineChars="200"/>
        <w:rPr>
          <w:color w:val="000000"/>
          <w:szCs w:val="21"/>
        </w:rPr>
      </w:pPr>
      <w:r>
        <w:rPr>
          <w:rFonts w:hint="eastAsia"/>
          <w:b/>
          <w:bCs/>
          <w:color w:val="000000"/>
          <w:szCs w:val="21"/>
        </w:rPr>
        <w:t>11</w:t>
      </w:r>
      <w:r>
        <w:rPr>
          <w:color w:val="000000"/>
          <w:szCs w:val="21"/>
        </w:rPr>
        <w:t xml:space="preserve"> 室内消火栓系统消火栓试射试验记录；</w:t>
      </w:r>
    </w:p>
    <w:p w14:paraId="54998897">
      <w:pPr>
        <w:spacing w:line="400" w:lineRule="exact"/>
        <w:ind w:firstLine="422" w:firstLineChars="200"/>
        <w:rPr>
          <w:color w:val="000000"/>
          <w:szCs w:val="21"/>
        </w:rPr>
      </w:pPr>
      <w:r>
        <w:rPr>
          <w:b/>
          <w:color w:val="000000"/>
          <w:szCs w:val="21"/>
        </w:rPr>
        <w:t>1</w:t>
      </w:r>
      <w:r>
        <w:rPr>
          <w:rFonts w:hint="eastAsia"/>
          <w:b/>
          <w:color w:val="000000"/>
          <w:szCs w:val="21"/>
        </w:rPr>
        <w:t>2</w:t>
      </w:r>
      <w:r>
        <w:rPr>
          <w:color w:val="000000"/>
          <w:szCs w:val="21"/>
        </w:rPr>
        <w:t xml:space="preserve"> 锅炉安装按相关规范和职能管理部门要求的安装记录；</w:t>
      </w:r>
    </w:p>
    <w:p w14:paraId="37E22545">
      <w:pPr>
        <w:spacing w:line="400" w:lineRule="exact"/>
        <w:ind w:firstLine="422" w:firstLineChars="200"/>
        <w:rPr>
          <w:color w:val="000000"/>
          <w:szCs w:val="21"/>
        </w:rPr>
      </w:pPr>
      <w:r>
        <w:rPr>
          <w:b/>
          <w:color w:val="000000"/>
          <w:szCs w:val="21"/>
        </w:rPr>
        <w:t>1</w:t>
      </w:r>
      <w:r>
        <w:rPr>
          <w:rFonts w:hint="eastAsia"/>
          <w:b/>
          <w:color w:val="000000"/>
          <w:szCs w:val="21"/>
        </w:rPr>
        <w:t>3</w:t>
      </w:r>
      <w:r>
        <w:rPr>
          <w:color w:val="000000"/>
          <w:szCs w:val="21"/>
        </w:rPr>
        <w:t xml:space="preserve"> </w:t>
      </w:r>
      <w:r>
        <w:rPr>
          <w:rFonts w:hint="eastAsia"/>
          <w:color w:val="000000"/>
          <w:szCs w:val="21"/>
        </w:rPr>
        <w:t>消防水系统</w:t>
      </w:r>
      <w:r>
        <w:rPr>
          <w:color w:val="000000"/>
          <w:szCs w:val="21"/>
        </w:rPr>
        <w:t>验收缺陷项目划分记录；</w:t>
      </w:r>
    </w:p>
    <w:p w14:paraId="30D25AE4">
      <w:pPr>
        <w:spacing w:line="400" w:lineRule="exact"/>
        <w:ind w:firstLine="422" w:firstLineChars="200"/>
        <w:rPr>
          <w:color w:val="000000"/>
          <w:szCs w:val="21"/>
        </w:rPr>
      </w:pPr>
      <w:r>
        <w:rPr>
          <w:b/>
          <w:bCs/>
          <w:color w:val="000000"/>
          <w:szCs w:val="21"/>
        </w:rPr>
        <w:t>1</w:t>
      </w:r>
      <w:r>
        <w:rPr>
          <w:rFonts w:hint="eastAsia"/>
          <w:b/>
          <w:bCs/>
          <w:color w:val="000000"/>
          <w:szCs w:val="21"/>
        </w:rPr>
        <w:t>4</w:t>
      </w:r>
      <w:r>
        <w:rPr>
          <w:color w:val="000000"/>
          <w:szCs w:val="21"/>
        </w:rPr>
        <w:t xml:space="preserve"> 风管系统强度和严密性测试记录；</w:t>
      </w:r>
    </w:p>
    <w:p w14:paraId="183A0999">
      <w:pPr>
        <w:spacing w:line="400" w:lineRule="exact"/>
        <w:ind w:firstLine="422" w:firstLineChars="200"/>
        <w:rPr>
          <w:color w:val="000000"/>
          <w:szCs w:val="21"/>
        </w:rPr>
      </w:pPr>
      <w:r>
        <w:rPr>
          <w:b/>
          <w:bCs/>
          <w:color w:val="000000"/>
          <w:szCs w:val="21"/>
        </w:rPr>
        <w:t>1</w:t>
      </w:r>
      <w:r>
        <w:rPr>
          <w:rFonts w:hint="eastAsia"/>
          <w:b/>
          <w:bCs/>
          <w:color w:val="000000"/>
          <w:szCs w:val="21"/>
        </w:rPr>
        <w:t>5</w:t>
      </w:r>
      <w:r>
        <w:rPr>
          <w:color w:val="000000"/>
          <w:szCs w:val="21"/>
        </w:rPr>
        <w:t xml:space="preserve"> 现场组装的除尘器壳体，组合式空气调节机组漏风量检测记录；</w:t>
      </w:r>
    </w:p>
    <w:p w14:paraId="783F8D36">
      <w:pPr>
        <w:spacing w:line="400" w:lineRule="exact"/>
        <w:ind w:firstLine="422" w:firstLineChars="200"/>
        <w:rPr>
          <w:color w:val="000000"/>
          <w:szCs w:val="21"/>
        </w:rPr>
      </w:pPr>
      <w:r>
        <w:rPr>
          <w:b/>
          <w:bCs/>
          <w:color w:val="000000"/>
          <w:szCs w:val="21"/>
        </w:rPr>
        <w:t>1</w:t>
      </w:r>
      <w:r>
        <w:rPr>
          <w:rFonts w:hint="eastAsia"/>
          <w:b/>
          <w:bCs/>
          <w:color w:val="000000"/>
          <w:szCs w:val="21"/>
        </w:rPr>
        <w:t>6</w:t>
      </w:r>
      <w:r>
        <w:rPr>
          <w:color w:val="000000"/>
          <w:szCs w:val="21"/>
        </w:rPr>
        <w:t>通风与空调工程无生产负荷联合试运转管网风量平衡记录、空调系统试运转调试记录、空调水系统试运转调试记录及各房间室内风量、温度测量记录</w:t>
      </w:r>
      <w:r>
        <w:rPr>
          <w:rFonts w:hint="eastAsia"/>
          <w:color w:val="000000"/>
          <w:szCs w:val="21"/>
        </w:rPr>
        <w:t>；</w:t>
      </w:r>
    </w:p>
    <w:p w14:paraId="027A67AF">
      <w:pPr>
        <w:spacing w:line="400" w:lineRule="exact"/>
        <w:ind w:firstLine="422" w:firstLineChars="200"/>
        <w:rPr>
          <w:color w:val="000000"/>
          <w:szCs w:val="21"/>
        </w:rPr>
      </w:pPr>
      <w:r>
        <w:rPr>
          <w:b/>
          <w:color w:val="000000"/>
          <w:szCs w:val="21"/>
        </w:rPr>
        <w:t>1</w:t>
      </w:r>
      <w:r>
        <w:rPr>
          <w:rFonts w:hint="eastAsia"/>
          <w:b/>
          <w:color w:val="000000"/>
          <w:szCs w:val="21"/>
        </w:rPr>
        <w:t>7</w:t>
      </w:r>
      <w:r>
        <w:rPr>
          <w:b/>
          <w:color w:val="000000"/>
          <w:szCs w:val="21"/>
        </w:rPr>
        <w:t xml:space="preserve"> </w:t>
      </w:r>
      <w:r>
        <w:rPr>
          <w:color w:val="000000"/>
          <w:szCs w:val="21"/>
        </w:rPr>
        <w:t>组装式的制冷机组和现场充注制冷剂的机组制冷系统气密性试验记录</w:t>
      </w:r>
      <w:r>
        <w:rPr>
          <w:rFonts w:hint="eastAsia"/>
          <w:color w:val="000000"/>
          <w:szCs w:val="21"/>
        </w:rPr>
        <w:t>；</w:t>
      </w:r>
    </w:p>
    <w:p w14:paraId="2C61EE15">
      <w:pPr>
        <w:spacing w:line="400" w:lineRule="exact"/>
        <w:ind w:firstLine="422" w:firstLineChars="200"/>
        <w:rPr>
          <w:color w:val="000000"/>
          <w:szCs w:val="21"/>
        </w:rPr>
      </w:pPr>
      <w:r>
        <w:rPr>
          <w:b/>
          <w:color w:val="000000"/>
          <w:szCs w:val="21"/>
        </w:rPr>
        <w:t>1</w:t>
      </w:r>
      <w:r>
        <w:rPr>
          <w:rFonts w:hint="eastAsia"/>
          <w:b/>
          <w:color w:val="000000"/>
          <w:szCs w:val="21"/>
        </w:rPr>
        <w:t>8</w:t>
      </w:r>
      <w:r>
        <w:rPr>
          <w:b/>
          <w:color w:val="000000"/>
          <w:szCs w:val="21"/>
        </w:rPr>
        <w:t xml:space="preserve"> </w:t>
      </w:r>
      <w:r>
        <w:rPr>
          <w:color w:val="000000"/>
          <w:szCs w:val="21"/>
        </w:rPr>
        <w:t>净化空调系统无生产负荷试运转净化空调系统测试记录；</w:t>
      </w:r>
    </w:p>
    <w:p w14:paraId="70A48116">
      <w:pPr>
        <w:spacing w:line="400" w:lineRule="exact"/>
        <w:ind w:firstLine="422" w:firstLineChars="200"/>
        <w:rPr>
          <w:rFonts w:eastAsia="黑体"/>
          <w:color w:val="000000"/>
          <w:szCs w:val="21"/>
        </w:rPr>
      </w:pPr>
      <w:r>
        <w:rPr>
          <w:b/>
          <w:color w:val="000000"/>
          <w:szCs w:val="21"/>
        </w:rPr>
        <w:t>1</w:t>
      </w:r>
      <w:r>
        <w:rPr>
          <w:rFonts w:hint="eastAsia"/>
          <w:b/>
          <w:color w:val="000000"/>
          <w:szCs w:val="21"/>
        </w:rPr>
        <w:t>9</w:t>
      </w:r>
      <w:r>
        <w:rPr>
          <w:color w:val="000000"/>
          <w:szCs w:val="21"/>
        </w:rPr>
        <w:t xml:space="preserve"> 防排烟系统联合试运行和调试，防排烟系统联合试运行记录</w:t>
      </w:r>
      <w:r>
        <w:rPr>
          <w:rFonts w:hint="eastAsia"/>
          <w:color w:val="000000"/>
          <w:szCs w:val="21"/>
        </w:rPr>
        <w:t>；</w:t>
      </w:r>
    </w:p>
    <w:p w14:paraId="0747B424">
      <w:pPr>
        <w:spacing w:line="400" w:lineRule="exact"/>
        <w:ind w:firstLine="422" w:firstLineChars="200"/>
        <w:rPr>
          <w:color w:val="000000"/>
          <w:szCs w:val="21"/>
        </w:rPr>
      </w:pPr>
      <w:r>
        <w:rPr>
          <w:rFonts w:hint="eastAsia"/>
          <w:b/>
          <w:bCs/>
          <w:color w:val="000000"/>
          <w:szCs w:val="21"/>
        </w:rPr>
        <w:t>20</w:t>
      </w:r>
      <w:r>
        <w:rPr>
          <w:color w:val="000000"/>
          <w:szCs w:val="21"/>
        </w:rPr>
        <w:t xml:space="preserve"> 建筑设备系统节能性能检测报告，包括室内温度、供热系统的补水率，各风口的风量、通风空调系统总风量、风道系统单位风量耗功率、空调机组的水流量、空调系统冷热水、冷却水总流量，室外供暖管网水力平衡度，室外供暖管网热损失率。</w:t>
      </w:r>
    </w:p>
    <w:p w14:paraId="3739EA8C">
      <w:pPr>
        <w:spacing w:line="400" w:lineRule="exact"/>
        <w:rPr>
          <w:rFonts w:eastAsia="黑体"/>
          <w:color w:val="000000"/>
          <w:sz w:val="30"/>
          <w:szCs w:val="30"/>
        </w:rPr>
      </w:pPr>
      <w:r>
        <w:rPr>
          <w:rFonts w:hint="eastAsia"/>
          <w:b/>
          <w:bCs/>
          <w:color w:val="000000"/>
        </w:rPr>
        <w:t>4.0.10</w:t>
      </w:r>
      <w:r>
        <w:rPr>
          <w:rFonts w:hint="eastAsia"/>
          <w:color w:val="000000"/>
        </w:rPr>
        <w:t xml:space="preserve">  </w:t>
      </w:r>
      <w:r>
        <w:rPr>
          <w:rFonts w:hint="eastAsia"/>
          <w:color w:val="000000"/>
          <w:szCs w:val="21"/>
        </w:rPr>
        <w:t>评审工程资料</w:t>
      </w:r>
      <w:r>
        <w:rPr>
          <w:color w:val="000000"/>
          <w:szCs w:val="21"/>
        </w:rPr>
        <w:t>管理，主要抽查</w:t>
      </w:r>
      <w:r>
        <w:rPr>
          <w:rFonts w:hint="eastAsia"/>
          <w:color w:val="000000"/>
          <w:szCs w:val="21"/>
        </w:rPr>
        <w:t>质量保证资料和重要的安全和使用功能控制资料，</w:t>
      </w:r>
      <w:r>
        <w:rPr>
          <w:color w:val="000000"/>
          <w:szCs w:val="21"/>
        </w:rPr>
        <w:t>对</w:t>
      </w:r>
      <w:r>
        <w:rPr>
          <w:rFonts w:hint="eastAsia"/>
          <w:color w:val="000000"/>
          <w:szCs w:val="21"/>
        </w:rPr>
        <w:t>工程资料管理</w:t>
      </w:r>
      <w:r>
        <w:rPr>
          <w:color w:val="000000"/>
          <w:szCs w:val="21"/>
        </w:rPr>
        <w:t>的质量水平和有效性做出评价。</w:t>
      </w:r>
    </w:p>
    <w:p w14:paraId="3EF97AA5">
      <w:pPr>
        <w:spacing w:line="400" w:lineRule="exact"/>
        <w:rPr>
          <w:color w:val="000000"/>
        </w:rPr>
      </w:pPr>
    </w:p>
    <w:p w14:paraId="39473DF6">
      <w:pPr>
        <w:spacing w:line="400" w:lineRule="exact"/>
        <w:jc w:val="left"/>
        <w:rPr>
          <w:rFonts w:eastAsia="黑体"/>
          <w:color w:val="000000"/>
          <w:sz w:val="30"/>
          <w:szCs w:val="30"/>
        </w:rPr>
      </w:pPr>
    </w:p>
    <w:p w14:paraId="42574825">
      <w:pPr>
        <w:spacing w:before="156" w:beforeLines="50" w:after="156" w:afterLines="50" w:line="400" w:lineRule="exact"/>
        <w:jc w:val="center"/>
        <w:rPr>
          <w:rFonts w:eastAsia="黑体"/>
          <w:color w:val="000000"/>
          <w:sz w:val="30"/>
          <w:szCs w:val="30"/>
        </w:rPr>
      </w:pPr>
    </w:p>
    <w:p w14:paraId="6820AF2C">
      <w:pPr>
        <w:spacing w:before="156" w:beforeLines="50" w:after="156" w:afterLines="50" w:line="400" w:lineRule="exact"/>
        <w:jc w:val="center"/>
        <w:rPr>
          <w:rFonts w:eastAsia="黑体"/>
          <w:color w:val="000000"/>
          <w:sz w:val="30"/>
          <w:szCs w:val="30"/>
        </w:rPr>
      </w:pPr>
    </w:p>
    <w:p w14:paraId="64C07219">
      <w:pPr>
        <w:spacing w:before="156" w:beforeLines="50" w:after="156" w:afterLines="50" w:line="400" w:lineRule="exact"/>
        <w:jc w:val="center"/>
        <w:rPr>
          <w:rFonts w:eastAsia="黑体"/>
          <w:color w:val="000000"/>
          <w:sz w:val="30"/>
          <w:szCs w:val="30"/>
        </w:rPr>
      </w:pPr>
    </w:p>
    <w:p w14:paraId="4336321C">
      <w:pPr>
        <w:spacing w:before="156" w:beforeLines="50" w:after="156" w:afterLines="50" w:line="400" w:lineRule="exact"/>
        <w:jc w:val="center"/>
        <w:rPr>
          <w:rFonts w:eastAsia="黑体"/>
          <w:color w:val="000000"/>
          <w:sz w:val="30"/>
          <w:szCs w:val="30"/>
        </w:rPr>
      </w:pPr>
    </w:p>
    <w:p w14:paraId="438E1668">
      <w:pPr>
        <w:spacing w:before="312" w:beforeLines="100" w:after="312" w:afterLines="100" w:line="400" w:lineRule="exact"/>
        <w:jc w:val="center"/>
        <w:rPr>
          <w:rStyle w:val="32"/>
          <w:rFonts w:ascii="Times New Roman" w:hAnsi="Times New Roman" w:eastAsia="黑体"/>
          <w:sz w:val="28"/>
          <w:szCs w:val="28"/>
          <w:lang w:val="en-US"/>
        </w:rPr>
      </w:pPr>
      <w:bookmarkStart w:id="312" w:name="_Toc9865"/>
      <w:bookmarkStart w:id="313" w:name="_Toc3676"/>
      <w:bookmarkStart w:id="314" w:name="_Toc31613"/>
      <w:bookmarkStart w:id="315" w:name="_Toc29142"/>
      <w:bookmarkStart w:id="316" w:name="_Toc12343"/>
      <w:r>
        <w:rPr>
          <w:rStyle w:val="32"/>
          <w:rFonts w:ascii="Times New Roman" w:hAnsi="Times New Roman" w:eastAsia="黑体"/>
          <w:b/>
          <w:bCs/>
          <w:sz w:val="28"/>
          <w:szCs w:val="28"/>
          <w:lang w:val="en-US"/>
        </w:rPr>
        <w:br w:type="page"/>
      </w:r>
      <w:bookmarkStart w:id="317" w:name="_Toc29672"/>
      <w:bookmarkStart w:id="318" w:name="_Toc7070"/>
      <w:bookmarkStart w:id="319" w:name="_Toc15344"/>
      <w:bookmarkStart w:id="320" w:name="_Toc32575"/>
      <w:r>
        <w:rPr>
          <w:rStyle w:val="32"/>
          <w:rFonts w:ascii="Times New Roman" w:hAnsi="Times New Roman" w:eastAsia="黑体"/>
          <w:b/>
          <w:bCs/>
          <w:sz w:val="28"/>
          <w:szCs w:val="28"/>
          <w:lang w:val="en-US"/>
        </w:rPr>
        <w:t>5</w:t>
      </w:r>
      <w:r>
        <w:rPr>
          <w:rStyle w:val="32"/>
          <w:rFonts w:ascii="Times New Roman" w:hAnsi="Times New Roman" w:eastAsia="黑体"/>
          <w:sz w:val="28"/>
          <w:szCs w:val="28"/>
          <w:lang w:val="en-US"/>
        </w:rPr>
        <w:t xml:space="preserve">  技术应用创新与</w:t>
      </w:r>
      <w:r>
        <w:rPr>
          <w:rStyle w:val="32"/>
          <w:rFonts w:hint="eastAsia" w:eastAsia="黑体"/>
          <w:sz w:val="28"/>
          <w:szCs w:val="28"/>
          <w:lang w:val="en-US"/>
        </w:rPr>
        <w:t>智能建造</w:t>
      </w:r>
    </w:p>
    <w:bookmarkEnd w:id="312"/>
    <w:bookmarkEnd w:id="313"/>
    <w:bookmarkEnd w:id="314"/>
    <w:bookmarkEnd w:id="315"/>
    <w:bookmarkEnd w:id="316"/>
    <w:bookmarkEnd w:id="317"/>
    <w:bookmarkEnd w:id="318"/>
    <w:bookmarkEnd w:id="319"/>
    <w:bookmarkEnd w:id="320"/>
    <w:p w14:paraId="67C792C3">
      <w:pPr>
        <w:spacing w:line="400" w:lineRule="exact"/>
        <w:rPr>
          <w:color w:val="000000"/>
          <w:szCs w:val="21"/>
        </w:rPr>
      </w:pPr>
      <w:r>
        <w:rPr>
          <w:b/>
          <w:color w:val="000000"/>
          <w:szCs w:val="21"/>
        </w:rPr>
        <w:t xml:space="preserve">5.0.1  </w:t>
      </w:r>
      <w:r>
        <w:rPr>
          <w:color w:val="000000"/>
          <w:szCs w:val="21"/>
        </w:rPr>
        <w:t>项目应推广应用</w:t>
      </w:r>
      <w:r>
        <w:rPr>
          <w:rFonts w:hint="eastAsia"/>
          <w:color w:val="000000"/>
          <w:szCs w:val="21"/>
        </w:rPr>
        <w:t>住房和城乡建设部</w:t>
      </w:r>
      <w:r>
        <w:rPr>
          <w:color w:val="000000"/>
          <w:szCs w:val="21"/>
        </w:rPr>
        <w:t>《建筑业10项新技术》，公共建筑8大项、住宅工程6大项以上，推广应用北京市建设领域百项重点推广项目，编制推广应用新技术及技术创新计划，并落实取得成效。</w:t>
      </w:r>
    </w:p>
    <w:p w14:paraId="60EFBF4E">
      <w:pPr>
        <w:spacing w:line="400" w:lineRule="exact"/>
        <w:rPr>
          <w:color w:val="000000"/>
          <w:szCs w:val="21"/>
        </w:rPr>
      </w:pPr>
      <w:r>
        <w:rPr>
          <w:b/>
          <w:color w:val="000000"/>
          <w:szCs w:val="21"/>
        </w:rPr>
        <w:t xml:space="preserve">5.0.2  </w:t>
      </w:r>
      <w:r>
        <w:rPr>
          <w:rFonts w:hint="eastAsia"/>
          <w:color w:val="000000"/>
          <w:szCs w:val="21"/>
        </w:rPr>
        <w:t>施工方案中</w:t>
      </w:r>
      <w:r>
        <w:rPr>
          <w:color w:val="000000"/>
          <w:szCs w:val="21"/>
        </w:rPr>
        <w:t>应</w:t>
      </w:r>
      <w:r>
        <w:rPr>
          <w:rFonts w:hint="eastAsia"/>
          <w:color w:val="000000"/>
          <w:szCs w:val="21"/>
        </w:rPr>
        <w:t>有</w:t>
      </w:r>
      <w:r>
        <w:rPr>
          <w:color w:val="000000"/>
          <w:szCs w:val="21"/>
        </w:rPr>
        <w:t>智</w:t>
      </w:r>
      <w:r>
        <w:rPr>
          <w:rFonts w:hint="eastAsia"/>
          <w:color w:val="000000"/>
          <w:szCs w:val="21"/>
        </w:rPr>
        <w:t>能</w:t>
      </w:r>
      <w:r>
        <w:rPr>
          <w:color w:val="000000"/>
          <w:szCs w:val="21"/>
        </w:rPr>
        <w:t>建造</w:t>
      </w:r>
      <w:r>
        <w:rPr>
          <w:rFonts w:hint="eastAsia"/>
          <w:color w:val="000000"/>
          <w:szCs w:val="21"/>
        </w:rPr>
        <w:t>相关措施和内容</w:t>
      </w:r>
      <w:r>
        <w:rPr>
          <w:color w:val="000000"/>
          <w:szCs w:val="21"/>
        </w:rPr>
        <w:t>，推广应用绿色技术和建筑信息化等先进技术，通过绿色、智慧建造，获取良好的经济、社会、环境效益。</w:t>
      </w:r>
    </w:p>
    <w:p w14:paraId="2838A8F9">
      <w:pPr>
        <w:spacing w:line="400" w:lineRule="exact"/>
        <w:rPr>
          <w:color w:val="000000"/>
          <w:szCs w:val="21"/>
        </w:rPr>
      </w:pPr>
      <w:r>
        <w:rPr>
          <w:rFonts w:hint="eastAsia"/>
          <w:b/>
          <w:bCs/>
          <w:color w:val="000000"/>
          <w:szCs w:val="21"/>
        </w:rPr>
        <w:t>5</w:t>
      </w:r>
      <w:r>
        <w:rPr>
          <w:b/>
          <w:bCs/>
          <w:color w:val="000000"/>
          <w:szCs w:val="21"/>
        </w:rPr>
        <w:t>.0.</w:t>
      </w:r>
      <w:r>
        <w:rPr>
          <w:rFonts w:hint="eastAsia"/>
          <w:b/>
          <w:bCs/>
          <w:color w:val="000000"/>
          <w:szCs w:val="21"/>
        </w:rPr>
        <w:t>3</w:t>
      </w:r>
      <w:r>
        <w:rPr>
          <w:color w:val="000000"/>
          <w:szCs w:val="21"/>
        </w:rPr>
        <w:t xml:space="preserve">  项目应构建信息化管理平台，推行智能技术和智能设备广泛应用。</w:t>
      </w:r>
      <w:r>
        <w:rPr>
          <w:rFonts w:hint="eastAsia"/>
          <w:color w:val="000000"/>
          <w:szCs w:val="21"/>
        </w:rPr>
        <w:t>并</w:t>
      </w:r>
      <w:r>
        <w:rPr>
          <w:color w:val="000000"/>
          <w:szCs w:val="21"/>
        </w:rPr>
        <w:t>应符合</w:t>
      </w:r>
      <w:r>
        <w:rPr>
          <w:rFonts w:hint="eastAsia"/>
          <w:color w:val="000000"/>
          <w:szCs w:val="21"/>
        </w:rPr>
        <w:t>下列规定</w:t>
      </w:r>
      <w:r>
        <w:rPr>
          <w:color w:val="000000"/>
          <w:szCs w:val="21"/>
        </w:rPr>
        <w:t>：</w:t>
      </w:r>
    </w:p>
    <w:p w14:paraId="6B95666D">
      <w:pPr>
        <w:spacing w:line="400" w:lineRule="exact"/>
        <w:ind w:firstLine="422" w:firstLineChars="200"/>
        <w:rPr>
          <w:color w:val="000000"/>
          <w:szCs w:val="21"/>
        </w:rPr>
      </w:pPr>
      <w:r>
        <w:rPr>
          <w:b/>
          <w:bCs/>
          <w:color w:val="000000"/>
          <w:szCs w:val="21"/>
        </w:rPr>
        <w:t xml:space="preserve">1  </w:t>
      </w:r>
      <w:r>
        <w:rPr>
          <w:color w:val="000000"/>
          <w:szCs w:val="21"/>
        </w:rPr>
        <w:t>推行有关智能技术及自动化设备的现场应用。结合信息化技术手段，</w:t>
      </w:r>
      <w:r>
        <w:rPr>
          <w:rFonts w:hint="eastAsia"/>
          <w:color w:val="000000"/>
          <w:szCs w:val="21"/>
        </w:rPr>
        <w:t>进行</w:t>
      </w:r>
      <w:r>
        <w:rPr>
          <w:color w:val="000000"/>
          <w:szCs w:val="21"/>
        </w:rPr>
        <w:t>绿色与智慧施工</w:t>
      </w:r>
      <w:r>
        <w:rPr>
          <w:rFonts w:hint="eastAsia"/>
          <w:color w:val="000000"/>
          <w:szCs w:val="21"/>
        </w:rPr>
        <w:t>；</w:t>
      </w:r>
      <w:r>
        <w:rPr>
          <w:color w:val="000000"/>
          <w:szCs w:val="21"/>
        </w:rPr>
        <w:t xml:space="preserve"> </w:t>
      </w:r>
    </w:p>
    <w:p w14:paraId="39C46511">
      <w:pPr>
        <w:spacing w:line="400" w:lineRule="exact"/>
        <w:ind w:firstLine="422" w:firstLineChars="200"/>
        <w:rPr>
          <w:color w:val="000000"/>
        </w:rPr>
      </w:pPr>
      <w:r>
        <w:rPr>
          <w:b/>
          <w:bCs/>
          <w:color w:val="000000"/>
          <w:szCs w:val="21"/>
        </w:rPr>
        <w:t xml:space="preserve">2  </w:t>
      </w:r>
      <w:r>
        <w:rPr>
          <w:color w:val="000000"/>
          <w:szCs w:val="21"/>
        </w:rPr>
        <w:t>施工过程中，应采用BIM等信息技术辅助进行专业深化设计、方案模拟、三维交底等工作。</w:t>
      </w:r>
    </w:p>
    <w:p w14:paraId="0F140A49">
      <w:pPr>
        <w:spacing w:line="400" w:lineRule="exact"/>
        <w:rPr>
          <w:color w:val="000000"/>
          <w:szCs w:val="21"/>
        </w:rPr>
      </w:pPr>
      <w:r>
        <w:rPr>
          <w:b/>
          <w:color w:val="000000"/>
          <w:szCs w:val="21"/>
        </w:rPr>
        <w:t>5.0.</w:t>
      </w:r>
      <w:r>
        <w:rPr>
          <w:rFonts w:hint="eastAsia"/>
          <w:b/>
          <w:color w:val="000000"/>
          <w:szCs w:val="21"/>
        </w:rPr>
        <w:t>4</w:t>
      </w:r>
      <w:r>
        <w:rPr>
          <w:b/>
          <w:color w:val="000000"/>
          <w:szCs w:val="21"/>
        </w:rPr>
        <w:t xml:space="preserve">  </w:t>
      </w:r>
      <w:r>
        <w:rPr>
          <w:color w:val="000000"/>
          <w:szCs w:val="21"/>
        </w:rPr>
        <w:t>具备条件的项目应申报省（部）级及以上科技示范工程、绿色建造评价、BIM示范工程；争创省（部）级、行业学（协）会及以上科技进步奖；争取获得省（部）级及以上工法或发明专利、实用新型专利、QC成果等奖项。</w:t>
      </w:r>
    </w:p>
    <w:p w14:paraId="7DE2D1AA">
      <w:pPr>
        <w:spacing w:after="50" w:line="400" w:lineRule="exact"/>
        <w:ind w:left="-176" w:leftChars="-85" w:right="-506" w:rightChars="-241" w:hanging="2"/>
        <w:rPr>
          <w:color w:val="000000"/>
          <w:sz w:val="30"/>
          <w:szCs w:val="30"/>
        </w:rPr>
      </w:pPr>
    </w:p>
    <w:p w14:paraId="2048F13E">
      <w:pPr>
        <w:spacing w:after="50" w:line="400" w:lineRule="exact"/>
        <w:ind w:right="-506" w:rightChars="-241"/>
        <w:rPr>
          <w:color w:val="000000"/>
          <w:sz w:val="30"/>
          <w:szCs w:val="30"/>
        </w:rPr>
      </w:pPr>
    </w:p>
    <w:p w14:paraId="2CCB9267">
      <w:pPr>
        <w:spacing w:before="312" w:beforeLines="100" w:after="312" w:afterLines="100" w:line="400" w:lineRule="exact"/>
        <w:jc w:val="center"/>
        <w:rPr>
          <w:rStyle w:val="32"/>
          <w:rFonts w:ascii="Times New Roman" w:hAnsi="Times New Roman" w:eastAsia="黑体"/>
          <w:sz w:val="28"/>
          <w:szCs w:val="28"/>
          <w:lang w:val="en-US"/>
        </w:rPr>
      </w:pPr>
      <w:r>
        <w:rPr>
          <w:rFonts w:eastAsia="黑体"/>
          <w:color w:val="000000"/>
          <w:sz w:val="30"/>
          <w:szCs w:val="30"/>
        </w:rPr>
        <w:br w:type="page"/>
      </w:r>
      <w:bookmarkStart w:id="321" w:name="_Toc31693"/>
      <w:bookmarkStart w:id="322" w:name="_Toc11997"/>
      <w:bookmarkStart w:id="323" w:name="_Toc17391"/>
      <w:bookmarkStart w:id="324" w:name="_Toc15022"/>
      <w:bookmarkStart w:id="325" w:name="_Toc20255"/>
      <w:bookmarkStart w:id="326" w:name="_Toc16780"/>
      <w:bookmarkStart w:id="327" w:name="_Toc11179"/>
      <w:bookmarkStart w:id="328" w:name="_Toc7436"/>
      <w:bookmarkStart w:id="329" w:name="_Toc26917"/>
      <w:r>
        <w:rPr>
          <w:rStyle w:val="32"/>
          <w:rFonts w:ascii="Times New Roman" w:hAnsi="Times New Roman" w:eastAsia="黑体"/>
          <w:b/>
          <w:bCs/>
          <w:sz w:val="28"/>
          <w:szCs w:val="28"/>
          <w:lang w:val="en-US"/>
        </w:rPr>
        <w:t>6</w:t>
      </w:r>
      <w:r>
        <w:rPr>
          <w:rStyle w:val="32"/>
          <w:rFonts w:ascii="Times New Roman" w:hAnsi="Times New Roman" w:eastAsia="黑体"/>
          <w:sz w:val="28"/>
          <w:szCs w:val="28"/>
          <w:lang w:val="en-US"/>
        </w:rPr>
        <w:t xml:space="preserve">  </w:t>
      </w:r>
      <w:r>
        <w:rPr>
          <w:rStyle w:val="32"/>
          <w:rFonts w:hint="eastAsia" w:eastAsia="黑体"/>
          <w:sz w:val="28"/>
          <w:szCs w:val="28"/>
          <w:lang w:val="en-US"/>
        </w:rPr>
        <w:t>绿色施工</w:t>
      </w:r>
    </w:p>
    <w:bookmarkEnd w:id="321"/>
    <w:bookmarkEnd w:id="322"/>
    <w:bookmarkEnd w:id="323"/>
    <w:bookmarkEnd w:id="324"/>
    <w:bookmarkEnd w:id="325"/>
    <w:bookmarkEnd w:id="326"/>
    <w:bookmarkEnd w:id="327"/>
    <w:bookmarkEnd w:id="328"/>
    <w:bookmarkEnd w:id="329"/>
    <w:p w14:paraId="4411BC07">
      <w:pPr>
        <w:spacing w:line="400" w:lineRule="exact"/>
        <w:rPr>
          <w:color w:val="000000"/>
          <w:szCs w:val="21"/>
        </w:rPr>
      </w:pPr>
      <w:r>
        <w:rPr>
          <w:b/>
          <w:color w:val="000000"/>
          <w:szCs w:val="21"/>
        </w:rPr>
        <w:t>6.0.1</w:t>
      </w:r>
      <w:r>
        <w:rPr>
          <w:color w:val="000000"/>
          <w:szCs w:val="21"/>
        </w:rPr>
        <w:t xml:space="preserve">  项目应围绕环境保护、资源节约与循环利用、技术创新与创效、绿色可持续发展等方面开展绿色建造各项工作。并符合</w:t>
      </w:r>
      <w:r>
        <w:rPr>
          <w:rFonts w:hint="eastAsia"/>
          <w:color w:val="000000"/>
          <w:szCs w:val="21"/>
        </w:rPr>
        <w:t>现行国家标准</w:t>
      </w:r>
      <w:r>
        <w:rPr>
          <w:color w:val="000000"/>
          <w:szCs w:val="21"/>
        </w:rPr>
        <w:t>《建筑工程绿色施工规范》</w:t>
      </w:r>
      <w:r>
        <w:rPr>
          <w:rStyle w:val="28"/>
          <w:b w:val="0"/>
          <w:color w:val="000000"/>
          <w:szCs w:val="21"/>
          <w:shd w:val="clear" w:color="auto" w:fill="FFFFFF"/>
        </w:rPr>
        <w:t>GB</w:t>
      </w:r>
      <w:r>
        <w:rPr>
          <w:rStyle w:val="28"/>
          <w:rFonts w:hint="eastAsia"/>
          <w:b w:val="0"/>
          <w:color w:val="000000"/>
          <w:szCs w:val="21"/>
          <w:shd w:val="clear" w:color="auto" w:fill="FFFFFF"/>
        </w:rPr>
        <w:t>/</w:t>
      </w:r>
      <w:r>
        <w:rPr>
          <w:rStyle w:val="28"/>
          <w:b w:val="0"/>
          <w:color w:val="000000"/>
          <w:szCs w:val="21"/>
          <w:shd w:val="clear" w:color="auto" w:fill="FFFFFF"/>
        </w:rPr>
        <w:t>T 50905</w:t>
      </w:r>
      <w:r>
        <w:rPr>
          <w:rFonts w:hint="eastAsia"/>
          <w:color w:val="000000"/>
          <w:szCs w:val="21"/>
        </w:rPr>
        <w:t>的规定。</w:t>
      </w:r>
    </w:p>
    <w:p w14:paraId="7BE49730">
      <w:pPr>
        <w:spacing w:line="400" w:lineRule="exact"/>
        <w:rPr>
          <w:color w:val="000000"/>
          <w:szCs w:val="21"/>
        </w:rPr>
      </w:pPr>
      <w:r>
        <w:rPr>
          <w:b/>
          <w:bCs/>
          <w:color w:val="000000"/>
          <w:szCs w:val="21"/>
        </w:rPr>
        <w:t>6.0.2</w:t>
      </w:r>
      <w:r>
        <w:rPr>
          <w:color w:val="000000"/>
          <w:szCs w:val="21"/>
        </w:rPr>
        <w:t xml:space="preserve">  项目应编制绿色建造策划实施方案，明确绿色施工目标，制定过程管控措施，加强设计优化与方案优化，取得成效。</w:t>
      </w:r>
    </w:p>
    <w:p w14:paraId="1101B1E8">
      <w:pPr>
        <w:spacing w:line="400" w:lineRule="exact"/>
        <w:rPr>
          <w:color w:val="000000"/>
          <w:szCs w:val="21"/>
        </w:rPr>
      </w:pPr>
      <w:r>
        <w:rPr>
          <w:b/>
          <w:color w:val="000000"/>
          <w:szCs w:val="21"/>
        </w:rPr>
        <w:t xml:space="preserve">6.0.3  </w:t>
      </w:r>
      <w:r>
        <w:rPr>
          <w:color w:val="000000"/>
          <w:szCs w:val="21"/>
        </w:rPr>
        <w:t>项目应做好扬尘污染控制、有害气体排放控制、水土污染控制、光污染控制、噪声与振动控制、施工用地以及设施保护、绿色建造施工与环境安全等方面的管控措施。</w:t>
      </w:r>
    </w:p>
    <w:p w14:paraId="2B9DE69A">
      <w:pPr>
        <w:spacing w:line="400" w:lineRule="exact"/>
        <w:rPr>
          <w:color w:val="000000"/>
          <w:szCs w:val="21"/>
        </w:rPr>
      </w:pPr>
      <w:r>
        <w:rPr>
          <w:b/>
          <w:bCs/>
          <w:color w:val="000000"/>
          <w:szCs w:val="21"/>
        </w:rPr>
        <w:t>6.0.4</w:t>
      </w:r>
      <w:r>
        <w:rPr>
          <w:color w:val="000000"/>
          <w:szCs w:val="21"/>
        </w:rPr>
        <w:t xml:space="preserve">  项目应开展设计优化和方案优化，降低材料的投入节能减排。</w:t>
      </w:r>
    </w:p>
    <w:p w14:paraId="792140CC">
      <w:pPr>
        <w:spacing w:line="400" w:lineRule="exact"/>
        <w:rPr>
          <w:color w:val="000000"/>
          <w:szCs w:val="21"/>
        </w:rPr>
      </w:pPr>
      <w:r>
        <w:rPr>
          <w:b/>
          <w:color w:val="000000"/>
          <w:szCs w:val="21"/>
        </w:rPr>
        <w:t xml:space="preserve">6.0.5 </w:t>
      </w:r>
      <w:r>
        <w:rPr>
          <w:color w:val="000000"/>
          <w:szCs w:val="21"/>
        </w:rPr>
        <w:t xml:space="preserve"> 民用</w:t>
      </w:r>
      <w:r>
        <w:rPr>
          <w:rFonts w:hint="eastAsia"/>
          <w:color w:val="000000"/>
          <w:szCs w:val="21"/>
        </w:rPr>
        <w:t>建筑</w:t>
      </w:r>
      <w:r>
        <w:rPr>
          <w:color w:val="000000"/>
          <w:szCs w:val="21"/>
        </w:rPr>
        <w:t>工程室内环境污染物浓度的检测结果应符合现行国家标准《民用建筑工程室内环境污染控制</w:t>
      </w:r>
      <w:r>
        <w:rPr>
          <w:rFonts w:hint="eastAsia"/>
          <w:color w:val="000000"/>
          <w:szCs w:val="21"/>
        </w:rPr>
        <w:t>标准</w:t>
      </w:r>
      <w:r>
        <w:rPr>
          <w:color w:val="000000"/>
          <w:szCs w:val="21"/>
        </w:rPr>
        <w:t>》GB 50325的有关规定，所使用的无机非金属建筑主体材料和装修材料的类别、数量，应符合现行国家标准的有关规定和设计要求。</w:t>
      </w:r>
    </w:p>
    <w:p w14:paraId="465A4D1D">
      <w:pPr>
        <w:spacing w:line="400" w:lineRule="exact"/>
        <w:rPr>
          <w:color w:val="000000"/>
          <w:szCs w:val="21"/>
        </w:rPr>
      </w:pPr>
      <w:r>
        <w:rPr>
          <w:b/>
          <w:bCs/>
          <w:color w:val="000000"/>
          <w:szCs w:val="21"/>
        </w:rPr>
        <w:t xml:space="preserve">6.0.6 </w:t>
      </w:r>
      <w:r>
        <w:rPr>
          <w:color w:val="000000"/>
          <w:szCs w:val="21"/>
        </w:rPr>
        <w:t xml:space="preserve"> 项目应贯彻绿色施工有关标准的规定，科学合理</w:t>
      </w:r>
      <w:r>
        <w:rPr>
          <w:rFonts w:hint="eastAsia"/>
          <w:color w:val="000000"/>
          <w:szCs w:val="21"/>
        </w:rPr>
        <w:t>地</w:t>
      </w:r>
      <w:r>
        <w:rPr>
          <w:color w:val="000000"/>
          <w:szCs w:val="21"/>
        </w:rPr>
        <w:t>控制工程及生活用水，明确项目循环水的收集和非传统水的有效利用，节约水资源。</w:t>
      </w:r>
    </w:p>
    <w:p w14:paraId="209938A2">
      <w:pPr>
        <w:spacing w:line="400" w:lineRule="exact"/>
        <w:rPr>
          <w:color w:val="000000"/>
          <w:szCs w:val="21"/>
        </w:rPr>
      </w:pPr>
      <w:r>
        <w:rPr>
          <w:b/>
          <w:bCs/>
          <w:color w:val="000000"/>
          <w:szCs w:val="21"/>
        </w:rPr>
        <w:t>6.0.7</w:t>
      </w:r>
      <w:r>
        <w:rPr>
          <w:color w:val="000000"/>
          <w:szCs w:val="21"/>
        </w:rPr>
        <w:t xml:space="preserve">  项目应制定生产、生活、办公等的用电控制措施，合理安排施工进度、控制季节性施工能源消耗、充分利用自然能源等措施实现能源节约和再利用。</w:t>
      </w:r>
    </w:p>
    <w:p w14:paraId="131C76C6">
      <w:pPr>
        <w:spacing w:line="400" w:lineRule="exact"/>
        <w:rPr>
          <w:color w:val="000000"/>
          <w:szCs w:val="21"/>
        </w:rPr>
      </w:pPr>
      <w:r>
        <w:rPr>
          <w:b/>
          <w:color w:val="000000"/>
          <w:szCs w:val="21"/>
        </w:rPr>
        <w:t xml:space="preserve">6.0.8 </w:t>
      </w:r>
      <w:r>
        <w:rPr>
          <w:color w:val="000000"/>
          <w:szCs w:val="21"/>
        </w:rPr>
        <w:t xml:space="preserve"> 建筑节能工程使用的材料、设备，必须符合设计要求。对燃烧性能有要求的材料，还应符合现行国家标准《</w:t>
      </w:r>
      <w:r>
        <w:rPr>
          <w:rFonts w:hint="eastAsia" w:ascii="宋体" w:hAnsi="宋体" w:cs="宋体"/>
          <w:bCs/>
          <w:color w:val="000000"/>
          <w:kern w:val="2"/>
          <w:szCs w:val="21"/>
        </w:rPr>
        <w:t>建筑材料及制品燃烧性能分级</w:t>
      </w:r>
      <w:r>
        <w:rPr>
          <w:color w:val="000000"/>
          <w:szCs w:val="21"/>
        </w:rPr>
        <w:t>》GB 8624规定。</w:t>
      </w:r>
    </w:p>
    <w:p w14:paraId="447950A1">
      <w:pPr>
        <w:spacing w:line="400" w:lineRule="exact"/>
        <w:rPr>
          <w:color w:val="000000"/>
          <w:szCs w:val="21"/>
        </w:rPr>
      </w:pPr>
      <w:r>
        <w:rPr>
          <w:b/>
          <w:bCs/>
          <w:color w:val="000000"/>
          <w:szCs w:val="21"/>
        </w:rPr>
        <w:t xml:space="preserve">6.0.9 </w:t>
      </w:r>
      <w:r>
        <w:rPr>
          <w:color w:val="000000"/>
          <w:szCs w:val="21"/>
        </w:rPr>
        <w:t xml:space="preserve"> 围护系统、供暖空调设备及管网、电气动力、监控系统、可再生能源工程的材料检测、</w:t>
      </w:r>
      <w:r>
        <w:rPr>
          <w:rFonts w:hint="eastAsia"/>
          <w:color w:val="000000"/>
          <w:szCs w:val="21"/>
        </w:rPr>
        <w:t>隐蔽工程验收</w:t>
      </w:r>
      <w:r>
        <w:rPr>
          <w:color w:val="000000"/>
          <w:szCs w:val="21"/>
        </w:rPr>
        <w:t>、调试及试运行，均应符合现行国家标准《</w:t>
      </w:r>
      <w:r>
        <w:rPr>
          <w:rFonts w:hint="eastAsia" w:ascii="宋体" w:hAnsi="宋体" w:cs="宋体"/>
          <w:bCs/>
          <w:color w:val="000000"/>
          <w:kern w:val="2"/>
          <w:szCs w:val="21"/>
        </w:rPr>
        <w:t>建筑节能工程施工质量验收标准</w:t>
      </w:r>
      <w:r>
        <w:rPr>
          <w:color w:val="000000"/>
          <w:szCs w:val="21"/>
        </w:rPr>
        <w:t>》GB 50411的规定。</w:t>
      </w:r>
    </w:p>
    <w:p w14:paraId="23FCB557">
      <w:pPr>
        <w:spacing w:before="312" w:beforeLines="100" w:after="312" w:afterLines="100" w:line="400" w:lineRule="exact"/>
        <w:jc w:val="center"/>
        <w:rPr>
          <w:rStyle w:val="32"/>
          <w:rFonts w:ascii="Times New Roman" w:hAnsi="Times New Roman" w:eastAsia="黑体"/>
          <w:sz w:val="28"/>
          <w:szCs w:val="28"/>
          <w:lang w:val="en-US"/>
        </w:rPr>
      </w:pPr>
      <w:r>
        <w:rPr>
          <w:color w:val="000000"/>
          <w:sz w:val="30"/>
          <w:szCs w:val="30"/>
        </w:rPr>
        <w:br w:type="page"/>
      </w:r>
      <w:bookmarkStart w:id="330" w:name="_Toc18478"/>
      <w:bookmarkStart w:id="331" w:name="_Toc21166"/>
      <w:bookmarkStart w:id="332" w:name="_Toc26874"/>
      <w:bookmarkStart w:id="333" w:name="_Toc13762"/>
      <w:bookmarkStart w:id="334" w:name="_Toc14630"/>
      <w:bookmarkStart w:id="335" w:name="_Toc11532"/>
      <w:bookmarkStart w:id="336" w:name="_Toc15337"/>
      <w:bookmarkStart w:id="337" w:name="_Toc3230"/>
      <w:bookmarkStart w:id="338" w:name="_Toc2298"/>
      <w:r>
        <w:rPr>
          <w:rStyle w:val="32"/>
          <w:rFonts w:ascii="Times New Roman" w:hAnsi="Times New Roman" w:eastAsia="黑体"/>
          <w:b/>
          <w:bCs/>
          <w:sz w:val="28"/>
          <w:szCs w:val="28"/>
          <w:lang w:val="en-US"/>
        </w:rPr>
        <w:t>7</w:t>
      </w:r>
      <w:r>
        <w:rPr>
          <w:rStyle w:val="32"/>
          <w:rFonts w:ascii="Times New Roman" w:hAnsi="Times New Roman" w:eastAsia="黑体"/>
          <w:sz w:val="28"/>
          <w:szCs w:val="28"/>
          <w:lang w:val="en-US"/>
        </w:rPr>
        <w:t xml:space="preserve">  土建工程</w:t>
      </w:r>
    </w:p>
    <w:bookmarkEnd w:id="330"/>
    <w:bookmarkEnd w:id="331"/>
    <w:bookmarkEnd w:id="332"/>
    <w:bookmarkEnd w:id="333"/>
    <w:bookmarkEnd w:id="334"/>
    <w:bookmarkEnd w:id="335"/>
    <w:bookmarkEnd w:id="336"/>
    <w:bookmarkEnd w:id="337"/>
    <w:bookmarkEnd w:id="338"/>
    <w:p w14:paraId="27DA2EA9">
      <w:pPr>
        <w:pStyle w:val="4"/>
        <w:numPr>
          <w:ilvl w:val="1"/>
          <w:numId w:val="0"/>
        </w:numPr>
        <w:spacing w:before="312" w:beforeLines="100" w:line="400" w:lineRule="exact"/>
        <w:jc w:val="center"/>
        <w:rPr>
          <w:rFonts w:ascii="Times New Roman" w:hAnsi="Times New Roman" w:eastAsia="黑体"/>
          <w:sz w:val="24"/>
          <w:szCs w:val="24"/>
          <w:lang w:val="en-US"/>
        </w:rPr>
      </w:pPr>
      <w:bookmarkStart w:id="339" w:name="_Toc444"/>
      <w:bookmarkStart w:id="340" w:name="_Toc20897"/>
      <w:bookmarkStart w:id="341" w:name="_Toc9302"/>
      <w:bookmarkStart w:id="342" w:name="_Toc14579"/>
      <w:bookmarkStart w:id="343" w:name="_Toc28840"/>
      <w:bookmarkStart w:id="344" w:name="_Toc8244"/>
      <w:bookmarkStart w:id="345" w:name="_Toc20462"/>
      <w:bookmarkStart w:id="346" w:name="_Toc26991"/>
      <w:bookmarkStart w:id="347" w:name="_Toc16285"/>
      <w:r>
        <w:rPr>
          <w:rFonts w:ascii="Times New Roman" w:hAnsi="Times New Roman" w:eastAsia="黑体"/>
          <w:b/>
          <w:bCs/>
          <w:sz w:val="24"/>
          <w:szCs w:val="24"/>
        </w:rPr>
        <w:t>7.1</w:t>
      </w:r>
      <w:r>
        <w:rPr>
          <w:rFonts w:ascii="Times New Roman" w:hAnsi="Times New Roman" w:eastAsia="黑体"/>
          <w:sz w:val="24"/>
          <w:szCs w:val="24"/>
        </w:rPr>
        <w:t xml:space="preserve">  </w:t>
      </w:r>
      <w:r>
        <w:rPr>
          <w:rFonts w:hint="eastAsia" w:ascii="Times New Roman" w:hAnsi="Times New Roman" w:eastAsia="黑体"/>
          <w:sz w:val="24"/>
          <w:szCs w:val="24"/>
          <w:lang w:val="en-US"/>
        </w:rPr>
        <w:t>一般规定</w:t>
      </w:r>
      <w:bookmarkEnd w:id="339"/>
      <w:bookmarkEnd w:id="340"/>
      <w:bookmarkEnd w:id="341"/>
      <w:bookmarkEnd w:id="342"/>
    </w:p>
    <w:p w14:paraId="13BBAE56">
      <w:pPr>
        <w:spacing w:line="400" w:lineRule="exact"/>
        <w:rPr>
          <w:strike/>
          <w:color w:val="000000"/>
          <w:szCs w:val="21"/>
        </w:rPr>
      </w:pPr>
      <w:r>
        <w:rPr>
          <w:b/>
          <w:color w:val="000000"/>
          <w:szCs w:val="21"/>
        </w:rPr>
        <w:t>7.1.1</w:t>
      </w:r>
      <w:r>
        <w:rPr>
          <w:color w:val="000000"/>
          <w:szCs w:val="21"/>
        </w:rPr>
        <w:t xml:space="preserve">  地基与基础、主体结构</w:t>
      </w:r>
      <w:r>
        <w:rPr>
          <w:rFonts w:hint="eastAsia"/>
          <w:color w:val="000000"/>
          <w:szCs w:val="21"/>
        </w:rPr>
        <w:t>、屋面、装饰装修及建筑节能工程</w:t>
      </w:r>
      <w:r>
        <w:rPr>
          <w:color w:val="000000"/>
          <w:szCs w:val="21"/>
        </w:rPr>
        <w:t>实体质量应符合</w:t>
      </w:r>
      <w:r>
        <w:rPr>
          <w:rFonts w:hint="eastAsia"/>
          <w:color w:val="000000"/>
          <w:szCs w:val="21"/>
        </w:rPr>
        <w:t>设计及规范</w:t>
      </w:r>
      <w:r>
        <w:rPr>
          <w:color w:val="000000"/>
          <w:szCs w:val="21"/>
        </w:rPr>
        <w:t>要求。</w:t>
      </w:r>
    </w:p>
    <w:p w14:paraId="4F8EE813">
      <w:pPr>
        <w:spacing w:line="400" w:lineRule="exact"/>
        <w:rPr>
          <w:color w:val="000000"/>
          <w:szCs w:val="21"/>
        </w:rPr>
      </w:pPr>
      <w:r>
        <w:rPr>
          <w:b/>
          <w:bCs/>
          <w:color w:val="000000"/>
          <w:szCs w:val="21"/>
        </w:rPr>
        <w:t>7.1.2</w:t>
      </w:r>
      <w:r>
        <w:rPr>
          <w:color w:val="000000"/>
          <w:szCs w:val="21"/>
        </w:rPr>
        <w:t xml:space="preserve">  建筑物应无不均匀沉降、变形、裂缝及影响功能的质量缺陷。</w:t>
      </w:r>
    </w:p>
    <w:p w14:paraId="5893EC1F">
      <w:pPr>
        <w:spacing w:line="400" w:lineRule="exact"/>
        <w:rPr>
          <w:color w:val="000000"/>
          <w:szCs w:val="21"/>
        </w:rPr>
      </w:pPr>
      <w:r>
        <w:rPr>
          <w:b/>
          <w:color w:val="000000"/>
          <w:szCs w:val="21"/>
        </w:rPr>
        <w:t xml:space="preserve">7.1.3  </w:t>
      </w:r>
      <w:r>
        <w:rPr>
          <w:color w:val="000000"/>
          <w:szCs w:val="21"/>
        </w:rPr>
        <w:t>建筑物阴阳角应顺直，标高正确，变形缝及分格缝构造合理美观，应符合现行国家标准的有关规定。</w:t>
      </w:r>
    </w:p>
    <w:p w14:paraId="24849E87">
      <w:pPr>
        <w:spacing w:line="400" w:lineRule="exact"/>
        <w:rPr>
          <w:color w:val="000000"/>
          <w:szCs w:val="21"/>
        </w:rPr>
      </w:pPr>
      <w:bookmarkStart w:id="348" w:name="_Hlk141252727"/>
      <w:r>
        <w:rPr>
          <w:b/>
          <w:bCs/>
          <w:color w:val="000000"/>
          <w:szCs w:val="21"/>
        </w:rPr>
        <w:t>7.1.4</w:t>
      </w:r>
      <w:r>
        <w:rPr>
          <w:color w:val="000000"/>
          <w:szCs w:val="21"/>
        </w:rPr>
        <w:t xml:space="preserve">  建筑物</w:t>
      </w:r>
      <w:r>
        <w:rPr>
          <w:rFonts w:hint="eastAsia"/>
          <w:color w:val="000000"/>
          <w:szCs w:val="21"/>
        </w:rPr>
        <w:t>散水、台阶和门头</w:t>
      </w:r>
      <w:r>
        <w:rPr>
          <w:color w:val="000000"/>
          <w:szCs w:val="21"/>
        </w:rPr>
        <w:t>应</w:t>
      </w:r>
      <w:r>
        <w:rPr>
          <w:rFonts w:hint="eastAsia"/>
          <w:color w:val="000000"/>
          <w:szCs w:val="21"/>
        </w:rPr>
        <w:t>无沉降。</w:t>
      </w:r>
    </w:p>
    <w:bookmarkEnd w:id="348"/>
    <w:p w14:paraId="47BC08B6">
      <w:pPr>
        <w:spacing w:line="400" w:lineRule="exact"/>
        <w:rPr>
          <w:color w:val="000000"/>
          <w:szCs w:val="21"/>
        </w:rPr>
      </w:pPr>
      <w:r>
        <w:rPr>
          <w:b/>
          <w:bCs/>
          <w:color w:val="000000"/>
          <w:szCs w:val="21"/>
        </w:rPr>
        <w:t>7.1.5</w:t>
      </w:r>
      <w:r>
        <w:rPr>
          <w:color w:val="000000"/>
          <w:szCs w:val="21"/>
        </w:rPr>
        <w:t xml:space="preserve">  建筑物地下室</w:t>
      </w:r>
      <w:r>
        <w:rPr>
          <w:rFonts w:hint="eastAsia"/>
          <w:color w:val="000000"/>
          <w:szCs w:val="21"/>
        </w:rPr>
        <w:t>迎水面、屋面、门窗、外墙、幕墙及室内有水房间</w:t>
      </w:r>
      <w:r>
        <w:rPr>
          <w:color w:val="000000"/>
          <w:szCs w:val="21"/>
        </w:rPr>
        <w:t>应无渗漏现象。</w:t>
      </w:r>
    </w:p>
    <w:p w14:paraId="0801C8E2">
      <w:pPr>
        <w:pStyle w:val="4"/>
        <w:numPr>
          <w:ilvl w:val="1"/>
          <w:numId w:val="0"/>
        </w:numPr>
        <w:spacing w:before="312" w:beforeLines="100" w:line="400" w:lineRule="exact"/>
        <w:jc w:val="center"/>
        <w:rPr>
          <w:rFonts w:ascii="Times New Roman" w:hAnsi="Times New Roman" w:eastAsia="黑体"/>
          <w:sz w:val="24"/>
          <w:szCs w:val="24"/>
        </w:rPr>
      </w:pPr>
      <w:bookmarkStart w:id="349" w:name="_Toc10846"/>
      <w:bookmarkStart w:id="350" w:name="_Toc7675"/>
      <w:bookmarkStart w:id="351" w:name="_Toc29622"/>
      <w:bookmarkStart w:id="352" w:name="_Toc9447"/>
      <w:bookmarkStart w:id="353" w:name="_Toc2176"/>
      <w:bookmarkStart w:id="354" w:name="_Toc14552"/>
      <w:bookmarkStart w:id="355" w:name="_Toc26925"/>
      <w:bookmarkStart w:id="356" w:name="_Toc31985"/>
      <w:bookmarkStart w:id="357" w:name="_Toc30378"/>
      <w:r>
        <w:rPr>
          <w:rFonts w:ascii="Times New Roman" w:hAnsi="Times New Roman" w:eastAsia="黑体"/>
          <w:b/>
          <w:bCs/>
          <w:sz w:val="24"/>
          <w:szCs w:val="24"/>
        </w:rPr>
        <w:t>7.2</w:t>
      </w:r>
      <w:r>
        <w:rPr>
          <w:rFonts w:ascii="Times New Roman" w:hAnsi="Times New Roman" w:eastAsia="黑体"/>
          <w:sz w:val="24"/>
          <w:szCs w:val="24"/>
        </w:rPr>
        <w:t xml:space="preserve"> </w:t>
      </w:r>
      <w:r>
        <w:rPr>
          <w:rFonts w:ascii="Times New Roman" w:hAnsi="Times New Roman" w:eastAsia="黑体"/>
          <w:sz w:val="24"/>
          <w:szCs w:val="24"/>
          <w:lang w:val="en-US"/>
        </w:rPr>
        <w:t xml:space="preserve"> </w:t>
      </w:r>
      <w:r>
        <w:rPr>
          <w:rFonts w:ascii="Times New Roman" w:hAnsi="Times New Roman" w:eastAsia="黑体"/>
          <w:sz w:val="24"/>
          <w:szCs w:val="24"/>
        </w:rPr>
        <w:t>屋面工程</w:t>
      </w:r>
      <w:bookmarkEnd w:id="349"/>
      <w:bookmarkEnd w:id="350"/>
      <w:bookmarkEnd w:id="351"/>
      <w:bookmarkEnd w:id="352"/>
      <w:bookmarkEnd w:id="353"/>
      <w:bookmarkEnd w:id="354"/>
      <w:bookmarkEnd w:id="355"/>
      <w:bookmarkEnd w:id="356"/>
      <w:bookmarkEnd w:id="357"/>
    </w:p>
    <w:p w14:paraId="66501DBE">
      <w:pPr>
        <w:spacing w:line="400" w:lineRule="exact"/>
        <w:rPr>
          <w:color w:val="000000"/>
          <w:szCs w:val="21"/>
        </w:rPr>
      </w:pPr>
      <w:r>
        <w:rPr>
          <w:b/>
          <w:bCs/>
          <w:color w:val="000000"/>
          <w:szCs w:val="21"/>
        </w:rPr>
        <w:t>7.2.1</w:t>
      </w:r>
      <w:r>
        <w:rPr>
          <w:color w:val="000000"/>
          <w:szCs w:val="21"/>
        </w:rPr>
        <w:t xml:space="preserve">  屋面工程质量应符合</w:t>
      </w:r>
      <w:r>
        <w:rPr>
          <w:rFonts w:hint="eastAsia"/>
          <w:color w:val="000000"/>
          <w:szCs w:val="21"/>
        </w:rPr>
        <w:t>下列规定</w:t>
      </w:r>
      <w:r>
        <w:rPr>
          <w:color w:val="000000"/>
          <w:szCs w:val="21"/>
        </w:rPr>
        <w:t>：</w:t>
      </w:r>
    </w:p>
    <w:p w14:paraId="3C61E959">
      <w:pPr>
        <w:spacing w:line="400" w:lineRule="exact"/>
        <w:ind w:firstLine="422" w:firstLineChars="200"/>
        <w:rPr>
          <w:color w:val="000000"/>
          <w:szCs w:val="21"/>
        </w:rPr>
      </w:pPr>
      <w:r>
        <w:rPr>
          <w:b/>
          <w:bCs/>
          <w:color w:val="000000"/>
          <w:szCs w:val="21"/>
        </w:rPr>
        <w:t xml:space="preserve">1 </w:t>
      </w:r>
      <w:r>
        <w:rPr>
          <w:color w:val="000000"/>
          <w:szCs w:val="21"/>
        </w:rPr>
        <w:t xml:space="preserve"> 防水等级和设防应符合设计要求，不同材料做法的屋面适用坡度应符合</w:t>
      </w:r>
      <w:r>
        <w:rPr>
          <w:rFonts w:hint="eastAsia"/>
          <w:color w:val="000000"/>
          <w:szCs w:val="21"/>
        </w:rPr>
        <w:t>现行国家标准《屋面工程质量验收规范》GB</w:t>
      </w:r>
      <w:r>
        <w:rPr>
          <w:color w:val="000000"/>
          <w:szCs w:val="21"/>
        </w:rPr>
        <w:t xml:space="preserve"> </w:t>
      </w:r>
      <w:r>
        <w:rPr>
          <w:rFonts w:hint="eastAsia"/>
          <w:color w:val="000000"/>
          <w:szCs w:val="21"/>
        </w:rPr>
        <w:t>50207</w:t>
      </w:r>
      <w:r>
        <w:rPr>
          <w:color w:val="000000"/>
          <w:szCs w:val="21"/>
        </w:rPr>
        <w:t>的有关规定；</w:t>
      </w:r>
    </w:p>
    <w:p w14:paraId="12A361BD">
      <w:pPr>
        <w:spacing w:line="400" w:lineRule="exact"/>
        <w:ind w:firstLine="422" w:firstLineChars="200"/>
        <w:rPr>
          <w:color w:val="000000"/>
          <w:szCs w:val="21"/>
        </w:rPr>
      </w:pPr>
      <w:r>
        <w:rPr>
          <w:b/>
          <w:bCs/>
          <w:color w:val="000000"/>
          <w:szCs w:val="21"/>
        </w:rPr>
        <w:t>2</w:t>
      </w:r>
      <w:r>
        <w:rPr>
          <w:color w:val="000000"/>
          <w:szCs w:val="21"/>
        </w:rPr>
        <w:t xml:space="preserve">  屋面天沟、檐沟的排水方向和坡度，必须符合设计要求；</w:t>
      </w:r>
    </w:p>
    <w:p w14:paraId="21F4E932">
      <w:pPr>
        <w:spacing w:line="400" w:lineRule="exact"/>
        <w:ind w:firstLine="422" w:firstLineChars="200"/>
        <w:rPr>
          <w:color w:val="000000"/>
          <w:szCs w:val="21"/>
        </w:rPr>
      </w:pPr>
      <w:r>
        <w:rPr>
          <w:b/>
          <w:bCs/>
          <w:color w:val="000000"/>
          <w:szCs w:val="21"/>
        </w:rPr>
        <w:t>3</w:t>
      </w:r>
      <w:r>
        <w:rPr>
          <w:color w:val="000000"/>
          <w:szCs w:val="21"/>
        </w:rPr>
        <w:t xml:space="preserve">  屋面防水层铺设、搭接、压接、坡度和上卷收头高度及构造做法，应符合</w:t>
      </w:r>
      <w:r>
        <w:rPr>
          <w:rFonts w:hint="eastAsia"/>
          <w:color w:val="000000"/>
          <w:szCs w:val="21"/>
        </w:rPr>
        <w:t>现行国家标准《屋面工程技术规范》GB</w:t>
      </w:r>
      <w:r>
        <w:rPr>
          <w:color w:val="000000"/>
          <w:szCs w:val="21"/>
        </w:rPr>
        <w:t xml:space="preserve"> </w:t>
      </w:r>
      <w:r>
        <w:rPr>
          <w:rFonts w:hint="eastAsia"/>
          <w:color w:val="000000"/>
          <w:szCs w:val="21"/>
        </w:rPr>
        <w:t>50345的</w:t>
      </w:r>
      <w:r>
        <w:rPr>
          <w:color w:val="000000"/>
          <w:szCs w:val="21"/>
        </w:rPr>
        <w:t>规定。防水层与基层应粘接牢固、结合严密，不应有滑移、空鼓、渗漏。屋面、阳台、</w:t>
      </w:r>
      <w:r>
        <w:rPr>
          <w:rFonts w:hint="eastAsia"/>
          <w:color w:val="000000"/>
          <w:szCs w:val="21"/>
        </w:rPr>
        <w:t>雨棚</w:t>
      </w:r>
      <w:r>
        <w:rPr>
          <w:color w:val="000000"/>
          <w:szCs w:val="21"/>
        </w:rPr>
        <w:t>排水口流量、坡度及水篦子安装应排水通畅、不应有积水；</w:t>
      </w:r>
    </w:p>
    <w:p w14:paraId="2B9988A6">
      <w:pPr>
        <w:spacing w:line="400" w:lineRule="exact"/>
        <w:ind w:firstLine="422" w:firstLineChars="200"/>
        <w:rPr>
          <w:color w:val="000000"/>
          <w:szCs w:val="21"/>
        </w:rPr>
      </w:pPr>
      <w:r>
        <w:rPr>
          <w:b/>
          <w:bCs/>
          <w:color w:val="000000"/>
          <w:szCs w:val="21"/>
        </w:rPr>
        <w:t>4</w:t>
      </w:r>
      <w:r>
        <w:rPr>
          <w:color w:val="000000"/>
          <w:szCs w:val="21"/>
        </w:rPr>
        <w:t xml:space="preserve">  屋面女儿墙泛水保护层应设置伸缩缝，不应空鼓、开裂，女儿墙内侧及压顶抹灰应无空裂。屋面上的排气管，烟道留置的高度、位置应符合上人屋面或不上人屋面的规定；</w:t>
      </w:r>
    </w:p>
    <w:p w14:paraId="5C0A4E22">
      <w:pPr>
        <w:spacing w:line="400" w:lineRule="exact"/>
        <w:ind w:firstLine="422" w:firstLineChars="200"/>
        <w:rPr>
          <w:color w:val="000000"/>
          <w:szCs w:val="21"/>
        </w:rPr>
      </w:pPr>
      <w:r>
        <w:rPr>
          <w:b/>
          <w:bCs/>
          <w:color w:val="000000"/>
          <w:szCs w:val="21"/>
        </w:rPr>
        <w:t xml:space="preserve">5  </w:t>
      </w:r>
      <w:r>
        <w:rPr>
          <w:color w:val="000000"/>
          <w:szCs w:val="21"/>
        </w:rPr>
        <w:t>檐口、檐沟和天沟、女儿墙和山墙、水落口、变形缝、伸出屋面管道、屋面出入口、反梁过水孔、设施基座、屋脊、屋顶窗等细部构造符合设计要求；</w:t>
      </w:r>
    </w:p>
    <w:p w14:paraId="7B0CCD1E">
      <w:pPr>
        <w:spacing w:line="400" w:lineRule="exact"/>
        <w:ind w:firstLine="420" w:firstLineChars="200"/>
        <w:rPr>
          <w:color w:val="000000"/>
          <w:szCs w:val="21"/>
        </w:rPr>
      </w:pPr>
      <w:r>
        <w:rPr>
          <w:color w:val="000000"/>
          <w:szCs w:val="21"/>
        </w:rPr>
        <w:t>6  屋面防水层不得有渗漏或积水现象；</w:t>
      </w:r>
    </w:p>
    <w:p w14:paraId="7C1970FA">
      <w:pPr>
        <w:spacing w:line="400" w:lineRule="exact"/>
        <w:ind w:firstLine="422" w:firstLineChars="200"/>
        <w:rPr>
          <w:color w:val="000000"/>
          <w:szCs w:val="21"/>
        </w:rPr>
      </w:pPr>
      <w:r>
        <w:rPr>
          <w:b/>
          <w:bCs/>
          <w:color w:val="000000"/>
          <w:szCs w:val="21"/>
        </w:rPr>
        <w:t xml:space="preserve">7  </w:t>
      </w:r>
      <w:r>
        <w:rPr>
          <w:color w:val="000000"/>
          <w:szCs w:val="21"/>
        </w:rPr>
        <w:t>密封材料嵌填必须密实、连续、饱满、粘结牢固，不应有气泡、开裂、脱落等缺陷；</w:t>
      </w:r>
    </w:p>
    <w:p w14:paraId="36636228">
      <w:pPr>
        <w:spacing w:line="400" w:lineRule="exact"/>
        <w:ind w:firstLine="422" w:firstLineChars="200"/>
        <w:rPr>
          <w:color w:val="000000"/>
          <w:szCs w:val="21"/>
        </w:rPr>
      </w:pPr>
      <w:r>
        <w:rPr>
          <w:b/>
          <w:bCs/>
          <w:color w:val="000000"/>
          <w:szCs w:val="21"/>
        </w:rPr>
        <w:t>8</w:t>
      </w:r>
      <w:r>
        <w:rPr>
          <w:color w:val="000000"/>
          <w:szCs w:val="21"/>
        </w:rPr>
        <w:t xml:space="preserve">  压型金属板、金属面夹芯板、泛水板连接节点应符合设计要求，固定应牢固可靠，密封材料敷设应完好；金属屋面板应具有抗风揭性能；</w:t>
      </w:r>
    </w:p>
    <w:p w14:paraId="219A4D72">
      <w:pPr>
        <w:spacing w:line="400" w:lineRule="exact"/>
        <w:ind w:firstLine="422" w:firstLineChars="200"/>
        <w:rPr>
          <w:color w:val="000000"/>
          <w:szCs w:val="21"/>
        </w:rPr>
      </w:pPr>
      <w:r>
        <w:rPr>
          <w:b/>
          <w:bCs/>
          <w:color w:val="000000"/>
          <w:szCs w:val="21"/>
        </w:rPr>
        <w:t>9</w:t>
      </w:r>
      <w:r>
        <w:rPr>
          <w:color w:val="000000"/>
          <w:szCs w:val="21"/>
        </w:rPr>
        <w:t xml:space="preserve">  种植隔热层所用材料和架空隔热层制品的质量应符合设计要求；蓄水隔热层不得有渗漏现象。</w:t>
      </w:r>
    </w:p>
    <w:p w14:paraId="4B994F65">
      <w:pPr>
        <w:spacing w:line="400" w:lineRule="exact"/>
        <w:rPr>
          <w:color w:val="000000"/>
          <w:szCs w:val="21"/>
        </w:rPr>
      </w:pPr>
      <w:r>
        <w:rPr>
          <w:b/>
          <w:color w:val="000000"/>
          <w:szCs w:val="21"/>
        </w:rPr>
        <w:t xml:space="preserve">7.2.2  </w:t>
      </w:r>
      <w:r>
        <w:rPr>
          <w:color w:val="000000"/>
          <w:szCs w:val="21"/>
        </w:rPr>
        <w:t>防水保护层材料的质量、配合比及强度等级应符合设计要求，排水坡度和分格缝做法，应符合国家现行标准的要求和设计要求，并应符合</w:t>
      </w:r>
      <w:r>
        <w:rPr>
          <w:rFonts w:hint="eastAsia"/>
          <w:color w:val="000000"/>
          <w:szCs w:val="21"/>
        </w:rPr>
        <w:t>下列规定</w:t>
      </w:r>
      <w:r>
        <w:rPr>
          <w:color w:val="000000"/>
          <w:szCs w:val="21"/>
        </w:rPr>
        <w:t>：</w:t>
      </w:r>
    </w:p>
    <w:p w14:paraId="2A073F3D">
      <w:pPr>
        <w:spacing w:line="400" w:lineRule="exact"/>
        <w:ind w:firstLine="459"/>
        <w:rPr>
          <w:color w:val="000000"/>
          <w:szCs w:val="21"/>
        </w:rPr>
      </w:pPr>
      <w:r>
        <w:rPr>
          <w:b/>
          <w:color w:val="000000"/>
          <w:szCs w:val="21"/>
        </w:rPr>
        <w:t xml:space="preserve">1  </w:t>
      </w:r>
      <w:r>
        <w:rPr>
          <w:color w:val="000000"/>
          <w:szCs w:val="21"/>
        </w:rPr>
        <w:t>块体材料保护层表面应干净，接缝应平整，周边应顺直，镶嵌应正确，应无空鼓现象</w:t>
      </w:r>
      <w:r>
        <w:rPr>
          <w:rFonts w:hint="eastAsia"/>
          <w:color w:val="000000"/>
          <w:szCs w:val="21"/>
        </w:rPr>
        <w:t>；</w:t>
      </w:r>
    </w:p>
    <w:p w14:paraId="6EB95A86">
      <w:pPr>
        <w:spacing w:line="400" w:lineRule="exact"/>
        <w:ind w:firstLine="459"/>
        <w:rPr>
          <w:color w:val="000000"/>
        </w:rPr>
      </w:pPr>
      <w:r>
        <w:rPr>
          <w:rFonts w:hint="eastAsia"/>
          <w:b/>
          <w:color w:val="000000"/>
          <w:szCs w:val="21"/>
        </w:rPr>
        <w:t>2</w:t>
      </w:r>
      <w:r>
        <w:rPr>
          <w:rFonts w:hint="eastAsia" w:ascii="宋体" w:hAnsi="宋体" w:cs="宋体"/>
          <w:bCs/>
          <w:color w:val="000000"/>
          <w:kern w:val="2"/>
          <w:szCs w:val="21"/>
        </w:rPr>
        <w:t xml:space="preserve">  块体材料、细石混凝土保护层与女儿墙和山墙之间应预留30</w:t>
      </w:r>
      <w:r>
        <w:rPr>
          <w:rFonts w:ascii="宋体" w:hAnsi="宋体" w:cs="宋体"/>
          <w:bCs/>
          <w:color w:val="000000"/>
          <w:kern w:val="2"/>
          <w:szCs w:val="21"/>
        </w:rPr>
        <w:t xml:space="preserve"> </w:t>
      </w:r>
      <w:r>
        <w:rPr>
          <w:rFonts w:hint="eastAsia" w:ascii="宋体" w:hAnsi="宋体" w:cs="宋体"/>
          <w:bCs/>
          <w:color w:val="000000"/>
          <w:kern w:val="2"/>
          <w:szCs w:val="21"/>
        </w:rPr>
        <w:t>mm缝隙，并用密封材料嵌填密实；</w:t>
      </w:r>
    </w:p>
    <w:p w14:paraId="7C559779">
      <w:pPr>
        <w:spacing w:line="400" w:lineRule="exact"/>
        <w:ind w:firstLine="459"/>
        <w:rPr>
          <w:color w:val="000000"/>
          <w:szCs w:val="21"/>
        </w:rPr>
      </w:pPr>
      <w:r>
        <w:rPr>
          <w:rFonts w:hint="eastAsia"/>
          <w:b/>
          <w:color w:val="000000"/>
          <w:szCs w:val="21"/>
        </w:rPr>
        <w:t>3</w:t>
      </w:r>
      <w:r>
        <w:rPr>
          <w:b/>
          <w:color w:val="000000"/>
          <w:szCs w:val="21"/>
        </w:rPr>
        <w:t xml:space="preserve">  </w:t>
      </w:r>
      <w:r>
        <w:rPr>
          <w:color w:val="000000"/>
          <w:szCs w:val="21"/>
        </w:rPr>
        <w:t>水泥砂浆、细石混凝土保护层应纵横顺直、均匀，嵌缝应密实无污染，不得有裂纹、脱皮、麻面和起砂现象。用细石混凝土做保护层时，混凝土应振捣密实，表面应抹平压光，分格缝纵横间距不应大于4 m，分格缝宽度宜为10 mm ~ 20 mm；</w:t>
      </w:r>
      <w:r>
        <w:rPr>
          <w:rFonts w:hint="eastAsia" w:ascii="宋体" w:hAnsi="宋体" w:cs="宋体"/>
          <w:bCs/>
          <w:color w:val="000000"/>
          <w:szCs w:val="21"/>
        </w:rPr>
        <w:t>用水泥砂浆做保护层时，表面应抹平压光，并应设置表面分隔缝，分隔面积宜为1</w:t>
      </w:r>
      <w:r>
        <w:rPr>
          <w:rFonts w:ascii="宋体" w:hAnsi="宋体" w:cs="宋体"/>
          <w:bCs/>
          <w:color w:val="000000"/>
          <w:szCs w:val="21"/>
        </w:rPr>
        <w:t xml:space="preserve"> </w:t>
      </w:r>
      <w:r>
        <w:rPr>
          <w:rFonts w:hint="eastAsia"/>
          <w:color w:val="000000"/>
          <w:szCs w:val="21"/>
        </w:rPr>
        <w:t>m</w:t>
      </w:r>
      <w:r>
        <w:rPr>
          <w:rFonts w:hint="eastAsia" w:ascii="宋体" w:hAnsi="宋体" w:cs="宋体"/>
          <w:bCs/>
          <w:color w:val="000000"/>
          <w:szCs w:val="21"/>
          <w:vertAlign w:val="superscript"/>
        </w:rPr>
        <w:t>2</w:t>
      </w:r>
      <w:r>
        <w:rPr>
          <w:rFonts w:hint="eastAsia" w:ascii="宋体" w:hAnsi="宋体" w:cs="宋体"/>
          <w:bCs/>
          <w:color w:val="000000"/>
          <w:szCs w:val="21"/>
        </w:rPr>
        <w:t>；</w:t>
      </w:r>
    </w:p>
    <w:p w14:paraId="549F0C52">
      <w:pPr>
        <w:spacing w:line="400" w:lineRule="exact"/>
        <w:ind w:firstLine="459"/>
        <w:rPr>
          <w:color w:val="000000"/>
          <w:szCs w:val="21"/>
        </w:rPr>
      </w:pPr>
      <w:r>
        <w:rPr>
          <w:rFonts w:hint="eastAsia"/>
          <w:b/>
          <w:color w:val="000000"/>
          <w:szCs w:val="21"/>
        </w:rPr>
        <w:t>4</w:t>
      </w:r>
      <w:r>
        <w:rPr>
          <w:b/>
          <w:color w:val="000000"/>
          <w:szCs w:val="21"/>
        </w:rPr>
        <w:t xml:space="preserve">  </w:t>
      </w:r>
      <w:r>
        <w:rPr>
          <w:color w:val="000000"/>
          <w:szCs w:val="21"/>
        </w:rPr>
        <w:t>浅色涂料应与防水层粘结牢固，厚薄应均匀，不应有漏刷、透底现象。</w:t>
      </w:r>
    </w:p>
    <w:p w14:paraId="3DA2D0DB">
      <w:pPr>
        <w:spacing w:line="400" w:lineRule="exact"/>
        <w:rPr>
          <w:color w:val="000000"/>
          <w:szCs w:val="21"/>
        </w:rPr>
      </w:pPr>
      <w:r>
        <w:rPr>
          <w:b/>
          <w:color w:val="000000"/>
          <w:szCs w:val="21"/>
        </w:rPr>
        <w:t xml:space="preserve">7.2.3 </w:t>
      </w:r>
      <w:r>
        <w:rPr>
          <w:color w:val="000000"/>
          <w:szCs w:val="21"/>
        </w:rPr>
        <w:t>坡屋面的施工应符合现行国家标准的有关规定和设计要求，并应符合</w:t>
      </w:r>
      <w:r>
        <w:rPr>
          <w:rFonts w:hint="eastAsia"/>
          <w:color w:val="000000"/>
          <w:szCs w:val="21"/>
        </w:rPr>
        <w:t>下列规定</w:t>
      </w:r>
      <w:r>
        <w:rPr>
          <w:color w:val="000000"/>
          <w:szCs w:val="21"/>
        </w:rPr>
        <w:t>：</w:t>
      </w:r>
    </w:p>
    <w:p w14:paraId="4E1B0602">
      <w:pPr>
        <w:spacing w:line="400" w:lineRule="exact"/>
        <w:ind w:firstLine="459"/>
        <w:rPr>
          <w:color w:val="000000"/>
          <w:szCs w:val="21"/>
        </w:rPr>
      </w:pPr>
      <w:r>
        <w:rPr>
          <w:b/>
          <w:bCs/>
          <w:color w:val="000000"/>
          <w:szCs w:val="21"/>
        </w:rPr>
        <w:t>1</w:t>
      </w:r>
      <w:r>
        <w:rPr>
          <w:color w:val="000000"/>
          <w:szCs w:val="21"/>
        </w:rPr>
        <w:t xml:space="preserve">  瓦片必须铺设牢固。在大风及抗震设防地区，或屋面坡度大于100 ％时，瓦材或板材应采取固定加强措施；</w:t>
      </w:r>
    </w:p>
    <w:p w14:paraId="20EC3210">
      <w:pPr>
        <w:spacing w:line="400" w:lineRule="exact"/>
        <w:ind w:firstLine="459"/>
        <w:rPr>
          <w:color w:val="000000"/>
          <w:szCs w:val="21"/>
        </w:rPr>
      </w:pPr>
      <w:r>
        <w:rPr>
          <w:b/>
          <w:bCs/>
          <w:color w:val="000000"/>
          <w:szCs w:val="21"/>
        </w:rPr>
        <w:t>2</w:t>
      </w:r>
      <w:r>
        <w:rPr>
          <w:color w:val="000000"/>
          <w:szCs w:val="21"/>
        </w:rPr>
        <w:t xml:space="preserve">  严寒和寒冷地区的檐口部位应采取防冰雪融坠的安全措施。</w:t>
      </w:r>
    </w:p>
    <w:p w14:paraId="70507547">
      <w:pPr>
        <w:spacing w:line="400" w:lineRule="exact"/>
        <w:rPr>
          <w:color w:val="000000"/>
          <w:szCs w:val="21"/>
        </w:rPr>
      </w:pPr>
      <w:r>
        <w:rPr>
          <w:b/>
          <w:color w:val="000000"/>
          <w:szCs w:val="21"/>
        </w:rPr>
        <w:t xml:space="preserve">7.2.4  </w:t>
      </w:r>
      <w:r>
        <w:rPr>
          <w:color w:val="000000"/>
          <w:szCs w:val="21"/>
        </w:rPr>
        <w:t>瓦屋面以及金属屋面，蓄水、种植、隔热架空屋面的做法，应符合相关规范的规定。</w:t>
      </w:r>
    </w:p>
    <w:p w14:paraId="5172266F">
      <w:pPr>
        <w:spacing w:line="400" w:lineRule="exact"/>
        <w:rPr>
          <w:color w:val="000000"/>
          <w:szCs w:val="21"/>
        </w:rPr>
      </w:pPr>
      <w:r>
        <w:rPr>
          <w:b/>
          <w:color w:val="000000"/>
          <w:szCs w:val="21"/>
        </w:rPr>
        <w:t xml:space="preserve">7.2.5  </w:t>
      </w:r>
      <w:r>
        <w:rPr>
          <w:rFonts w:hint="eastAsia"/>
          <w:bCs/>
          <w:color w:val="000000"/>
          <w:szCs w:val="21"/>
        </w:rPr>
        <w:t>屋面玻璃或雨棚玻璃必须使用夹层玻璃或夹层中空玻璃</w:t>
      </w:r>
      <w:r>
        <w:rPr>
          <w:bCs/>
          <w:color w:val="000000"/>
          <w:szCs w:val="21"/>
        </w:rPr>
        <w:t>，其</w:t>
      </w:r>
      <w:r>
        <w:rPr>
          <w:color w:val="000000"/>
          <w:szCs w:val="21"/>
        </w:rPr>
        <w:t>胶片厚度不应小于0.76 mm。</w:t>
      </w:r>
    </w:p>
    <w:p w14:paraId="75E4933A">
      <w:pPr>
        <w:spacing w:line="400" w:lineRule="exact"/>
        <w:rPr>
          <w:rFonts w:ascii="宋体" w:hAnsi="宋体" w:cs="宋体"/>
          <w:bCs/>
          <w:color w:val="000000"/>
          <w:szCs w:val="21"/>
          <w:shd w:val="clear" w:color="FFFFFF" w:fill="D9D9D9"/>
        </w:rPr>
      </w:pPr>
      <w:r>
        <w:rPr>
          <w:b/>
          <w:color w:val="000000"/>
          <w:szCs w:val="21"/>
        </w:rPr>
        <w:t xml:space="preserve">7.2.6  </w:t>
      </w:r>
      <w:r>
        <w:rPr>
          <w:color w:val="000000"/>
          <w:szCs w:val="21"/>
        </w:rPr>
        <w:t>顶层阳台应设</w:t>
      </w:r>
      <w:r>
        <w:rPr>
          <w:rFonts w:hint="eastAsia"/>
          <w:color w:val="000000"/>
          <w:szCs w:val="21"/>
        </w:rPr>
        <w:t>雨棚</w:t>
      </w:r>
      <w:r>
        <w:rPr>
          <w:color w:val="000000"/>
          <w:szCs w:val="21"/>
        </w:rPr>
        <w:t>，</w:t>
      </w:r>
      <w:r>
        <w:rPr>
          <w:rFonts w:hint="eastAsia"/>
          <w:color w:val="000000"/>
          <w:szCs w:val="21"/>
        </w:rPr>
        <w:t>雨棚</w:t>
      </w:r>
      <w:r>
        <w:rPr>
          <w:color w:val="000000"/>
          <w:szCs w:val="21"/>
        </w:rPr>
        <w:t>应设防水层，阳台</w:t>
      </w:r>
      <w:r>
        <w:rPr>
          <w:rFonts w:hint="eastAsia"/>
          <w:color w:val="000000"/>
          <w:szCs w:val="21"/>
        </w:rPr>
        <w:t>雨棚</w:t>
      </w:r>
      <w:r>
        <w:rPr>
          <w:color w:val="000000"/>
          <w:szCs w:val="21"/>
        </w:rPr>
        <w:t>应采取有组织排水。</w:t>
      </w:r>
      <w:r>
        <w:rPr>
          <w:rFonts w:hint="eastAsia"/>
          <w:bCs/>
          <w:color w:val="000000"/>
          <w:szCs w:val="21"/>
        </w:rPr>
        <w:t>屋面安全疏散出入口应设置雨棚。</w:t>
      </w:r>
    </w:p>
    <w:p w14:paraId="262DA069">
      <w:pPr>
        <w:spacing w:line="400" w:lineRule="exact"/>
        <w:rPr>
          <w:color w:val="000000"/>
          <w:szCs w:val="21"/>
        </w:rPr>
      </w:pPr>
      <w:r>
        <w:rPr>
          <w:b/>
          <w:color w:val="000000"/>
          <w:szCs w:val="21"/>
        </w:rPr>
        <w:t xml:space="preserve">7.2.7  </w:t>
      </w:r>
      <w:r>
        <w:rPr>
          <w:color w:val="000000"/>
          <w:szCs w:val="21"/>
        </w:rPr>
        <w:t>雨水落斗、管承插的连接及管箍的固定方式应正确并安装牢固。雨水管出水口的高度、与地面的距离、弯度，应符合规范规定，并应排水通畅。</w:t>
      </w:r>
    </w:p>
    <w:p w14:paraId="6D350E3C">
      <w:pPr>
        <w:spacing w:line="400" w:lineRule="exact"/>
        <w:rPr>
          <w:color w:val="000000"/>
          <w:szCs w:val="21"/>
        </w:rPr>
      </w:pPr>
      <w:r>
        <w:rPr>
          <w:b/>
          <w:bCs/>
          <w:color w:val="000000"/>
          <w:szCs w:val="21"/>
        </w:rPr>
        <w:t>7.2.8</w:t>
      </w:r>
      <w:r>
        <w:rPr>
          <w:color w:val="000000"/>
          <w:szCs w:val="21"/>
        </w:rPr>
        <w:t xml:space="preserve">  屋面应设上人检修口，爬梯的设置应符合规范规定。</w:t>
      </w:r>
    </w:p>
    <w:p w14:paraId="302ABB01">
      <w:pPr>
        <w:spacing w:line="400" w:lineRule="exact"/>
        <w:rPr>
          <w:color w:val="000000"/>
          <w:szCs w:val="21"/>
        </w:rPr>
      </w:pPr>
      <w:r>
        <w:rPr>
          <w:b/>
          <w:bCs/>
          <w:color w:val="000000"/>
          <w:szCs w:val="21"/>
        </w:rPr>
        <w:t xml:space="preserve">7.2.9  </w:t>
      </w:r>
      <w:r>
        <w:rPr>
          <w:color w:val="000000"/>
          <w:szCs w:val="21"/>
        </w:rPr>
        <w:t>当采用具备光伏发电功能的建筑构件时，该构件既应满足屋面防水功能的要求，也应满足光伏构件的要求。光伏组件与屋面细部节点的连接构造应符合设计要求；光伏构件与建筑面层之间，应设置100 mm安装空间和散热间隙；光伏组件与细部构造的连接部位应与屋面协调一致。</w:t>
      </w:r>
    </w:p>
    <w:p w14:paraId="2EE79DC5">
      <w:pPr>
        <w:pStyle w:val="4"/>
        <w:numPr>
          <w:ilvl w:val="1"/>
          <w:numId w:val="0"/>
        </w:numPr>
        <w:spacing w:before="312" w:beforeLines="100" w:line="400" w:lineRule="exact"/>
        <w:jc w:val="center"/>
        <w:rPr>
          <w:rFonts w:ascii="Times New Roman" w:hAnsi="Times New Roman" w:eastAsia="黑体"/>
          <w:sz w:val="24"/>
          <w:szCs w:val="24"/>
        </w:rPr>
      </w:pPr>
      <w:bookmarkStart w:id="358" w:name="_Toc29542"/>
      <w:bookmarkStart w:id="359" w:name="_Toc8126"/>
      <w:bookmarkStart w:id="360" w:name="_Toc11052"/>
      <w:bookmarkStart w:id="361" w:name="_Toc19992"/>
      <w:r>
        <w:rPr>
          <w:rFonts w:ascii="Times New Roman" w:hAnsi="Times New Roman" w:eastAsia="黑体"/>
          <w:b/>
          <w:bCs/>
          <w:sz w:val="24"/>
          <w:szCs w:val="24"/>
        </w:rPr>
        <w:t>7.3</w:t>
      </w:r>
      <w:r>
        <w:rPr>
          <w:rFonts w:ascii="Times New Roman" w:hAnsi="Times New Roman" w:eastAsia="黑体"/>
          <w:sz w:val="24"/>
          <w:szCs w:val="24"/>
        </w:rPr>
        <w:t xml:space="preserve"> </w:t>
      </w:r>
      <w:r>
        <w:rPr>
          <w:rFonts w:ascii="Times New Roman" w:hAnsi="Times New Roman" w:eastAsia="黑体"/>
          <w:sz w:val="24"/>
          <w:szCs w:val="24"/>
          <w:lang w:val="en-US"/>
        </w:rPr>
        <w:t xml:space="preserve"> </w:t>
      </w:r>
      <w:r>
        <w:rPr>
          <w:rFonts w:ascii="Times New Roman" w:hAnsi="Times New Roman" w:eastAsia="黑体"/>
          <w:sz w:val="24"/>
          <w:szCs w:val="24"/>
        </w:rPr>
        <w:t>外装修工程</w:t>
      </w:r>
      <w:bookmarkEnd w:id="343"/>
      <w:bookmarkEnd w:id="344"/>
      <w:bookmarkEnd w:id="345"/>
      <w:bookmarkEnd w:id="346"/>
      <w:bookmarkEnd w:id="347"/>
      <w:bookmarkEnd w:id="358"/>
      <w:bookmarkEnd w:id="359"/>
      <w:bookmarkEnd w:id="360"/>
      <w:bookmarkEnd w:id="361"/>
    </w:p>
    <w:p w14:paraId="71DD0EA1">
      <w:pPr>
        <w:spacing w:line="400" w:lineRule="exact"/>
        <w:rPr>
          <w:color w:val="000000"/>
          <w:szCs w:val="21"/>
        </w:rPr>
      </w:pPr>
      <w:bookmarkStart w:id="362" w:name="_Toc30617"/>
      <w:bookmarkStart w:id="363" w:name="_Toc5774"/>
      <w:bookmarkStart w:id="364" w:name="_Toc12113"/>
      <w:bookmarkStart w:id="365" w:name="_Toc19327"/>
      <w:bookmarkStart w:id="366" w:name="_Toc24403"/>
      <w:r>
        <w:rPr>
          <w:b/>
          <w:color w:val="000000"/>
          <w:szCs w:val="21"/>
        </w:rPr>
        <w:t xml:space="preserve">7.3.1  </w:t>
      </w:r>
      <w:r>
        <w:rPr>
          <w:color w:val="000000"/>
          <w:szCs w:val="21"/>
        </w:rPr>
        <w:t>外装修工程质量应符合</w:t>
      </w:r>
      <w:r>
        <w:rPr>
          <w:rFonts w:hint="eastAsia"/>
          <w:color w:val="000000"/>
          <w:szCs w:val="21"/>
        </w:rPr>
        <w:t>下列规定</w:t>
      </w:r>
      <w:r>
        <w:rPr>
          <w:color w:val="000000"/>
          <w:szCs w:val="21"/>
        </w:rPr>
        <w:t>：</w:t>
      </w:r>
    </w:p>
    <w:p w14:paraId="3CA9C724">
      <w:pPr>
        <w:spacing w:line="400" w:lineRule="exact"/>
        <w:ind w:firstLine="459"/>
        <w:rPr>
          <w:color w:val="000000"/>
          <w:szCs w:val="21"/>
        </w:rPr>
      </w:pPr>
      <w:r>
        <w:rPr>
          <w:color w:val="000000"/>
          <w:szCs w:val="21"/>
        </w:rPr>
        <w:t>1  混凝土结构工程的外墙面、檐口、阳台、</w:t>
      </w:r>
      <w:r>
        <w:rPr>
          <w:rFonts w:hint="eastAsia"/>
          <w:color w:val="000000"/>
          <w:szCs w:val="21"/>
        </w:rPr>
        <w:t>雨棚</w:t>
      </w:r>
      <w:r>
        <w:rPr>
          <w:color w:val="000000"/>
          <w:szCs w:val="21"/>
        </w:rPr>
        <w:t>、栏板、女儿墙等部位外侧面均不得抹灰。墙面局部抹灰修补面积不得大于</w:t>
      </w:r>
      <w:r>
        <w:rPr>
          <w:rFonts w:hint="eastAsia"/>
          <w:color w:val="000000"/>
          <w:szCs w:val="21"/>
        </w:rPr>
        <w:t xml:space="preserve"> </w:t>
      </w:r>
      <w:r>
        <w:rPr>
          <w:color w:val="000000"/>
          <w:szCs w:val="21"/>
        </w:rPr>
        <w:t>0.5 m</w:t>
      </w:r>
      <w:r>
        <w:rPr>
          <w:color w:val="000000"/>
          <w:kern w:val="28"/>
          <w:szCs w:val="21"/>
          <w:vertAlign w:val="superscript"/>
        </w:rPr>
        <w:t>2</w:t>
      </w:r>
      <w:r>
        <w:rPr>
          <w:color w:val="000000"/>
          <w:szCs w:val="21"/>
        </w:rPr>
        <w:t>，且应粘接牢固，不应有空鼓、开裂；</w:t>
      </w:r>
    </w:p>
    <w:p w14:paraId="7822B61B">
      <w:pPr>
        <w:spacing w:line="400" w:lineRule="exact"/>
        <w:ind w:firstLine="459"/>
        <w:rPr>
          <w:color w:val="000000"/>
          <w:szCs w:val="21"/>
        </w:rPr>
      </w:pPr>
      <w:r>
        <w:rPr>
          <w:b/>
          <w:color w:val="000000"/>
          <w:szCs w:val="21"/>
        </w:rPr>
        <w:t xml:space="preserve">2  </w:t>
      </w:r>
      <w:r>
        <w:rPr>
          <w:color w:val="000000"/>
          <w:szCs w:val="21"/>
        </w:rPr>
        <w:t>清水混凝土不应有影响使用功能或装饰效果的缺棱、掉角、棱角不直、翘曲不平、飞边凸肋等外形缺陷。具有重要装饰效果的清水混凝土饰面不应有麻面、掉皮、起砂、沾污、色差等外表缺陷；</w:t>
      </w:r>
    </w:p>
    <w:p w14:paraId="1B0E3216">
      <w:pPr>
        <w:spacing w:line="400" w:lineRule="exact"/>
        <w:ind w:firstLine="459"/>
        <w:rPr>
          <w:color w:val="000000"/>
          <w:szCs w:val="21"/>
        </w:rPr>
      </w:pPr>
      <w:r>
        <w:rPr>
          <w:b/>
          <w:color w:val="000000"/>
          <w:szCs w:val="21"/>
        </w:rPr>
        <w:t xml:space="preserve">3  </w:t>
      </w:r>
      <w:r>
        <w:rPr>
          <w:color w:val="000000"/>
          <w:szCs w:val="21"/>
        </w:rPr>
        <w:t>清水砌体工程，勾缝应无漏勾，勾缝材料应粘接牢固、无开裂，灰缝应横平竖直、交接处平顺、宽度和深度均匀，表面应压实抹平，不得有瞎缝、假缝、透缝。墙体不应有剔凿、修补、裂缝、渗漏现象</w:t>
      </w:r>
      <w:r>
        <w:rPr>
          <w:rFonts w:hint="eastAsia"/>
          <w:color w:val="000000"/>
          <w:szCs w:val="21"/>
        </w:rPr>
        <w:t>；</w:t>
      </w:r>
    </w:p>
    <w:p w14:paraId="0A01ED69">
      <w:pPr>
        <w:spacing w:line="400" w:lineRule="exact"/>
        <w:ind w:firstLine="459"/>
        <w:rPr>
          <w:color w:val="000000"/>
          <w:szCs w:val="21"/>
        </w:rPr>
      </w:pPr>
      <w:r>
        <w:rPr>
          <w:b/>
          <w:bCs/>
          <w:color w:val="000000"/>
          <w:szCs w:val="21"/>
        </w:rPr>
        <w:t>4</w:t>
      </w:r>
      <w:r>
        <w:rPr>
          <w:color w:val="000000"/>
          <w:szCs w:val="21"/>
        </w:rPr>
        <w:t xml:space="preserve">  室外墙面应平整、缝格平直、大角顺直；涂饰墙面分格缝平直无污染；饰面砖墙面排砖合理</w:t>
      </w:r>
      <w:r>
        <w:rPr>
          <w:rFonts w:hint="eastAsia"/>
          <w:color w:val="000000"/>
          <w:szCs w:val="21"/>
        </w:rPr>
        <w:t>，并</w:t>
      </w:r>
      <w:r>
        <w:rPr>
          <w:rFonts w:hint="eastAsia" w:ascii="宋体" w:hAnsi="宋体" w:cs="宋体"/>
          <w:bCs/>
          <w:color w:val="000000"/>
          <w:szCs w:val="21"/>
        </w:rPr>
        <w:t>应设置伸缩缝，伸缩缝间距不大于6</w:t>
      </w:r>
      <w:r>
        <w:rPr>
          <w:rFonts w:ascii="宋体" w:hAnsi="宋体" w:cs="宋体"/>
          <w:bCs/>
          <w:color w:val="000000"/>
          <w:szCs w:val="21"/>
        </w:rPr>
        <w:t xml:space="preserve"> </w:t>
      </w:r>
      <w:r>
        <w:rPr>
          <w:rFonts w:hint="eastAsia" w:ascii="宋体" w:hAnsi="宋体" w:cs="宋体"/>
          <w:bCs/>
          <w:color w:val="000000"/>
          <w:szCs w:val="21"/>
        </w:rPr>
        <w:t>m，宽度宜为 20</w:t>
      </w:r>
      <w:r>
        <w:rPr>
          <w:rFonts w:ascii="宋体" w:hAnsi="宋体" w:cs="宋体"/>
          <w:bCs/>
          <w:color w:val="000000"/>
          <w:szCs w:val="21"/>
        </w:rPr>
        <w:t xml:space="preserve"> </w:t>
      </w:r>
      <w:r>
        <w:rPr>
          <w:rFonts w:hint="eastAsia" w:ascii="宋体" w:hAnsi="宋体" w:cs="宋体"/>
          <w:bCs/>
          <w:color w:val="000000"/>
          <w:szCs w:val="21"/>
        </w:rPr>
        <w:t>mm，且应采用耐候密封胶嵌缝</w:t>
      </w:r>
      <w:r>
        <w:rPr>
          <w:color w:val="000000"/>
          <w:szCs w:val="21"/>
        </w:rPr>
        <w:t>；幕墙墙面色泽一致，拼缝严密；</w:t>
      </w:r>
    </w:p>
    <w:p w14:paraId="656B0CE5">
      <w:pPr>
        <w:spacing w:line="400" w:lineRule="exact"/>
        <w:ind w:firstLine="459"/>
        <w:rPr>
          <w:color w:val="000000"/>
          <w:szCs w:val="21"/>
        </w:rPr>
      </w:pPr>
      <w:r>
        <w:rPr>
          <w:b/>
          <w:bCs/>
          <w:color w:val="000000"/>
          <w:szCs w:val="21"/>
        </w:rPr>
        <w:t>5</w:t>
      </w:r>
      <w:r>
        <w:rPr>
          <w:color w:val="000000"/>
          <w:szCs w:val="21"/>
        </w:rPr>
        <w:t xml:space="preserve">  变形缝应固定牢固，满足变形性能，接缝严密，胶面平顺；沉降观测点位置合理，安装牢固方正，标识规范清楚</w:t>
      </w:r>
      <w:r>
        <w:rPr>
          <w:rFonts w:hint="eastAsia"/>
          <w:color w:val="000000"/>
          <w:szCs w:val="21"/>
        </w:rPr>
        <w:t>；</w:t>
      </w:r>
    </w:p>
    <w:p w14:paraId="64BB5C46">
      <w:pPr>
        <w:spacing w:line="400" w:lineRule="exact"/>
        <w:ind w:firstLine="459"/>
        <w:rPr>
          <w:color w:val="000000"/>
          <w:szCs w:val="21"/>
        </w:rPr>
      </w:pPr>
      <w:r>
        <w:rPr>
          <w:rFonts w:hint="eastAsia"/>
          <w:b/>
          <w:bCs/>
          <w:color w:val="000000"/>
          <w:szCs w:val="21"/>
        </w:rPr>
        <w:t xml:space="preserve">6  </w:t>
      </w:r>
      <w:r>
        <w:rPr>
          <w:color w:val="000000"/>
          <w:szCs w:val="21"/>
        </w:rPr>
        <w:t>有排水要求的部位应做滴水线（槽），应整齐顺直；滴水线应内高外低，滴水槽的宽度和深度应符合设计要求，且均不应小于10 mm。滴水槽应与两侧墙面留有10 mm ~ 20 mm的距离。</w:t>
      </w:r>
    </w:p>
    <w:p w14:paraId="6F4ED4AD">
      <w:pPr>
        <w:spacing w:line="400" w:lineRule="exact"/>
        <w:rPr>
          <w:color w:val="000000"/>
          <w:szCs w:val="21"/>
        </w:rPr>
      </w:pPr>
      <w:r>
        <w:rPr>
          <w:b/>
          <w:color w:val="000000"/>
          <w:szCs w:val="21"/>
        </w:rPr>
        <w:t xml:space="preserve">7.3.2  </w:t>
      </w:r>
      <w:r>
        <w:rPr>
          <w:color w:val="000000"/>
          <w:szCs w:val="21"/>
        </w:rPr>
        <w:t>建筑物外墙外保温的保温层安装必须牢固，面层应平整，不得起泡或剥落，不得有裂缝和渗水。</w:t>
      </w:r>
    </w:p>
    <w:p w14:paraId="7A896621">
      <w:pPr>
        <w:spacing w:line="400" w:lineRule="exact"/>
        <w:rPr>
          <w:b/>
          <w:bCs/>
          <w:color w:val="000000"/>
          <w:szCs w:val="21"/>
        </w:rPr>
      </w:pPr>
      <w:r>
        <w:rPr>
          <w:rFonts w:hint="eastAsia"/>
          <w:b/>
          <w:bCs/>
          <w:color w:val="000000"/>
          <w:szCs w:val="21"/>
        </w:rPr>
        <w:t xml:space="preserve">7.3.3  </w:t>
      </w:r>
      <w:r>
        <w:rPr>
          <w:rFonts w:hint="eastAsia"/>
          <w:color w:val="000000"/>
          <w:szCs w:val="21"/>
        </w:rPr>
        <w:t>民用建筑安全出入口应设置雨棚，车库的出入口和坡道上方应有防坠落措施，坡度、截水、排水应符合设计要求。</w:t>
      </w:r>
    </w:p>
    <w:p w14:paraId="64EED1A2">
      <w:pPr>
        <w:pStyle w:val="4"/>
        <w:numPr>
          <w:ilvl w:val="1"/>
          <w:numId w:val="0"/>
        </w:numPr>
        <w:spacing w:before="312" w:beforeLines="100" w:line="400" w:lineRule="exact"/>
        <w:jc w:val="center"/>
        <w:rPr>
          <w:rFonts w:ascii="Times New Roman" w:hAnsi="Times New Roman" w:eastAsia="黑体"/>
          <w:sz w:val="24"/>
          <w:szCs w:val="24"/>
        </w:rPr>
      </w:pPr>
      <w:bookmarkStart w:id="367" w:name="_Toc20044"/>
      <w:bookmarkStart w:id="368" w:name="_Toc6265"/>
      <w:bookmarkStart w:id="369" w:name="_Toc21274"/>
      <w:bookmarkStart w:id="370" w:name="_Toc28481"/>
      <w:r>
        <w:rPr>
          <w:rFonts w:ascii="Times New Roman" w:hAnsi="Times New Roman" w:eastAsia="黑体"/>
          <w:b/>
          <w:bCs/>
          <w:sz w:val="24"/>
          <w:szCs w:val="24"/>
        </w:rPr>
        <w:t>7.4</w:t>
      </w:r>
      <w:r>
        <w:rPr>
          <w:rFonts w:ascii="Times New Roman" w:hAnsi="Times New Roman" w:eastAsia="黑体"/>
          <w:sz w:val="24"/>
          <w:szCs w:val="24"/>
        </w:rPr>
        <w:t xml:space="preserve"> </w:t>
      </w:r>
      <w:r>
        <w:rPr>
          <w:rFonts w:ascii="Times New Roman" w:hAnsi="Times New Roman" w:eastAsia="黑体"/>
          <w:sz w:val="24"/>
          <w:szCs w:val="24"/>
          <w:lang w:val="en-US"/>
        </w:rPr>
        <w:t xml:space="preserve"> </w:t>
      </w:r>
      <w:r>
        <w:rPr>
          <w:rFonts w:ascii="Times New Roman" w:hAnsi="Times New Roman" w:eastAsia="黑体"/>
          <w:sz w:val="24"/>
          <w:szCs w:val="24"/>
        </w:rPr>
        <w:t>涂饰工程</w:t>
      </w:r>
      <w:bookmarkEnd w:id="367"/>
      <w:bookmarkEnd w:id="368"/>
      <w:bookmarkEnd w:id="369"/>
      <w:bookmarkEnd w:id="370"/>
    </w:p>
    <w:p w14:paraId="63AC291A">
      <w:pPr>
        <w:pStyle w:val="33"/>
        <w:spacing w:line="400" w:lineRule="exact"/>
        <w:rPr>
          <w:color w:val="000000"/>
          <w:sz w:val="21"/>
          <w:szCs w:val="21"/>
        </w:rPr>
      </w:pPr>
      <w:r>
        <w:rPr>
          <w:b/>
          <w:bCs/>
          <w:color w:val="000000"/>
          <w:sz w:val="21"/>
          <w:szCs w:val="21"/>
        </w:rPr>
        <w:t>7.4.1</w:t>
      </w:r>
      <w:r>
        <w:rPr>
          <w:color w:val="000000"/>
          <w:sz w:val="21"/>
          <w:szCs w:val="21"/>
        </w:rPr>
        <w:t xml:space="preserve"> 涂饰工程采用的腻子、底漆、水性涂料、溶剂型涂料等材料均应符合设计要求及标准规定。</w:t>
      </w:r>
    </w:p>
    <w:p w14:paraId="5DF5C6F7">
      <w:pPr>
        <w:pStyle w:val="33"/>
        <w:spacing w:line="400" w:lineRule="exact"/>
        <w:rPr>
          <w:color w:val="000000"/>
          <w:sz w:val="21"/>
          <w:szCs w:val="21"/>
        </w:rPr>
      </w:pPr>
      <w:r>
        <w:rPr>
          <w:b/>
          <w:bCs/>
          <w:color w:val="000000"/>
          <w:sz w:val="21"/>
          <w:szCs w:val="21"/>
        </w:rPr>
        <w:t>7.4.2</w:t>
      </w:r>
      <w:r>
        <w:rPr>
          <w:color w:val="000000"/>
          <w:sz w:val="21"/>
          <w:szCs w:val="21"/>
        </w:rPr>
        <w:t xml:space="preserve"> 涂饰工程的找平层应平整、坚实、牢固，无粉化、起皮和裂缝，粘接强度应符合相关现行国家标准的有关规定。厨房、卫生间、管井、地下室等潮湿环境的找平层应使用耐水腻子。</w:t>
      </w:r>
    </w:p>
    <w:p w14:paraId="162C9EC1">
      <w:pPr>
        <w:pStyle w:val="33"/>
        <w:spacing w:line="400" w:lineRule="exact"/>
        <w:rPr>
          <w:color w:val="000000"/>
          <w:sz w:val="21"/>
          <w:szCs w:val="21"/>
        </w:rPr>
      </w:pPr>
      <w:r>
        <w:rPr>
          <w:b/>
          <w:bCs/>
          <w:color w:val="000000"/>
          <w:sz w:val="21"/>
          <w:szCs w:val="21"/>
        </w:rPr>
        <w:t>7.4.3</w:t>
      </w:r>
      <w:r>
        <w:rPr>
          <w:color w:val="000000"/>
          <w:sz w:val="21"/>
          <w:szCs w:val="21"/>
        </w:rPr>
        <w:t xml:space="preserve"> 涂饰工程的颜色、套色、花纹、光泽、图案应符合设计要求。涂饰工程应涂层均匀、粘结牢固，不得漏涂、透底、开裂、起皮、掉粉、</w:t>
      </w:r>
      <w:r>
        <w:rPr>
          <w:rFonts w:hint="eastAsia"/>
          <w:color w:val="000000"/>
          <w:sz w:val="21"/>
          <w:szCs w:val="21"/>
        </w:rPr>
        <w:t>返</w:t>
      </w:r>
      <w:r>
        <w:rPr>
          <w:color w:val="000000"/>
          <w:sz w:val="21"/>
          <w:szCs w:val="21"/>
        </w:rPr>
        <w:t>锈。无泛碱、咬色、裹棱、皱皮、流坠、疙瘩、砂眼、刷纹等缺陷。涂层与其他装修材料和设备衔接处应吻合，界面应清晰。</w:t>
      </w:r>
    </w:p>
    <w:p w14:paraId="78DC78C3">
      <w:pPr>
        <w:pStyle w:val="4"/>
        <w:numPr>
          <w:ilvl w:val="1"/>
          <w:numId w:val="0"/>
        </w:numPr>
        <w:spacing w:before="312" w:beforeLines="100" w:line="400" w:lineRule="exact"/>
        <w:jc w:val="center"/>
        <w:rPr>
          <w:rFonts w:ascii="Times New Roman" w:hAnsi="Times New Roman" w:eastAsia="黑体"/>
          <w:sz w:val="24"/>
          <w:szCs w:val="24"/>
        </w:rPr>
      </w:pPr>
      <w:bookmarkStart w:id="371" w:name="_Toc22629"/>
      <w:bookmarkStart w:id="372" w:name="_Toc18491"/>
      <w:bookmarkStart w:id="373" w:name="_Toc19575"/>
      <w:bookmarkStart w:id="374" w:name="_Toc3137"/>
      <w:r>
        <w:rPr>
          <w:rFonts w:ascii="Times New Roman" w:hAnsi="Times New Roman" w:eastAsia="黑体"/>
          <w:b/>
          <w:bCs/>
          <w:sz w:val="24"/>
          <w:szCs w:val="24"/>
        </w:rPr>
        <w:t>7</w:t>
      </w:r>
      <w:r>
        <w:rPr>
          <w:rFonts w:ascii="Times New Roman" w:hAnsi="Times New Roman" w:eastAsia="黑体"/>
          <w:sz w:val="24"/>
          <w:szCs w:val="24"/>
        </w:rPr>
        <w:t xml:space="preserve">.5 </w:t>
      </w:r>
      <w:r>
        <w:rPr>
          <w:rFonts w:ascii="Times New Roman" w:hAnsi="Times New Roman" w:eastAsia="黑体"/>
          <w:sz w:val="24"/>
          <w:szCs w:val="24"/>
          <w:lang w:val="en-US"/>
        </w:rPr>
        <w:t xml:space="preserve"> </w:t>
      </w:r>
      <w:r>
        <w:rPr>
          <w:rFonts w:ascii="Times New Roman" w:hAnsi="Times New Roman" w:eastAsia="黑体"/>
          <w:sz w:val="24"/>
          <w:szCs w:val="24"/>
        </w:rPr>
        <w:t>抹灰工程</w:t>
      </w:r>
      <w:bookmarkEnd w:id="371"/>
      <w:bookmarkEnd w:id="372"/>
      <w:bookmarkEnd w:id="373"/>
      <w:bookmarkEnd w:id="374"/>
    </w:p>
    <w:p w14:paraId="35C5FB42">
      <w:pPr>
        <w:spacing w:line="400" w:lineRule="exact"/>
        <w:ind w:firstLine="36"/>
        <w:rPr>
          <w:color w:val="000000"/>
          <w:szCs w:val="21"/>
        </w:rPr>
      </w:pPr>
      <w:r>
        <w:rPr>
          <w:b/>
          <w:bCs/>
          <w:color w:val="000000"/>
          <w:szCs w:val="21"/>
        </w:rPr>
        <w:t xml:space="preserve">7.5.1 </w:t>
      </w:r>
      <w:r>
        <w:rPr>
          <w:color w:val="000000"/>
          <w:szCs w:val="21"/>
        </w:rPr>
        <w:t xml:space="preserve"> 抹灰工程质量应符合</w:t>
      </w:r>
      <w:r>
        <w:rPr>
          <w:rFonts w:hint="eastAsia"/>
          <w:color w:val="000000"/>
          <w:szCs w:val="21"/>
        </w:rPr>
        <w:t>下列规定</w:t>
      </w:r>
      <w:r>
        <w:rPr>
          <w:color w:val="000000"/>
          <w:szCs w:val="21"/>
        </w:rPr>
        <w:t>：</w:t>
      </w:r>
    </w:p>
    <w:p w14:paraId="1CF9437A">
      <w:pPr>
        <w:spacing w:line="400" w:lineRule="exact"/>
        <w:ind w:firstLine="422" w:firstLineChars="200"/>
        <w:rPr>
          <w:color w:val="000000"/>
          <w:szCs w:val="21"/>
        </w:rPr>
      </w:pPr>
      <w:r>
        <w:rPr>
          <w:b/>
          <w:bCs/>
          <w:color w:val="000000"/>
          <w:szCs w:val="21"/>
        </w:rPr>
        <w:t>1</w:t>
      </w:r>
      <w:r>
        <w:rPr>
          <w:color w:val="000000"/>
          <w:szCs w:val="21"/>
        </w:rPr>
        <w:t xml:space="preserve">  室内顶棚均不得抹灰；</w:t>
      </w:r>
    </w:p>
    <w:p w14:paraId="4E482E50">
      <w:pPr>
        <w:spacing w:line="400" w:lineRule="exact"/>
        <w:ind w:firstLine="422" w:firstLineChars="200"/>
        <w:rPr>
          <w:color w:val="000000"/>
          <w:szCs w:val="21"/>
        </w:rPr>
      </w:pPr>
      <w:r>
        <w:rPr>
          <w:b/>
          <w:bCs/>
          <w:color w:val="000000"/>
          <w:szCs w:val="21"/>
        </w:rPr>
        <w:t xml:space="preserve">2  </w:t>
      </w:r>
      <w:r>
        <w:rPr>
          <w:color w:val="000000"/>
          <w:szCs w:val="21"/>
        </w:rPr>
        <w:t>抹灰层与基层之间及各抹灰层之间应粘结牢固，抹灰层应无脱落和空鼓，面层应无爆灰和裂缝，表面应光滑、洁净、颜色均匀、阴阳角方正，分格缝和灰缝应清晰美观；护角、孔洞、槽、盒周围的抹灰表面应整齐、光滑；管道后面的抹灰表面应平整；</w:t>
      </w:r>
    </w:p>
    <w:p w14:paraId="26950276">
      <w:pPr>
        <w:spacing w:line="400" w:lineRule="exact"/>
        <w:ind w:firstLine="422" w:firstLineChars="200"/>
        <w:rPr>
          <w:color w:val="000000"/>
          <w:szCs w:val="21"/>
        </w:rPr>
      </w:pPr>
      <w:r>
        <w:rPr>
          <w:b/>
          <w:bCs/>
          <w:color w:val="000000"/>
          <w:szCs w:val="21"/>
        </w:rPr>
        <w:t>3</w:t>
      </w:r>
      <w:r>
        <w:rPr>
          <w:color w:val="000000"/>
          <w:szCs w:val="21"/>
        </w:rPr>
        <w:t xml:space="preserve">  抹灰工程应分层进行。抹灰层总厚度大于或等于35 mm时，应采取加强措施。不同材料基体交接处表面的抹灰，应采取防止开裂的加强措施，当采用加强网时，加强网与各基层墙体的搭接宽度不应小于100 mm。室内墙面、柱面和门洞口的阳角，应采用不低于M20水泥砂浆做</w:t>
      </w:r>
      <w:r>
        <w:rPr>
          <w:rFonts w:hint="eastAsia" w:ascii="宋体" w:hAnsi="宋体" w:cs="宋体"/>
          <w:bCs/>
          <w:color w:val="000000"/>
          <w:szCs w:val="21"/>
        </w:rPr>
        <w:t>暗护角</w:t>
      </w:r>
      <w:r>
        <w:rPr>
          <w:color w:val="000000"/>
          <w:szCs w:val="21"/>
        </w:rPr>
        <w:t>，其高度不应低于2 m，每侧宽度不应小于50 mm。</w:t>
      </w:r>
    </w:p>
    <w:p w14:paraId="64BDA129">
      <w:pPr>
        <w:spacing w:line="400" w:lineRule="exact"/>
        <w:rPr>
          <w:color w:val="000000"/>
          <w:szCs w:val="21"/>
        </w:rPr>
      </w:pPr>
      <w:r>
        <w:rPr>
          <w:b/>
          <w:bCs/>
          <w:color w:val="000000"/>
          <w:szCs w:val="21"/>
        </w:rPr>
        <w:t xml:space="preserve">7.5.2  </w:t>
      </w:r>
      <w:r>
        <w:rPr>
          <w:color w:val="000000"/>
          <w:szCs w:val="21"/>
        </w:rPr>
        <w:t>窗台、窗套、纵横装饰腰线等部位的抹灰层与基层</w:t>
      </w:r>
      <w:r>
        <w:rPr>
          <w:rFonts w:hint="eastAsia"/>
          <w:color w:val="000000"/>
          <w:szCs w:val="21"/>
        </w:rPr>
        <w:t>应</w:t>
      </w:r>
      <w:r>
        <w:rPr>
          <w:color w:val="000000"/>
          <w:szCs w:val="21"/>
        </w:rPr>
        <w:t>粘接牢固，面层应光滑、干净、边角整齐、色泽一致，不应空鼓、开裂，外窗台应低于内窗台，不应倒泛水。</w:t>
      </w:r>
    </w:p>
    <w:p w14:paraId="29BDB684">
      <w:pPr>
        <w:pStyle w:val="4"/>
        <w:numPr>
          <w:ilvl w:val="1"/>
          <w:numId w:val="0"/>
        </w:numPr>
        <w:spacing w:before="312" w:beforeLines="100" w:line="400" w:lineRule="exact"/>
        <w:jc w:val="center"/>
        <w:rPr>
          <w:rFonts w:ascii="Times New Roman" w:hAnsi="Times New Roman" w:eastAsia="黑体"/>
          <w:sz w:val="24"/>
          <w:szCs w:val="24"/>
        </w:rPr>
      </w:pPr>
      <w:bookmarkStart w:id="375" w:name="_Toc2683"/>
      <w:bookmarkStart w:id="376" w:name="_Toc8982"/>
      <w:bookmarkStart w:id="377" w:name="_Toc2130"/>
      <w:bookmarkStart w:id="378" w:name="_Toc31208"/>
      <w:r>
        <w:rPr>
          <w:rFonts w:ascii="Times New Roman" w:hAnsi="Times New Roman" w:eastAsia="黑体"/>
          <w:b/>
          <w:bCs/>
          <w:sz w:val="24"/>
          <w:szCs w:val="24"/>
        </w:rPr>
        <w:t>7.6</w:t>
      </w:r>
      <w:r>
        <w:rPr>
          <w:rFonts w:ascii="Times New Roman" w:hAnsi="Times New Roman" w:eastAsia="黑体"/>
          <w:sz w:val="24"/>
          <w:szCs w:val="24"/>
          <w:lang w:val="en-US"/>
        </w:rPr>
        <w:t xml:space="preserve"> </w:t>
      </w:r>
      <w:r>
        <w:rPr>
          <w:rFonts w:ascii="Times New Roman" w:hAnsi="Times New Roman" w:eastAsia="黑体"/>
          <w:sz w:val="24"/>
          <w:szCs w:val="24"/>
        </w:rPr>
        <w:t xml:space="preserve"> 饰面砖、饰面板工程</w:t>
      </w:r>
      <w:bookmarkEnd w:id="375"/>
      <w:bookmarkEnd w:id="376"/>
      <w:bookmarkEnd w:id="377"/>
      <w:bookmarkEnd w:id="378"/>
    </w:p>
    <w:p w14:paraId="66196302">
      <w:pPr>
        <w:spacing w:line="400" w:lineRule="exact"/>
        <w:rPr>
          <w:color w:val="000000"/>
          <w:szCs w:val="21"/>
        </w:rPr>
      </w:pPr>
      <w:r>
        <w:rPr>
          <w:b/>
          <w:bCs/>
          <w:color w:val="000000"/>
          <w:szCs w:val="21"/>
        </w:rPr>
        <w:t>7.6.1</w:t>
      </w:r>
      <w:r>
        <w:rPr>
          <w:color w:val="000000"/>
          <w:szCs w:val="21"/>
        </w:rPr>
        <w:t xml:space="preserve">  饰面砖工程应符合</w:t>
      </w:r>
      <w:r>
        <w:rPr>
          <w:rFonts w:hint="eastAsia"/>
          <w:color w:val="000000"/>
          <w:szCs w:val="21"/>
        </w:rPr>
        <w:t>下列规定</w:t>
      </w:r>
      <w:r>
        <w:rPr>
          <w:color w:val="000000"/>
          <w:szCs w:val="21"/>
        </w:rPr>
        <w:t>：</w:t>
      </w:r>
    </w:p>
    <w:p w14:paraId="556A89C8">
      <w:pPr>
        <w:pStyle w:val="33"/>
        <w:spacing w:line="400" w:lineRule="exact"/>
        <w:rPr>
          <w:color w:val="000000"/>
          <w:sz w:val="21"/>
          <w:szCs w:val="21"/>
        </w:rPr>
      </w:pPr>
      <w:r>
        <w:rPr>
          <w:color w:val="000000"/>
          <w:sz w:val="21"/>
          <w:szCs w:val="21"/>
        </w:rPr>
        <w:t xml:space="preserve"> </w:t>
      </w:r>
      <w:r>
        <w:rPr>
          <w:rFonts w:hint="eastAsia"/>
          <w:color w:val="000000"/>
          <w:sz w:val="21"/>
          <w:szCs w:val="21"/>
        </w:rPr>
        <w:t xml:space="preserve"> </w:t>
      </w:r>
      <w:r>
        <w:rPr>
          <w:color w:val="000000"/>
          <w:sz w:val="21"/>
          <w:szCs w:val="21"/>
        </w:rPr>
        <w:t xml:space="preserve"> </w:t>
      </w:r>
      <w:r>
        <w:rPr>
          <w:rFonts w:hint="eastAsia"/>
          <w:color w:val="000000"/>
          <w:sz w:val="21"/>
          <w:szCs w:val="21"/>
        </w:rPr>
        <w:t xml:space="preserve"> </w:t>
      </w:r>
      <w:r>
        <w:rPr>
          <w:b/>
          <w:bCs/>
          <w:color w:val="000000"/>
          <w:sz w:val="21"/>
          <w:szCs w:val="21"/>
        </w:rPr>
        <w:t>1</w:t>
      </w:r>
      <w:r>
        <w:rPr>
          <w:color w:val="000000"/>
          <w:sz w:val="21"/>
          <w:szCs w:val="21"/>
        </w:rPr>
        <w:t xml:space="preserve">  饰面砖的品种、规格、图案、颜色和性能应符合设计要求及国家现行标准的有关规定；饰面砖粘贴应牢固，现场粘贴的饰面砖，粘结强度不应小于0.4 MPa；带饰面砖的预制构件，粘结强度不应小于0.6 MPa，饰面砖应无空鼓、裂缝</w:t>
      </w:r>
      <w:r>
        <w:rPr>
          <w:rFonts w:hint="eastAsia"/>
          <w:color w:val="000000"/>
          <w:sz w:val="21"/>
          <w:szCs w:val="21"/>
        </w:rPr>
        <w:t>；</w:t>
      </w:r>
    </w:p>
    <w:p w14:paraId="21B0D873">
      <w:pPr>
        <w:pStyle w:val="33"/>
        <w:spacing w:line="400" w:lineRule="exact"/>
        <w:rPr>
          <w:color w:val="000000"/>
          <w:sz w:val="21"/>
          <w:szCs w:val="21"/>
        </w:rPr>
      </w:pPr>
      <w:r>
        <w:rPr>
          <w:color w:val="000000"/>
          <w:sz w:val="21"/>
          <w:szCs w:val="21"/>
        </w:rPr>
        <w:t xml:space="preserve">    </w:t>
      </w:r>
      <w:r>
        <w:rPr>
          <w:b/>
          <w:bCs/>
          <w:color w:val="000000"/>
          <w:sz w:val="21"/>
          <w:szCs w:val="21"/>
        </w:rPr>
        <w:t>2</w:t>
      </w:r>
      <w:r>
        <w:rPr>
          <w:color w:val="000000"/>
          <w:sz w:val="21"/>
          <w:szCs w:val="21"/>
        </w:rPr>
        <w:t xml:space="preserve">  饰面砖工程表面应平整、洁净、色泽一致，不应有裂痕、缺损，阴阳角构造应符合设计要求，宜避免出现小于1/2非整砖，门窗洞口处应避免出现L</w:t>
      </w:r>
      <w:r>
        <w:rPr>
          <w:rFonts w:hint="eastAsia"/>
          <w:color w:val="000000"/>
          <w:sz w:val="21"/>
          <w:szCs w:val="21"/>
        </w:rPr>
        <w:t>形</w:t>
      </w:r>
      <w:r>
        <w:rPr>
          <w:color w:val="000000"/>
          <w:sz w:val="21"/>
          <w:szCs w:val="21"/>
        </w:rPr>
        <w:t>砖；</w:t>
      </w:r>
    </w:p>
    <w:p w14:paraId="11B8AD24">
      <w:pPr>
        <w:pStyle w:val="33"/>
        <w:spacing w:line="400" w:lineRule="exact"/>
        <w:rPr>
          <w:color w:val="000000"/>
          <w:sz w:val="21"/>
          <w:szCs w:val="21"/>
        </w:rPr>
      </w:pPr>
      <w:r>
        <w:rPr>
          <w:color w:val="000000"/>
          <w:sz w:val="21"/>
          <w:szCs w:val="21"/>
        </w:rPr>
        <w:t xml:space="preserve">   </w:t>
      </w:r>
      <w:r>
        <w:rPr>
          <w:b/>
          <w:bCs/>
          <w:color w:val="000000"/>
          <w:sz w:val="21"/>
          <w:szCs w:val="21"/>
        </w:rPr>
        <w:t xml:space="preserve"> 3</w:t>
      </w:r>
      <w:r>
        <w:rPr>
          <w:color w:val="000000"/>
          <w:sz w:val="21"/>
          <w:szCs w:val="21"/>
        </w:rPr>
        <w:t xml:space="preserve">  墙面凸出物周围的饰面砖应整砖套割吻合，边缘应整齐。墙裙、贴脸突出墙面的厚度应一致。饰面砖接缝应平直、光滑，填嵌应连续、密实，宽度和深度应符合设计要求。</w:t>
      </w:r>
    </w:p>
    <w:p w14:paraId="6685A3CA">
      <w:pPr>
        <w:spacing w:line="400" w:lineRule="exact"/>
        <w:rPr>
          <w:color w:val="000000"/>
          <w:szCs w:val="21"/>
        </w:rPr>
      </w:pPr>
      <w:r>
        <w:rPr>
          <w:b/>
          <w:bCs/>
          <w:color w:val="000000"/>
          <w:szCs w:val="21"/>
        </w:rPr>
        <w:t>7.6.2</w:t>
      </w:r>
      <w:r>
        <w:rPr>
          <w:color w:val="000000"/>
          <w:szCs w:val="21"/>
        </w:rPr>
        <w:t xml:space="preserve"> 饰面板工程应符合</w:t>
      </w:r>
      <w:r>
        <w:rPr>
          <w:rFonts w:hint="eastAsia"/>
          <w:color w:val="000000"/>
          <w:szCs w:val="21"/>
        </w:rPr>
        <w:t>下列规定</w:t>
      </w:r>
      <w:r>
        <w:rPr>
          <w:color w:val="000000"/>
          <w:szCs w:val="21"/>
        </w:rPr>
        <w:t>：</w:t>
      </w:r>
    </w:p>
    <w:p w14:paraId="2F9064D0">
      <w:pPr>
        <w:spacing w:line="400" w:lineRule="exact"/>
        <w:ind w:firstLine="422" w:firstLineChars="200"/>
        <w:rPr>
          <w:color w:val="000000"/>
          <w:szCs w:val="21"/>
        </w:rPr>
      </w:pPr>
      <w:r>
        <w:rPr>
          <w:b/>
          <w:color w:val="000000"/>
          <w:szCs w:val="21"/>
        </w:rPr>
        <w:t xml:space="preserve">1  </w:t>
      </w:r>
      <w:r>
        <w:rPr>
          <w:color w:val="000000"/>
          <w:szCs w:val="21"/>
        </w:rPr>
        <w:t>预埋件（或后置埋件）、龙骨、连接件的材质、数量、规格、位置、连接方法和防腐处理应符合设计要求；石板和陶瓷板的后置埋件的现场拉拔力以及木龙骨、木饰面板及塑料饰面板的燃烧性能应符合设计要求；</w:t>
      </w:r>
    </w:p>
    <w:p w14:paraId="7013A16C">
      <w:pPr>
        <w:spacing w:line="400" w:lineRule="exact"/>
        <w:ind w:firstLine="422" w:firstLineChars="200"/>
        <w:rPr>
          <w:color w:val="000000"/>
          <w:szCs w:val="21"/>
        </w:rPr>
      </w:pPr>
      <w:r>
        <w:rPr>
          <w:b/>
          <w:color w:val="000000"/>
          <w:szCs w:val="21"/>
        </w:rPr>
        <w:t xml:space="preserve">2  </w:t>
      </w:r>
      <w:r>
        <w:rPr>
          <w:color w:val="000000"/>
          <w:szCs w:val="21"/>
        </w:rPr>
        <w:t>采用满粘法施工的石板工程和陶瓷板工程，面板与基层之间的粘接料应饱满、无空鼓；采用湿作业的石板安装工程，石板应进行防碱封闭处理，石板与基体之间的灌注材料应饱满、密实，表面不应有泛碱等污染；</w:t>
      </w:r>
    </w:p>
    <w:p w14:paraId="334898E0">
      <w:pPr>
        <w:spacing w:line="400" w:lineRule="exact"/>
        <w:ind w:firstLine="422" w:firstLineChars="200"/>
        <w:rPr>
          <w:color w:val="000000"/>
          <w:szCs w:val="21"/>
        </w:rPr>
      </w:pPr>
      <w:r>
        <w:rPr>
          <w:b/>
          <w:color w:val="000000"/>
          <w:szCs w:val="21"/>
        </w:rPr>
        <w:t xml:space="preserve">3  </w:t>
      </w:r>
      <w:r>
        <w:rPr>
          <w:color w:val="000000"/>
          <w:szCs w:val="21"/>
        </w:rPr>
        <w:t>饰面板的安装必须牢固，表面应平整、洁净、色泽一致，不应有裂痕和缺损。石板和陶瓷板填缝应密实、平直，宽度和深度应符合设计要求，木板、金属板、塑料板接缝应平直，宽度应符合设计要求；孔洞应套割吻合，边缘应整齐。</w:t>
      </w:r>
    </w:p>
    <w:p w14:paraId="6D74D167">
      <w:pPr>
        <w:pStyle w:val="4"/>
        <w:numPr>
          <w:ilvl w:val="1"/>
          <w:numId w:val="0"/>
        </w:numPr>
        <w:spacing w:before="312" w:beforeLines="100" w:line="400" w:lineRule="exact"/>
        <w:jc w:val="center"/>
        <w:rPr>
          <w:rFonts w:ascii="Times New Roman" w:hAnsi="Times New Roman" w:eastAsia="黑体"/>
          <w:sz w:val="24"/>
          <w:szCs w:val="24"/>
        </w:rPr>
      </w:pPr>
      <w:bookmarkStart w:id="379" w:name="_Toc27187"/>
      <w:bookmarkStart w:id="380" w:name="_Toc29061"/>
      <w:bookmarkStart w:id="381" w:name="_Toc18652"/>
      <w:bookmarkStart w:id="382" w:name="_Toc9163"/>
      <w:r>
        <w:rPr>
          <w:rFonts w:ascii="Times New Roman" w:hAnsi="Times New Roman" w:eastAsia="黑体"/>
          <w:b/>
          <w:bCs/>
          <w:sz w:val="24"/>
          <w:szCs w:val="24"/>
        </w:rPr>
        <w:t xml:space="preserve">7.7 </w:t>
      </w:r>
      <w:r>
        <w:rPr>
          <w:rFonts w:ascii="Times New Roman" w:hAnsi="Times New Roman" w:eastAsia="黑体"/>
          <w:sz w:val="24"/>
          <w:szCs w:val="24"/>
          <w:lang w:val="en-US"/>
        </w:rPr>
        <w:t xml:space="preserve"> </w:t>
      </w:r>
      <w:r>
        <w:rPr>
          <w:rFonts w:ascii="Times New Roman" w:hAnsi="Times New Roman" w:eastAsia="黑体"/>
          <w:sz w:val="24"/>
          <w:szCs w:val="24"/>
        </w:rPr>
        <w:t>裱糊与软包工程</w:t>
      </w:r>
      <w:bookmarkEnd w:id="379"/>
      <w:bookmarkEnd w:id="380"/>
      <w:bookmarkEnd w:id="381"/>
      <w:bookmarkEnd w:id="382"/>
    </w:p>
    <w:p w14:paraId="26BF0B56">
      <w:pPr>
        <w:pStyle w:val="33"/>
        <w:spacing w:line="400" w:lineRule="exact"/>
        <w:rPr>
          <w:bCs/>
          <w:color w:val="000000"/>
          <w:sz w:val="21"/>
          <w:szCs w:val="21"/>
        </w:rPr>
      </w:pPr>
      <w:r>
        <w:rPr>
          <w:b/>
          <w:color w:val="000000"/>
          <w:sz w:val="21"/>
          <w:szCs w:val="21"/>
        </w:rPr>
        <w:t xml:space="preserve">7.7.1  </w:t>
      </w:r>
      <w:r>
        <w:rPr>
          <w:rFonts w:hint="eastAsia"/>
          <w:bCs/>
          <w:color w:val="000000"/>
          <w:sz w:val="21"/>
          <w:szCs w:val="21"/>
        </w:rPr>
        <w:t>裱糊与软包工程</w:t>
      </w:r>
      <w:r>
        <w:rPr>
          <w:bCs/>
          <w:color w:val="000000"/>
          <w:sz w:val="21"/>
          <w:szCs w:val="21"/>
        </w:rPr>
        <w:t>混凝土或抹灰基层含水率不得大于8%；木材基层含水率不得大于12%；基层腻子应平整、坚实、牢固，无粉化、起皮、空鼓、酥松、裂缝和泛碱；腻子的粘结强度不得小于</w:t>
      </w:r>
      <w:r>
        <w:rPr>
          <w:rFonts w:hint="eastAsia"/>
          <w:bCs/>
          <w:color w:val="000000"/>
          <w:sz w:val="21"/>
          <w:szCs w:val="21"/>
        </w:rPr>
        <w:t xml:space="preserve"> </w:t>
      </w:r>
      <w:r>
        <w:rPr>
          <w:bCs/>
          <w:color w:val="000000"/>
          <w:sz w:val="21"/>
          <w:szCs w:val="21"/>
        </w:rPr>
        <w:t>0.3 MPa</w:t>
      </w:r>
      <w:r>
        <w:rPr>
          <w:rFonts w:hint="eastAsia"/>
          <w:bCs/>
          <w:color w:val="000000"/>
          <w:sz w:val="21"/>
          <w:szCs w:val="21"/>
        </w:rPr>
        <w:t>；</w:t>
      </w:r>
      <w:r>
        <w:rPr>
          <w:bCs/>
          <w:color w:val="000000"/>
          <w:sz w:val="21"/>
          <w:szCs w:val="21"/>
        </w:rPr>
        <w:t>应表面平整、立面垂直、阴阳角方正，并应按规定涂刷封闭底胶；</w:t>
      </w:r>
    </w:p>
    <w:p w14:paraId="262D5810">
      <w:pPr>
        <w:pStyle w:val="33"/>
        <w:rPr>
          <w:color w:val="000000"/>
          <w:sz w:val="21"/>
          <w:szCs w:val="21"/>
        </w:rPr>
      </w:pPr>
      <w:r>
        <w:rPr>
          <w:rFonts w:hint="eastAsia"/>
          <w:b/>
          <w:bCs/>
          <w:color w:val="000000"/>
          <w:sz w:val="21"/>
          <w:szCs w:val="21"/>
        </w:rPr>
        <w:t>7.7.2</w:t>
      </w:r>
      <w:r>
        <w:rPr>
          <w:rFonts w:hint="eastAsia"/>
          <w:color w:val="000000"/>
          <w:sz w:val="21"/>
          <w:szCs w:val="21"/>
        </w:rPr>
        <w:t xml:space="preserve">  </w:t>
      </w:r>
      <w:r>
        <w:rPr>
          <w:color w:val="000000"/>
          <w:sz w:val="21"/>
          <w:szCs w:val="21"/>
        </w:rPr>
        <w:t>裱糊工程所用壁纸、墙布的种类、规格、图案、颜色和燃烧性能等级应符合设计要求，并应符合</w:t>
      </w:r>
      <w:r>
        <w:rPr>
          <w:rFonts w:hint="eastAsia"/>
          <w:color w:val="000000"/>
          <w:sz w:val="21"/>
          <w:szCs w:val="21"/>
        </w:rPr>
        <w:t>下列规定</w:t>
      </w:r>
      <w:r>
        <w:rPr>
          <w:color w:val="000000"/>
          <w:sz w:val="21"/>
          <w:szCs w:val="21"/>
        </w:rPr>
        <w:t xml:space="preserve">： </w:t>
      </w:r>
    </w:p>
    <w:p w14:paraId="267B0891">
      <w:pPr>
        <w:spacing w:line="400" w:lineRule="exact"/>
        <w:ind w:firstLine="422" w:firstLineChars="200"/>
        <w:rPr>
          <w:color w:val="000000"/>
          <w:szCs w:val="21"/>
        </w:rPr>
      </w:pPr>
      <w:r>
        <w:rPr>
          <w:rFonts w:hint="eastAsia"/>
          <w:b/>
          <w:bCs/>
          <w:color w:val="000000"/>
          <w:szCs w:val="21"/>
        </w:rPr>
        <w:t>1</w:t>
      </w:r>
      <w:r>
        <w:rPr>
          <w:color w:val="000000"/>
          <w:szCs w:val="21"/>
        </w:rPr>
        <w:t xml:space="preserve">  裱糊后各幅拼接应横平竖直，拼接处花纹、图案应吻合，应不离缝、不搭接、不显拼缝。阴角处应顺光搭接，阳角处应无接缝。壁纸、墙布应粘贴牢固，不得有漏贴、补贴、脱层、空鼓和翘边； </w:t>
      </w:r>
    </w:p>
    <w:p w14:paraId="45613D25">
      <w:pPr>
        <w:spacing w:line="400" w:lineRule="exact"/>
        <w:ind w:firstLine="422" w:firstLineChars="200"/>
        <w:rPr>
          <w:color w:val="000000"/>
          <w:szCs w:val="21"/>
        </w:rPr>
      </w:pPr>
      <w:r>
        <w:rPr>
          <w:rFonts w:hint="eastAsia"/>
          <w:b/>
          <w:bCs/>
          <w:color w:val="000000"/>
          <w:szCs w:val="21"/>
        </w:rPr>
        <w:t>2</w:t>
      </w:r>
      <w:r>
        <w:rPr>
          <w:color w:val="000000"/>
          <w:szCs w:val="21"/>
        </w:rPr>
        <w:t xml:space="preserve">  裱糊后的壁纸、墙布表面应平整，不得有波纹起伏、气泡、裂缝、皱折；表面色泽应一致，不得有斑污，斜视时应无胶痕</w:t>
      </w:r>
      <w:r>
        <w:rPr>
          <w:rFonts w:hint="eastAsia"/>
          <w:color w:val="000000"/>
          <w:szCs w:val="21"/>
        </w:rPr>
        <w:t>；</w:t>
      </w:r>
    </w:p>
    <w:p w14:paraId="033C4813">
      <w:pPr>
        <w:spacing w:line="400" w:lineRule="exact"/>
        <w:ind w:firstLine="422" w:firstLineChars="200"/>
        <w:rPr>
          <w:color w:val="000000"/>
          <w:szCs w:val="21"/>
        </w:rPr>
      </w:pPr>
      <w:r>
        <w:rPr>
          <w:rFonts w:hint="eastAsia"/>
          <w:b/>
          <w:bCs/>
          <w:color w:val="000000"/>
          <w:szCs w:val="21"/>
        </w:rPr>
        <w:t>3</w:t>
      </w:r>
      <w:r>
        <w:rPr>
          <w:rFonts w:hint="eastAsia"/>
          <w:color w:val="000000"/>
          <w:szCs w:val="21"/>
        </w:rPr>
        <w:t xml:space="preserve">  </w:t>
      </w:r>
      <w:r>
        <w:rPr>
          <w:color w:val="000000"/>
          <w:szCs w:val="21"/>
        </w:rPr>
        <w:t>壁纸、墙布与装饰线、踢脚板、门窗框的交接处应吻合、严密、顺直；与墙面上电气槽、盒的交接处套割应吻合，不得有缝隙。壁纸、墙布边缘应平直整齐，不得有纸毛、飞刺</w:t>
      </w:r>
      <w:r>
        <w:rPr>
          <w:rFonts w:hint="eastAsia"/>
          <w:color w:val="000000"/>
          <w:szCs w:val="21"/>
        </w:rPr>
        <w:t>。</w:t>
      </w:r>
    </w:p>
    <w:p w14:paraId="0EB2FF49">
      <w:pPr>
        <w:pStyle w:val="33"/>
        <w:spacing w:line="400" w:lineRule="exact"/>
        <w:rPr>
          <w:color w:val="000000"/>
          <w:sz w:val="21"/>
          <w:szCs w:val="21"/>
        </w:rPr>
      </w:pPr>
      <w:r>
        <w:rPr>
          <w:b/>
          <w:bCs/>
          <w:color w:val="000000"/>
          <w:sz w:val="21"/>
          <w:szCs w:val="21"/>
        </w:rPr>
        <w:t>7.7.</w:t>
      </w:r>
      <w:r>
        <w:rPr>
          <w:rFonts w:hint="eastAsia"/>
          <w:b/>
          <w:bCs/>
          <w:color w:val="000000"/>
          <w:sz w:val="21"/>
          <w:szCs w:val="21"/>
        </w:rPr>
        <w:t>3</w:t>
      </w:r>
      <w:r>
        <w:rPr>
          <w:b/>
          <w:bCs/>
          <w:color w:val="000000"/>
          <w:sz w:val="21"/>
          <w:szCs w:val="21"/>
        </w:rPr>
        <w:t xml:space="preserve"> </w:t>
      </w:r>
      <w:r>
        <w:rPr>
          <w:rFonts w:hint="eastAsia"/>
          <w:b/>
          <w:bCs/>
          <w:color w:val="000000"/>
          <w:sz w:val="21"/>
          <w:szCs w:val="21"/>
        </w:rPr>
        <w:t xml:space="preserve"> </w:t>
      </w:r>
      <w:r>
        <w:rPr>
          <w:color w:val="000000"/>
          <w:sz w:val="21"/>
          <w:szCs w:val="21"/>
        </w:rPr>
        <w:t>软包工程边框</w:t>
      </w:r>
      <w:r>
        <w:rPr>
          <w:rFonts w:hint="eastAsia"/>
          <w:color w:val="000000"/>
          <w:sz w:val="21"/>
          <w:szCs w:val="21"/>
        </w:rPr>
        <w:t>及内衬材料</w:t>
      </w:r>
      <w:r>
        <w:rPr>
          <w:color w:val="000000"/>
          <w:sz w:val="21"/>
          <w:szCs w:val="21"/>
        </w:rPr>
        <w:t>的</w:t>
      </w:r>
      <w:r>
        <w:rPr>
          <w:rFonts w:hint="eastAsia"/>
          <w:color w:val="000000"/>
          <w:sz w:val="21"/>
          <w:szCs w:val="21"/>
        </w:rPr>
        <w:t>品种</w:t>
      </w:r>
      <w:r>
        <w:rPr>
          <w:color w:val="000000"/>
          <w:sz w:val="21"/>
          <w:szCs w:val="21"/>
        </w:rPr>
        <w:t>、</w:t>
      </w:r>
      <w:r>
        <w:rPr>
          <w:rFonts w:hint="eastAsia"/>
          <w:color w:val="000000"/>
          <w:sz w:val="21"/>
          <w:szCs w:val="21"/>
        </w:rPr>
        <w:t>规格</w:t>
      </w:r>
      <w:r>
        <w:rPr>
          <w:color w:val="000000"/>
          <w:sz w:val="21"/>
          <w:szCs w:val="21"/>
        </w:rPr>
        <w:t>、颜色和燃烧性能等级</w:t>
      </w:r>
      <w:r>
        <w:rPr>
          <w:rFonts w:hint="eastAsia"/>
          <w:color w:val="000000"/>
          <w:sz w:val="21"/>
          <w:szCs w:val="21"/>
        </w:rPr>
        <w:t>应符合设计要求，</w:t>
      </w:r>
      <w:r>
        <w:rPr>
          <w:color w:val="000000"/>
          <w:sz w:val="21"/>
          <w:szCs w:val="21"/>
        </w:rPr>
        <w:t>软包衬板材质、品种、规格、含水率应符合设计要求</w:t>
      </w:r>
      <w:r>
        <w:rPr>
          <w:rFonts w:hint="eastAsia"/>
          <w:color w:val="000000"/>
          <w:sz w:val="21"/>
          <w:szCs w:val="21"/>
        </w:rPr>
        <w:t>，</w:t>
      </w:r>
      <w:r>
        <w:rPr>
          <w:color w:val="000000"/>
          <w:sz w:val="21"/>
          <w:szCs w:val="21"/>
        </w:rPr>
        <w:t>并应符合</w:t>
      </w:r>
      <w:r>
        <w:rPr>
          <w:rFonts w:hint="eastAsia"/>
          <w:color w:val="000000"/>
          <w:sz w:val="21"/>
          <w:szCs w:val="21"/>
        </w:rPr>
        <w:t>下列规定</w:t>
      </w:r>
      <w:r>
        <w:rPr>
          <w:color w:val="000000"/>
          <w:sz w:val="21"/>
          <w:szCs w:val="21"/>
        </w:rPr>
        <w:t>：</w:t>
      </w:r>
    </w:p>
    <w:p w14:paraId="3B5875DC">
      <w:pPr>
        <w:spacing w:line="400" w:lineRule="exact"/>
        <w:ind w:firstLine="422" w:firstLineChars="200"/>
        <w:rPr>
          <w:color w:val="000000"/>
          <w:szCs w:val="21"/>
        </w:rPr>
      </w:pPr>
      <w:r>
        <w:rPr>
          <w:b/>
          <w:bCs/>
          <w:color w:val="000000"/>
          <w:szCs w:val="21"/>
        </w:rPr>
        <w:t xml:space="preserve">1  </w:t>
      </w:r>
      <w:r>
        <w:rPr>
          <w:color w:val="000000"/>
          <w:szCs w:val="21"/>
        </w:rPr>
        <w:t>软包工程的龙骨、边框应安装牢固；衬板与基层应连接牢固，无翘曲、变形，拼缝应平直；</w:t>
      </w:r>
    </w:p>
    <w:p w14:paraId="6938D3CB">
      <w:pPr>
        <w:spacing w:line="400" w:lineRule="exact"/>
        <w:ind w:firstLine="422" w:firstLineChars="200"/>
        <w:rPr>
          <w:b/>
          <w:bCs/>
          <w:color w:val="000000"/>
          <w:szCs w:val="21"/>
        </w:rPr>
      </w:pPr>
      <w:r>
        <w:rPr>
          <w:b/>
          <w:bCs/>
          <w:color w:val="000000"/>
          <w:szCs w:val="21"/>
        </w:rPr>
        <w:t xml:space="preserve">2  </w:t>
      </w:r>
      <w:r>
        <w:rPr>
          <w:color w:val="000000"/>
          <w:szCs w:val="21"/>
        </w:rPr>
        <w:t>单块软包面料不应有接缝，四周应绷压严密。软包饰面上电气槽、盒的开口位置、尺寸应正确，套割应吻合，槽、盒四周应镶硬边；</w:t>
      </w:r>
    </w:p>
    <w:p w14:paraId="0543BC85">
      <w:pPr>
        <w:spacing w:line="400" w:lineRule="exact"/>
        <w:ind w:firstLine="422" w:firstLineChars="200"/>
        <w:rPr>
          <w:color w:val="000000"/>
          <w:szCs w:val="21"/>
        </w:rPr>
      </w:pPr>
      <w:r>
        <w:rPr>
          <w:b/>
          <w:bCs/>
          <w:color w:val="000000"/>
          <w:szCs w:val="21"/>
        </w:rPr>
        <w:t xml:space="preserve">3  </w:t>
      </w:r>
      <w:r>
        <w:rPr>
          <w:color w:val="000000"/>
          <w:szCs w:val="21"/>
        </w:rPr>
        <w:t>软包工程表面应平整、洁净，无污染、无凹凸不平及皱折。图案应清晰、无色差，整体应协调美观；</w:t>
      </w:r>
    </w:p>
    <w:p w14:paraId="0B45B20C">
      <w:pPr>
        <w:spacing w:line="400" w:lineRule="exact"/>
        <w:ind w:firstLine="422" w:firstLineChars="200"/>
        <w:rPr>
          <w:b/>
          <w:color w:val="000000"/>
          <w:szCs w:val="21"/>
        </w:rPr>
      </w:pPr>
      <w:r>
        <w:rPr>
          <w:b/>
          <w:bCs/>
          <w:color w:val="000000"/>
          <w:szCs w:val="21"/>
        </w:rPr>
        <w:t xml:space="preserve">4  </w:t>
      </w:r>
      <w:r>
        <w:rPr>
          <w:color w:val="000000"/>
          <w:szCs w:val="21"/>
        </w:rPr>
        <w:t>软包墙面与装饰线、踢脚板、门窗框的交接处应吻合、严密、顺直。交接（留缝）方式应符合设计要求。</w:t>
      </w:r>
    </w:p>
    <w:p w14:paraId="05301E08">
      <w:pPr>
        <w:pStyle w:val="4"/>
        <w:numPr>
          <w:ilvl w:val="1"/>
          <w:numId w:val="0"/>
        </w:numPr>
        <w:spacing w:before="312" w:beforeLines="100" w:line="400" w:lineRule="exact"/>
        <w:jc w:val="center"/>
        <w:rPr>
          <w:rFonts w:ascii="Times New Roman" w:hAnsi="Times New Roman" w:eastAsia="黑体"/>
          <w:sz w:val="24"/>
          <w:szCs w:val="24"/>
        </w:rPr>
      </w:pPr>
      <w:bookmarkStart w:id="383" w:name="_Toc26110"/>
      <w:bookmarkStart w:id="384" w:name="_Toc28875"/>
      <w:bookmarkStart w:id="385" w:name="_Toc9562"/>
      <w:bookmarkStart w:id="386" w:name="_Toc15095"/>
      <w:r>
        <w:rPr>
          <w:rFonts w:ascii="Times New Roman" w:hAnsi="Times New Roman" w:eastAsia="黑体"/>
          <w:b/>
          <w:bCs/>
          <w:sz w:val="24"/>
          <w:szCs w:val="24"/>
        </w:rPr>
        <w:t>7.8</w:t>
      </w:r>
      <w:r>
        <w:rPr>
          <w:rFonts w:ascii="Times New Roman" w:hAnsi="Times New Roman" w:eastAsia="黑体"/>
          <w:sz w:val="24"/>
          <w:szCs w:val="24"/>
        </w:rPr>
        <w:t xml:space="preserve"> </w:t>
      </w:r>
      <w:r>
        <w:rPr>
          <w:rFonts w:ascii="Times New Roman" w:hAnsi="Times New Roman" w:eastAsia="黑体"/>
          <w:sz w:val="24"/>
          <w:szCs w:val="24"/>
          <w:lang w:val="en-US"/>
        </w:rPr>
        <w:t xml:space="preserve"> </w:t>
      </w:r>
      <w:r>
        <w:rPr>
          <w:rFonts w:ascii="Times New Roman" w:hAnsi="Times New Roman" w:eastAsia="黑体"/>
          <w:sz w:val="24"/>
          <w:szCs w:val="24"/>
        </w:rPr>
        <w:t>门窗工程</w:t>
      </w:r>
      <w:bookmarkEnd w:id="383"/>
      <w:bookmarkEnd w:id="384"/>
      <w:bookmarkEnd w:id="385"/>
      <w:bookmarkEnd w:id="386"/>
    </w:p>
    <w:p w14:paraId="516C113F">
      <w:pPr>
        <w:spacing w:line="400" w:lineRule="exact"/>
        <w:rPr>
          <w:color w:val="000000"/>
          <w:szCs w:val="21"/>
        </w:rPr>
      </w:pPr>
      <w:r>
        <w:rPr>
          <w:b/>
          <w:color w:val="000000"/>
          <w:szCs w:val="21"/>
        </w:rPr>
        <w:t>7.8.1</w:t>
      </w:r>
      <w:r>
        <w:rPr>
          <w:color w:val="000000"/>
          <w:szCs w:val="21"/>
        </w:rPr>
        <w:t xml:space="preserve">  门窗工程应符合</w:t>
      </w:r>
      <w:r>
        <w:rPr>
          <w:rFonts w:hint="eastAsia"/>
          <w:color w:val="000000"/>
          <w:szCs w:val="21"/>
        </w:rPr>
        <w:t>下列基本规定</w:t>
      </w:r>
      <w:r>
        <w:rPr>
          <w:color w:val="000000"/>
          <w:szCs w:val="21"/>
        </w:rPr>
        <w:t>：</w:t>
      </w:r>
    </w:p>
    <w:p w14:paraId="115D544B">
      <w:pPr>
        <w:spacing w:line="400" w:lineRule="exact"/>
        <w:ind w:firstLine="422" w:firstLineChars="200"/>
        <w:rPr>
          <w:color w:val="000000"/>
          <w:szCs w:val="21"/>
        </w:rPr>
      </w:pPr>
      <w:r>
        <w:rPr>
          <w:b/>
          <w:color w:val="000000"/>
          <w:szCs w:val="21"/>
        </w:rPr>
        <w:t xml:space="preserve">1  </w:t>
      </w:r>
      <w:r>
        <w:rPr>
          <w:rFonts w:hint="eastAsia" w:ascii="宋体" w:hAnsi="宋体" w:cs="宋体"/>
          <w:bCs/>
          <w:color w:val="000000"/>
          <w:szCs w:val="21"/>
        </w:rPr>
        <w:t>门窗工程产品的材料质量、规格、尺寸和抗风压、水密性、气密性等设计或规范要求，且应综合考虑安全、采光、节能、通风、防火、隔声等性能指标要求；</w:t>
      </w:r>
    </w:p>
    <w:p w14:paraId="0FFCE555">
      <w:pPr>
        <w:spacing w:line="400" w:lineRule="exact"/>
        <w:ind w:firstLine="422" w:firstLineChars="200"/>
        <w:rPr>
          <w:rFonts w:ascii="宋体" w:hAnsi="宋体" w:cs="宋体"/>
          <w:bCs/>
          <w:color w:val="000000"/>
          <w:szCs w:val="21"/>
        </w:rPr>
      </w:pPr>
      <w:r>
        <w:rPr>
          <w:rFonts w:hint="eastAsia"/>
          <w:b/>
          <w:color w:val="000000"/>
          <w:szCs w:val="21"/>
        </w:rPr>
        <w:t xml:space="preserve">2 </w:t>
      </w:r>
      <w:r>
        <w:rPr>
          <w:b/>
          <w:color w:val="000000"/>
          <w:szCs w:val="21"/>
        </w:rPr>
        <w:t xml:space="preserve"> </w:t>
      </w:r>
      <w:r>
        <w:rPr>
          <w:rFonts w:hint="eastAsia" w:ascii="宋体" w:hAnsi="宋体" w:cs="宋体"/>
          <w:bCs/>
          <w:color w:val="000000"/>
          <w:szCs w:val="21"/>
        </w:rPr>
        <w:t>外窗的设置应符合现行国家</w:t>
      </w:r>
      <w:r>
        <w:rPr>
          <w:rFonts w:hint="eastAsia" w:ascii="宋体" w:hAnsi="宋体" w:cs="宋体"/>
          <w:bCs/>
          <w:color w:val="000000"/>
          <w:szCs w:val="21"/>
          <w:lang w:val="en-US" w:eastAsia="zh-CN"/>
        </w:rPr>
        <w:t>标准</w:t>
      </w:r>
      <w:r>
        <w:rPr>
          <w:rFonts w:hint="eastAsia" w:ascii="宋体" w:hAnsi="宋体" w:cs="宋体"/>
          <w:bCs/>
          <w:color w:val="000000"/>
          <w:szCs w:val="21"/>
        </w:rPr>
        <w:t>《民用建筑通用规范》</w:t>
      </w:r>
      <w:r>
        <w:rPr>
          <w:rFonts w:hint="eastAsia"/>
          <w:color w:val="000000"/>
          <w:szCs w:val="21"/>
        </w:rPr>
        <w:t>GB 55031</w:t>
      </w:r>
      <w:r>
        <w:rPr>
          <w:rFonts w:hint="eastAsia" w:ascii="宋体" w:hAnsi="宋体" w:cs="宋体"/>
          <w:bCs/>
          <w:color w:val="000000"/>
          <w:szCs w:val="21"/>
        </w:rPr>
        <w:t>的规定，民用建筑（除住宅外）临空窗的窗台距楼地面的净高低于0.80</w:t>
      </w:r>
      <w:r>
        <w:rPr>
          <w:rFonts w:ascii="宋体" w:hAnsi="宋体" w:cs="宋体"/>
          <w:bCs/>
          <w:color w:val="000000"/>
          <w:szCs w:val="21"/>
        </w:rPr>
        <w:t xml:space="preserve"> </w:t>
      </w:r>
      <w:r>
        <w:rPr>
          <w:rFonts w:hint="eastAsia" w:ascii="宋体" w:hAnsi="宋体" w:cs="宋体"/>
          <w:bCs/>
          <w:color w:val="000000"/>
          <w:szCs w:val="21"/>
        </w:rPr>
        <w:t>m时应设置防护设施，防护高度由楼地面（或可踏面）起计算不应小于0.80</w:t>
      </w:r>
      <w:r>
        <w:rPr>
          <w:rFonts w:ascii="宋体" w:hAnsi="宋体" w:cs="宋体"/>
          <w:bCs/>
          <w:color w:val="000000"/>
          <w:szCs w:val="21"/>
        </w:rPr>
        <w:t xml:space="preserve"> </w:t>
      </w:r>
      <w:r>
        <w:rPr>
          <w:rFonts w:hint="eastAsia" w:ascii="宋体" w:hAnsi="宋体" w:cs="宋体"/>
          <w:bCs/>
          <w:color w:val="000000"/>
          <w:szCs w:val="21"/>
        </w:rPr>
        <w:t>m；</w:t>
      </w:r>
    </w:p>
    <w:p w14:paraId="12B420F7">
      <w:pPr>
        <w:spacing w:line="400" w:lineRule="exact"/>
        <w:ind w:firstLine="422" w:firstLineChars="200"/>
        <w:rPr>
          <w:color w:val="000000"/>
          <w:szCs w:val="21"/>
        </w:rPr>
      </w:pPr>
      <w:r>
        <w:rPr>
          <w:b/>
          <w:color w:val="000000"/>
          <w:szCs w:val="21"/>
        </w:rPr>
        <w:t>3</w:t>
      </w:r>
      <w:r>
        <w:rPr>
          <w:color w:val="000000"/>
          <w:szCs w:val="21"/>
        </w:rPr>
        <w:t xml:space="preserve">  门窗安装应位置准确，与墙体连接应牢固，门窗框与墙体间缝隙应按设计要求的材料填嵌饱满。外门窗框与墙体间隙应填充保温材料，表面应采用密封胶压缝，打胶粘接应牢固、均匀顺直、宽厚一致、表面平整、光滑、接头或拐角处平滑。</w:t>
      </w:r>
    </w:p>
    <w:p w14:paraId="6D7FBD04">
      <w:pPr>
        <w:spacing w:line="400" w:lineRule="exact"/>
        <w:rPr>
          <w:color w:val="000000"/>
          <w:szCs w:val="21"/>
        </w:rPr>
      </w:pPr>
      <w:r>
        <w:rPr>
          <w:b/>
          <w:color w:val="000000"/>
          <w:szCs w:val="21"/>
        </w:rPr>
        <w:t>7.8.2</w:t>
      </w:r>
      <w:r>
        <w:rPr>
          <w:color w:val="000000"/>
          <w:szCs w:val="21"/>
        </w:rPr>
        <w:t xml:space="preserve">  外墙防水层应延伸至门窗框</w:t>
      </w:r>
      <w:r>
        <w:rPr>
          <w:rFonts w:hint="eastAsia"/>
          <w:color w:val="000000"/>
          <w:szCs w:val="21"/>
        </w:rPr>
        <w:t>，</w:t>
      </w:r>
      <w:r>
        <w:rPr>
          <w:color w:val="000000"/>
          <w:szCs w:val="21"/>
        </w:rPr>
        <w:t>满足</w:t>
      </w:r>
      <w:r>
        <w:rPr>
          <w:rFonts w:hint="eastAsia"/>
          <w:color w:val="000000"/>
          <w:szCs w:val="21"/>
          <w:lang w:val="en-US" w:eastAsia="zh-CN"/>
        </w:rPr>
        <w:t>现行行业标准</w:t>
      </w:r>
      <w:r>
        <w:rPr>
          <w:color w:val="000000"/>
          <w:szCs w:val="21"/>
        </w:rPr>
        <w:t>《建筑外墙防水工程技术规程》JGJ / T235</w:t>
      </w:r>
      <w:r>
        <w:rPr>
          <w:rFonts w:hint="eastAsia"/>
          <w:color w:val="000000"/>
          <w:szCs w:val="21"/>
        </w:rPr>
        <w:t>的</w:t>
      </w:r>
      <w:r>
        <w:rPr>
          <w:color w:val="000000"/>
          <w:szCs w:val="21"/>
        </w:rPr>
        <w:t>要求</w:t>
      </w:r>
      <w:r>
        <w:rPr>
          <w:rFonts w:hint="eastAsia"/>
          <w:color w:val="000000"/>
          <w:szCs w:val="21"/>
        </w:rPr>
        <w:t>。</w:t>
      </w:r>
      <w:r>
        <w:rPr>
          <w:color w:val="000000"/>
          <w:szCs w:val="21"/>
        </w:rPr>
        <w:t>门窗上楣的外口应做滴水线，外窗台应设置不小于5 %的外排水坡度。</w:t>
      </w:r>
    </w:p>
    <w:p w14:paraId="733ED032">
      <w:pPr>
        <w:spacing w:line="400" w:lineRule="exact"/>
        <w:rPr>
          <w:color w:val="000000"/>
          <w:szCs w:val="21"/>
        </w:rPr>
      </w:pPr>
      <w:r>
        <w:rPr>
          <w:b/>
          <w:bCs/>
          <w:color w:val="000000"/>
          <w:szCs w:val="21"/>
        </w:rPr>
        <w:t xml:space="preserve">7.8.3  </w:t>
      </w:r>
      <w:r>
        <w:rPr>
          <w:color w:val="000000"/>
          <w:szCs w:val="21"/>
        </w:rPr>
        <w:t xml:space="preserve">门的设置应符合下列规定： </w:t>
      </w:r>
    </w:p>
    <w:p w14:paraId="1ADDFD11">
      <w:pPr>
        <w:spacing w:line="400" w:lineRule="exact"/>
        <w:ind w:firstLine="422" w:firstLineChars="200"/>
        <w:rPr>
          <w:color w:val="000000"/>
          <w:szCs w:val="21"/>
        </w:rPr>
      </w:pPr>
      <w:r>
        <w:rPr>
          <w:b/>
          <w:bCs/>
          <w:color w:val="000000"/>
          <w:szCs w:val="21"/>
        </w:rPr>
        <w:t>1</w:t>
      </w:r>
      <w:r>
        <w:rPr>
          <w:color w:val="000000"/>
          <w:szCs w:val="21"/>
        </w:rPr>
        <w:t xml:space="preserve">  门应开启方便、坚固耐用；    </w:t>
      </w:r>
    </w:p>
    <w:p w14:paraId="756B1ECD">
      <w:pPr>
        <w:spacing w:line="400" w:lineRule="exact"/>
        <w:ind w:firstLine="422" w:firstLineChars="200"/>
        <w:rPr>
          <w:color w:val="000000"/>
          <w:szCs w:val="21"/>
        </w:rPr>
      </w:pPr>
      <w:r>
        <w:rPr>
          <w:b/>
          <w:bCs/>
          <w:color w:val="000000"/>
          <w:szCs w:val="21"/>
        </w:rPr>
        <w:t>2</w:t>
      </w:r>
      <w:r>
        <w:rPr>
          <w:color w:val="000000"/>
          <w:szCs w:val="21"/>
        </w:rPr>
        <w:t xml:space="preserve">  手动开启的大门扇应有制动装置，推拉门应有防脱轨的措施；</w:t>
      </w:r>
    </w:p>
    <w:p w14:paraId="56D49B65">
      <w:pPr>
        <w:spacing w:line="400" w:lineRule="exact"/>
        <w:ind w:firstLine="422" w:firstLineChars="200"/>
        <w:rPr>
          <w:color w:val="000000"/>
          <w:szCs w:val="21"/>
        </w:rPr>
      </w:pPr>
      <w:r>
        <w:rPr>
          <w:b/>
          <w:bCs/>
          <w:color w:val="000000"/>
          <w:szCs w:val="21"/>
        </w:rPr>
        <w:t>3</w:t>
      </w:r>
      <w:r>
        <w:rPr>
          <w:color w:val="000000"/>
          <w:szCs w:val="21"/>
        </w:rPr>
        <w:t xml:space="preserve">  </w:t>
      </w:r>
      <w:r>
        <w:rPr>
          <w:rFonts w:hint="eastAsia"/>
          <w:color w:val="000000"/>
          <w:szCs w:val="21"/>
        </w:rPr>
        <w:t>非透明</w:t>
      </w:r>
      <w:r>
        <w:rPr>
          <w:color w:val="000000"/>
          <w:szCs w:val="21"/>
        </w:rPr>
        <w:t>双面弹簧门应在可视高度部分装</w:t>
      </w:r>
      <w:r>
        <w:rPr>
          <w:rFonts w:hint="eastAsia" w:ascii="宋体" w:hAnsi="宋体" w:cs="宋体"/>
          <w:bCs/>
          <w:color w:val="000000"/>
          <w:kern w:val="2"/>
          <w:szCs w:val="21"/>
        </w:rPr>
        <w:t>非透明双面</w:t>
      </w:r>
      <w:r>
        <w:rPr>
          <w:color w:val="000000"/>
          <w:szCs w:val="21"/>
        </w:rPr>
        <w:t xml:space="preserve">安全玻璃；    </w:t>
      </w:r>
    </w:p>
    <w:p w14:paraId="5BD1F9A3">
      <w:pPr>
        <w:spacing w:line="400" w:lineRule="exact"/>
        <w:ind w:firstLine="422" w:firstLineChars="200"/>
        <w:rPr>
          <w:color w:val="000000"/>
          <w:szCs w:val="21"/>
        </w:rPr>
      </w:pPr>
      <w:r>
        <w:rPr>
          <w:rFonts w:hint="eastAsia"/>
          <w:b/>
          <w:bCs/>
          <w:color w:val="000000"/>
          <w:szCs w:val="21"/>
        </w:rPr>
        <w:t>4</w:t>
      </w:r>
      <w:r>
        <w:rPr>
          <w:color w:val="000000"/>
          <w:szCs w:val="21"/>
        </w:rPr>
        <w:t xml:space="preserve">  开向疏散走道及楼梯间的门扇开足后，不应影响走道及楼梯平台的疏散宽度；    </w:t>
      </w:r>
    </w:p>
    <w:p w14:paraId="3B375562">
      <w:pPr>
        <w:spacing w:line="400" w:lineRule="exact"/>
        <w:ind w:firstLine="422" w:firstLineChars="200"/>
        <w:rPr>
          <w:color w:val="000000"/>
          <w:szCs w:val="21"/>
        </w:rPr>
      </w:pPr>
      <w:r>
        <w:rPr>
          <w:rFonts w:hint="eastAsia"/>
          <w:b/>
          <w:bCs/>
          <w:color w:val="000000"/>
          <w:szCs w:val="21"/>
        </w:rPr>
        <w:t>5</w:t>
      </w:r>
      <w:r>
        <w:rPr>
          <w:color w:val="000000"/>
          <w:szCs w:val="21"/>
        </w:rPr>
        <w:t xml:space="preserve">  全玻璃门应选用安全玻璃，并应设防撞提示标志；</w:t>
      </w:r>
    </w:p>
    <w:p w14:paraId="7AB32E67">
      <w:pPr>
        <w:spacing w:line="400" w:lineRule="exact"/>
        <w:ind w:firstLine="422" w:firstLineChars="200"/>
        <w:rPr>
          <w:color w:val="000000"/>
          <w:szCs w:val="21"/>
        </w:rPr>
      </w:pPr>
      <w:r>
        <w:rPr>
          <w:rFonts w:hint="eastAsia"/>
          <w:b/>
          <w:bCs/>
          <w:color w:val="000000"/>
          <w:szCs w:val="21"/>
        </w:rPr>
        <w:t>6</w:t>
      </w:r>
      <w:r>
        <w:rPr>
          <w:color w:val="000000"/>
          <w:szCs w:val="21"/>
        </w:rPr>
        <w:t xml:space="preserve">  门的开启不应跨越变形缝</w:t>
      </w:r>
      <w:r>
        <w:rPr>
          <w:rFonts w:hint="eastAsia"/>
          <w:color w:val="000000"/>
          <w:szCs w:val="21"/>
        </w:rPr>
        <w:t>；</w:t>
      </w:r>
    </w:p>
    <w:p w14:paraId="2FDE6CD9">
      <w:pPr>
        <w:spacing w:line="400" w:lineRule="exact"/>
        <w:ind w:firstLine="422" w:firstLineChars="200"/>
        <w:rPr>
          <w:color w:val="000000"/>
          <w:szCs w:val="21"/>
        </w:rPr>
      </w:pPr>
      <w:r>
        <w:rPr>
          <w:rFonts w:hint="eastAsia"/>
          <w:b/>
          <w:bCs/>
          <w:color w:val="000000"/>
          <w:szCs w:val="21"/>
        </w:rPr>
        <w:t>7</w:t>
      </w:r>
      <w:r>
        <w:rPr>
          <w:rFonts w:hint="eastAsia"/>
          <w:color w:val="000000"/>
          <w:szCs w:val="21"/>
        </w:rPr>
        <w:t xml:space="preserve">  人防门门扇应开闭灵活，关闭严密，配件及金属外框防腐到位，锁孔位置、门槛安装高度准确。</w:t>
      </w:r>
    </w:p>
    <w:p w14:paraId="3474438B">
      <w:pPr>
        <w:spacing w:line="400" w:lineRule="exact"/>
        <w:rPr>
          <w:color w:val="000000"/>
          <w:szCs w:val="21"/>
        </w:rPr>
      </w:pPr>
      <w:r>
        <w:rPr>
          <w:b/>
          <w:color w:val="000000"/>
          <w:szCs w:val="21"/>
        </w:rPr>
        <w:t xml:space="preserve">7.8.4  </w:t>
      </w:r>
      <w:r>
        <w:rPr>
          <w:color w:val="000000"/>
          <w:szCs w:val="21"/>
        </w:rPr>
        <w:t>门窗玻璃安装工程应符合</w:t>
      </w:r>
      <w:r>
        <w:rPr>
          <w:rFonts w:hint="eastAsia"/>
          <w:color w:val="000000"/>
          <w:szCs w:val="21"/>
        </w:rPr>
        <w:t>下列规定</w:t>
      </w:r>
      <w:r>
        <w:rPr>
          <w:color w:val="000000"/>
          <w:szCs w:val="21"/>
        </w:rPr>
        <w:t>：</w:t>
      </w:r>
    </w:p>
    <w:p w14:paraId="74ED982D">
      <w:pPr>
        <w:spacing w:line="400" w:lineRule="exact"/>
        <w:ind w:left="210" w:leftChars="100" w:firstLine="211" w:firstLineChars="100"/>
        <w:rPr>
          <w:color w:val="000000"/>
          <w:szCs w:val="21"/>
        </w:rPr>
      </w:pPr>
      <w:r>
        <w:rPr>
          <w:b/>
          <w:color w:val="000000"/>
          <w:szCs w:val="21"/>
        </w:rPr>
        <w:t>1</w:t>
      </w:r>
      <w:r>
        <w:rPr>
          <w:color w:val="000000"/>
          <w:szCs w:val="21"/>
        </w:rPr>
        <w:t xml:space="preserve">  玻璃的品种、规格、裁割尺寸和色彩、涂膜朝向等应符合设计要求。单块玻璃大于1.5 m</w:t>
      </w:r>
      <w:r>
        <w:rPr>
          <w:color w:val="000000"/>
          <w:kern w:val="30"/>
          <w:szCs w:val="21"/>
          <w:vertAlign w:val="superscript"/>
        </w:rPr>
        <w:t>2</w:t>
      </w:r>
      <w:r>
        <w:rPr>
          <w:color w:val="000000"/>
          <w:szCs w:val="21"/>
        </w:rPr>
        <w:t>时应使用安全玻璃。玻璃安装应牢固，不得松动。固定玻璃的钉子或钢丝卡子的规格、数量，应确保玻璃安装牢固；</w:t>
      </w:r>
    </w:p>
    <w:p w14:paraId="01218EE9">
      <w:pPr>
        <w:spacing w:line="400" w:lineRule="exact"/>
        <w:ind w:firstLine="422" w:firstLineChars="200"/>
        <w:rPr>
          <w:color w:val="000000"/>
          <w:szCs w:val="21"/>
        </w:rPr>
      </w:pPr>
      <w:r>
        <w:rPr>
          <w:b/>
          <w:color w:val="000000"/>
          <w:szCs w:val="21"/>
        </w:rPr>
        <w:t>2</w:t>
      </w:r>
      <w:r>
        <w:rPr>
          <w:color w:val="000000"/>
          <w:szCs w:val="21"/>
        </w:rPr>
        <w:t xml:space="preserve">  密封条、密封胶与玻璃及其槽口应接触紧密、牢固、平整。具有密封功能的玻璃压条应与玻璃全部贴紧。镶钉木压条应紧贴玻璃，压条连接应紧密，裁口、割角应平齐。</w:t>
      </w:r>
    </w:p>
    <w:p w14:paraId="62128CC1">
      <w:pPr>
        <w:spacing w:line="400" w:lineRule="exact"/>
        <w:rPr>
          <w:color w:val="000000"/>
          <w:szCs w:val="21"/>
        </w:rPr>
      </w:pPr>
      <w:r>
        <w:rPr>
          <w:b/>
          <w:color w:val="000000"/>
          <w:szCs w:val="21"/>
        </w:rPr>
        <w:t>7.8.5</w:t>
      </w:r>
      <w:r>
        <w:rPr>
          <w:color w:val="000000"/>
          <w:szCs w:val="21"/>
        </w:rPr>
        <w:t xml:space="preserve">  木门窗框与墙体安装连接必须牢固，预埋木砖必须进行防腐处理，胶合板门、纤维板门的上、下冒头应各钻两个以上透气孔，且应透气通畅。门窗框、扇裁口、割角拼缝应严密平整，油漆腻子打磨应工序到位，表面应洁净、光滑、平整、色泽一致，不应有刨痕、戗茬、锤印，漆膜应光滑、光亮，不应有透底、流坠、刷痕。</w:t>
      </w:r>
    </w:p>
    <w:p w14:paraId="02C62A20">
      <w:pPr>
        <w:spacing w:line="400" w:lineRule="exact"/>
        <w:rPr>
          <w:color w:val="000000"/>
          <w:szCs w:val="21"/>
        </w:rPr>
      </w:pPr>
      <w:r>
        <w:rPr>
          <w:b/>
          <w:color w:val="000000"/>
          <w:szCs w:val="21"/>
        </w:rPr>
        <w:t>7.8.6</w:t>
      </w:r>
      <w:r>
        <w:rPr>
          <w:color w:val="000000"/>
          <w:szCs w:val="21"/>
        </w:rPr>
        <w:t xml:space="preserve">  金属、塑钢门窗的型材、壁厚、防腐和密封处理应符合相关规范规定。框、副框、门窗扇安装必须牢固。推拉窗必须有防脱落措施。框与墙体间缝隙应采用闭孔弹性材料填嵌饱满，表面应用密封胶封闭。橡胶密封条或毛毡密封条安装应位置准确、牢固、接头严密，不应断条、错台。外窗下框应有畅通的排水孔。</w:t>
      </w:r>
    </w:p>
    <w:p w14:paraId="548FE273">
      <w:pPr>
        <w:spacing w:line="400" w:lineRule="exact"/>
        <w:rPr>
          <w:color w:val="000000"/>
          <w:szCs w:val="21"/>
        </w:rPr>
      </w:pPr>
      <w:r>
        <w:rPr>
          <w:b/>
          <w:color w:val="000000"/>
          <w:szCs w:val="21"/>
        </w:rPr>
        <w:t>7.8.7</w:t>
      </w:r>
      <w:r>
        <w:rPr>
          <w:color w:val="000000"/>
          <w:szCs w:val="21"/>
        </w:rPr>
        <w:t xml:space="preserve">  各种门窗安装的留缝限值和允许偏差值，应符合</w:t>
      </w:r>
      <w:r>
        <w:rPr>
          <w:rFonts w:hint="eastAsia"/>
          <w:color w:val="000000"/>
          <w:szCs w:val="21"/>
          <w:lang w:val="en-US" w:eastAsia="zh-CN"/>
        </w:rPr>
        <w:t>现行国家标准</w:t>
      </w:r>
      <w:r>
        <w:rPr>
          <w:rFonts w:hint="eastAsia"/>
          <w:color w:val="000000"/>
          <w:szCs w:val="21"/>
        </w:rPr>
        <w:t>《建筑装饰装修工程质量验收标准》GB</w:t>
      </w:r>
      <w:r>
        <w:rPr>
          <w:color w:val="000000"/>
          <w:szCs w:val="21"/>
        </w:rPr>
        <w:t xml:space="preserve"> </w:t>
      </w:r>
      <w:r>
        <w:rPr>
          <w:rFonts w:hint="eastAsia"/>
          <w:color w:val="000000"/>
          <w:szCs w:val="21"/>
        </w:rPr>
        <w:t>50210的规定，</w:t>
      </w:r>
      <w:r>
        <w:rPr>
          <w:color w:val="000000"/>
          <w:szCs w:val="21"/>
        </w:rPr>
        <w:t>卫生间</w:t>
      </w:r>
      <w:r>
        <w:rPr>
          <w:rFonts w:hint="eastAsia"/>
          <w:color w:val="000000"/>
          <w:szCs w:val="21"/>
        </w:rPr>
        <w:t>门应满足通风要求，</w:t>
      </w:r>
      <w:r>
        <w:rPr>
          <w:color w:val="000000"/>
          <w:szCs w:val="21"/>
        </w:rPr>
        <w:t>应安装带百叶的门扇，或门扇与地面间的缝隙</w:t>
      </w:r>
      <w:r>
        <w:rPr>
          <w:rFonts w:hint="eastAsia"/>
          <w:color w:val="000000"/>
          <w:szCs w:val="21"/>
        </w:rPr>
        <w:t>不小于</w:t>
      </w:r>
      <w:r>
        <w:rPr>
          <w:color w:val="000000"/>
          <w:szCs w:val="21"/>
        </w:rPr>
        <w:t>15 mm，木门框下方应有隔潮构造。</w:t>
      </w:r>
    </w:p>
    <w:p w14:paraId="76C39BF4">
      <w:pPr>
        <w:spacing w:line="400" w:lineRule="exact"/>
        <w:rPr>
          <w:color w:val="000000"/>
          <w:szCs w:val="21"/>
        </w:rPr>
      </w:pPr>
      <w:r>
        <w:rPr>
          <w:rFonts w:hint="eastAsia"/>
          <w:b/>
          <w:bCs/>
          <w:color w:val="000000"/>
          <w:szCs w:val="21"/>
        </w:rPr>
        <w:t>7.8.8</w:t>
      </w:r>
      <w:r>
        <w:rPr>
          <w:rFonts w:hint="eastAsia"/>
          <w:color w:val="000000"/>
          <w:szCs w:val="21"/>
        </w:rPr>
        <w:t xml:space="preserve">  天窗的设置应符合现行国家</w:t>
      </w:r>
      <w:r>
        <w:rPr>
          <w:rFonts w:hint="eastAsia"/>
          <w:color w:val="000000"/>
          <w:szCs w:val="21"/>
          <w:lang w:val="en-US" w:eastAsia="zh-CN"/>
        </w:rPr>
        <w:t>标准</w:t>
      </w:r>
      <w:r>
        <w:rPr>
          <w:rFonts w:hint="eastAsia"/>
          <w:color w:val="000000"/>
          <w:szCs w:val="21"/>
        </w:rPr>
        <w:t>《民用建筑通用规范》GB 55031的规定，满足下列规定：</w:t>
      </w:r>
    </w:p>
    <w:p w14:paraId="506F62B7">
      <w:pPr>
        <w:spacing w:line="400" w:lineRule="exact"/>
        <w:ind w:firstLine="422" w:firstLineChars="200"/>
        <w:rPr>
          <w:rFonts w:ascii="宋体" w:hAnsi="宋体" w:cs="宋体"/>
          <w:bCs/>
          <w:color w:val="000000"/>
          <w:szCs w:val="21"/>
        </w:rPr>
      </w:pPr>
      <w:r>
        <w:rPr>
          <w:b/>
          <w:color w:val="000000"/>
          <w:szCs w:val="21"/>
        </w:rPr>
        <w:t>1</w:t>
      </w:r>
      <w:r>
        <w:rPr>
          <w:rFonts w:hint="eastAsia"/>
          <w:color w:val="000000"/>
          <w:szCs w:val="21"/>
        </w:rPr>
        <w:t xml:space="preserve">  </w:t>
      </w:r>
      <w:r>
        <w:rPr>
          <w:color w:val="000000"/>
          <w:szCs w:val="21"/>
        </w:rPr>
        <w:t>采光天窗</w:t>
      </w:r>
      <w:r>
        <w:rPr>
          <w:rFonts w:ascii="宋体" w:hAnsi="宋体" w:cs="宋体"/>
          <w:bCs/>
          <w:color w:val="000000"/>
          <w:szCs w:val="21"/>
        </w:rPr>
        <w:t>应采用防破碎坠落的透光材料，当采用玻璃时，应使用夹层玻璃或夹层中空玻璃</w:t>
      </w:r>
      <w:r>
        <w:rPr>
          <w:rFonts w:hint="eastAsia" w:ascii="宋体" w:hAnsi="宋体" w:cs="宋体"/>
          <w:bCs/>
          <w:color w:val="000000"/>
          <w:szCs w:val="21"/>
        </w:rPr>
        <w:t>；</w:t>
      </w:r>
    </w:p>
    <w:p w14:paraId="2F32CD6F">
      <w:pPr>
        <w:spacing w:line="400" w:lineRule="exact"/>
        <w:ind w:firstLine="422" w:firstLineChars="200"/>
        <w:rPr>
          <w:rFonts w:ascii="宋体" w:hAnsi="宋体" w:cs="宋体"/>
          <w:bCs/>
          <w:color w:val="000000"/>
          <w:szCs w:val="21"/>
        </w:rPr>
      </w:pPr>
      <w:r>
        <w:rPr>
          <w:b/>
          <w:color w:val="000000"/>
          <w:szCs w:val="21"/>
        </w:rPr>
        <w:t>2</w:t>
      </w:r>
      <w:r>
        <w:rPr>
          <w:rFonts w:hint="eastAsia"/>
          <w:b/>
          <w:color w:val="000000"/>
          <w:szCs w:val="21"/>
        </w:rPr>
        <w:t xml:space="preserve"> </w:t>
      </w:r>
      <w:r>
        <w:rPr>
          <w:rFonts w:hint="eastAsia" w:ascii="宋体" w:hAnsi="宋体" w:cs="宋体"/>
          <w:bCs/>
          <w:color w:val="000000"/>
          <w:szCs w:val="21"/>
        </w:rPr>
        <w:t xml:space="preserve"> </w:t>
      </w:r>
      <w:r>
        <w:rPr>
          <w:rFonts w:ascii="宋体" w:hAnsi="宋体" w:cs="宋体"/>
          <w:bCs/>
          <w:color w:val="000000"/>
          <w:szCs w:val="21"/>
        </w:rPr>
        <w:t>天窗应设置冷凝水导泄装置，采取防冷凝水产生的措施，多雪地区应考虑积雪对天窗的影响</w:t>
      </w:r>
      <w:r>
        <w:rPr>
          <w:rFonts w:hint="eastAsia" w:ascii="宋体" w:hAnsi="宋体" w:cs="宋体"/>
          <w:bCs/>
          <w:color w:val="000000"/>
          <w:szCs w:val="21"/>
        </w:rPr>
        <w:t>；</w:t>
      </w:r>
    </w:p>
    <w:p w14:paraId="1347FFF4">
      <w:pPr>
        <w:spacing w:line="400" w:lineRule="exact"/>
        <w:ind w:firstLine="422" w:firstLineChars="200"/>
        <w:rPr>
          <w:color w:val="000000"/>
          <w:szCs w:val="21"/>
        </w:rPr>
      </w:pPr>
      <w:r>
        <w:rPr>
          <w:b/>
          <w:color w:val="000000"/>
          <w:szCs w:val="21"/>
        </w:rPr>
        <w:t>3</w:t>
      </w:r>
      <w:r>
        <w:rPr>
          <w:rFonts w:hint="eastAsia"/>
          <w:b/>
          <w:color w:val="000000"/>
          <w:szCs w:val="21"/>
        </w:rPr>
        <w:t xml:space="preserve"> </w:t>
      </w:r>
      <w:r>
        <w:rPr>
          <w:rFonts w:hint="eastAsia" w:ascii="宋体" w:hAnsi="宋体" w:cs="宋体"/>
          <w:bCs/>
          <w:color w:val="000000"/>
          <w:szCs w:val="21"/>
        </w:rPr>
        <w:t xml:space="preserve"> </w:t>
      </w:r>
      <w:r>
        <w:rPr>
          <w:rFonts w:ascii="宋体" w:hAnsi="宋体" w:cs="宋体"/>
          <w:bCs/>
          <w:color w:val="000000"/>
          <w:szCs w:val="21"/>
        </w:rPr>
        <w:t>天窗的连</w:t>
      </w:r>
      <w:r>
        <w:rPr>
          <w:color w:val="000000"/>
          <w:szCs w:val="21"/>
        </w:rPr>
        <w:t>接应牢固、安全，开启扇启闭应方便可靠。</w:t>
      </w:r>
    </w:p>
    <w:p w14:paraId="28C1C61A">
      <w:pPr>
        <w:pStyle w:val="4"/>
        <w:numPr>
          <w:ilvl w:val="1"/>
          <w:numId w:val="0"/>
        </w:numPr>
        <w:spacing w:before="312" w:beforeLines="100" w:line="400" w:lineRule="exact"/>
        <w:jc w:val="center"/>
        <w:rPr>
          <w:rFonts w:ascii="Times New Roman" w:hAnsi="Times New Roman" w:eastAsia="黑体"/>
          <w:sz w:val="24"/>
          <w:szCs w:val="24"/>
        </w:rPr>
      </w:pPr>
      <w:bookmarkStart w:id="387" w:name="_Toc1595"/>
      <w:bookmarkStart w:id="388" w:name="_Toc22172"/>
      <w:bookmarkStart w:id="389" w:name="_Toc24655"/>
      <w:bookmarkStart w:id="390" w:name="_Toc16289"/>
      <w:r>
        <w:rPr>
          <w:rFonts w:ascii="Times New Roman" w:hAnsi="Times New Roman" w:eastAsia="黑体"/>
          <w:b/>
          <w:bCs/>
          <w:sz w:val="24"/>
          <w:szCs w:val="24"/>
        </w:rPr>
        <w:t xml:space="preserve">7.9 </w:t>
      </w:r>
      <w:r>
        <w:rPr>
          <w:rFonts w:ascii="Times New Roman" w:hAnsi="Times New Roman" w:eastAsia="黑体"/>
          <w:sz w:val="24"/>
          <w:szCs w:val="24"/>
        </w:rPr>
        <w:t xml:space="preserve"> 幕墙工程</w:t>
      </w:r>
      <w:bookmarkEnd w:id="387"/>
      <w:bookmarkEnd w:id="388"/>
      <w:bookmarkEnd w:id="389"/>
      <w:bookmarkEnd w:id="390"/>
    </w:p>
    <w:p w14:paraId="3014FC14">
      <w:pPr>
        <w:spacing w:line="400" w:lineRule="exact"/>
        <w:rPr>
          <w:color w:val="000000"/>
          <w:szCs w:val="21"/>
        </w:rPr>
      </w:pPr>
      <w:r>
        <w:rPr>
          <w:b/>
          <w:color w:val="000000"/>
          <w:szCs w:val="21"/>
        </w:rPr>
        <w:t>7.9.1</w:t>
      </w:r>
      <w:r>
        <w:rPr>
          <w:color w:val="000000"/>
          <w:szCs w:val="21"/>
        </w:rPr>
        <w:t xml:space="preserve">  幕墙工程应符合</w:t>
      </w:r>
      <w:r>
        <w:rPr>
          <w:rFonts w:hint="eastAsia"/>
          <w:color w:val="000000"/>
          <w:szCs w:val="21"/>
        </w:rPr>
        <w:t>下列规定</w:t>
      </w:r>
      <w:r>
        <w:rPr>
          <w:color w:val="000000"/>
          <w:szCs w:val="21"/>
        </w:rPr>
        <w:t>：</w:t>
      </w:r>
    </w:p>
    <w:p w14:paraId="52B9CD92">
      <w:pPr>
        <w:spacing w:line="400" w:lineRule="exact"/>
        <w:ind w:firstLine="422" w:firstLineChars="200"/>
        <w:rPr>
          <w:color w:val="000000"/>
          <w:szCs w:val="21"/>
        </w:rPr>
      </w:pPr>
      <w:r>
        <w:rPr>
          <w:b/>
          <w:color w:val="000000"/>
          <w:szCs w:val="21"/>
        </w:rPr>
        <w:t>1</w:t>
      </w:r>
      <w:r>
        <w:rPr>
          <w:color w:val="000000"/>
          <w:szCs w:val="21"/>
        </w:rPr>
        <w:t xml:space="preserve">  幕墙工程的设计和施工单位应有相应的资质，</w:t>
      </w:r>
      <w:r>
        <w:rPr>
          <w:rFonts w:hint="eastAsia" w:ascii="宋体" w:hAnsi="宋体" w:cs="宋体"/>
          <w:bCs/>
          <w:color w:val="000000"/>
          <w:szCs w:val="21"/>
        </w:rPr>
        <w:t>并提供结构设计单位认可的幕墙与主体结构连接部位的结构反力计算书</w:t>
      </w:r>
      <w:r>
        <w:rPr>
          <w:color w:val="000000"/>
          <w:szCs w:val="21"/>
        </w:rPr>
        <w:t>。采用新材料、新结构的幕墙，宜在现场制作样板，经工程设计单位、建设单位、监理单位共同认可后，方可进行施工；</w:t>
      </w:r>
    </w:p>
    <w:p w14:paraId="524560B4">
      <w:pPr>
        <w:spacing w:line="400" w:lineRule="exact"/>
        <w:ind w:firstLine="422" w:firstLineChars="200"/>
        <w:rPr>
          <w:color w:val="000000"/>
          <w:szCs w:val="21"/>
        </w:rPr>
      </w:pPr>
      <w:r>
        <w:rPr>
          <w:b/>
          <w:color w:val="000000"/>
          <w:szCs w:val="21"/>
        </w:rPr>
        <w:t xml:space="preserve">2  </w:t>
      </w:r>
      <w:r>
        <w:rPr>
          <w:color w:val="000000"/>
          <w:szCs w:val="21"/>
        </w:rPr>
        <w:t>隐框、半隐框幕墙所采用的结构粘接材料必须是中性硅酮结构密封胶，其性能应符合现行国家标准《建筑用硅酮结构密封胶》GB 16776的有关规定。硅酮结构密封胶在使用前，应做邵氏硬度、剥离强度、相容性试验并必须在有效期内使用；</w:t>
      </w:r>
    </w:p>
    <w:p w14:paraId="42C72CCB">
      <w:pPr>
        <w:spacing w:line="400" w:lineRule="exact"/>
        <w:ind w:firstLine="422" w:firstLineChars="200"/>
        <w:rPr>
          <w:color w:val="000000"/>
          <w:szCs w:val="21"/>
        </w:rPr>
      </w:pPr>
      <w:r>
        <w:rPr>
          <w:b/>
          <w:color w:val="000000"/>
          <w:szCs w:val="21"/>
        </w:rPr>
        <w:t>3</w:t>
      </w:r>
      <w:r>
        <w:rPr>
          <w:color w:val="000000"/>
          <w:szCs w:val="21"/>
        </w:rPr>
        <w:t xml:space="preserve">  主体结构与幕墙连接的各种预埋件、连接件及转接件，其数量、规格、位置、焊接质量和防腐处理，必须符合设计要求；</w:t>
      </w:r>
    </w:p>
    <w:p w14:paraId="158CE724">
      <w:pPr>
        <w:spacing w:line="400" w:lineRule="exact"/>
        <w:ind w:firstLine="422" w:firstLineChars="200"/>
        <w:rPr>
          <w:color w:val="000000"/>
          <w:szCs w:val="21"/>
        </w:rPr>
      </w:pPr>
      <w:r>
        <w:rPr>
          <w:b/>
          <w:color w:val="000000"/>
          <w:szCs w:val="21"/>
        </w:rPr>
        <w:t>4</w:t>
      </w:r>
      <w:r>
        <w:rPr>
          <w:color w:val="000000"/>
          <w:szCs w:val="21"/>
        </w:rPr>
        <w:t xml:space="preserve">  幕墙工程与主体结构预埋件的连接，立柱与横梁的连接及面板的安装，必须符合设计要求并安装牢固，层间防火封修必须满足设计及规范要求。</w:t>
      </w:r>
      <w:r>
        <w:rPr>
          <w:rFonts w:hint="eastAsia"/>
          <w:color w:val="000000"/>
          <w:szCs w:val="21"/>
        </w:rPr>
        <w:t>背栓具有国家或国际权威机构出具的抗拉与抗剪承载力测试报告，报告应该包含背栓的材质、安装尺寸、石材性能及构造要求等。</w:t>
      </w:r>
      <w:r>
        <w:rPr>
          <w:color w:val="000000"/>
          <w:szCs w:val="21"/>
        </w:rPr>
        <w:t>结构胶和密封胶打注应饱满、密实、连续、均匀、无气泡，宽度和厚度应符合设计和相应技术标准的规定。开启窗应安装牢固，位置、开启方向、角度应正确，并应开启灵活、关闭严密；</w:t>
      </w:r>
    </w:p>
    <w:p w14:paraId="53507CCD">
      <w:pPr>
        <w:spacing w:line="400" w:lineRule="exact"/>
        <w:ind w:firstLine="422" w:firstLineChars="200"/>
        <w:rPr>
          <w:color w:val="000000"/>
          <w:szCs w:val="21"/>
        </w:rPr>
      </w:pPr>
      <w:r>
        <w:rPr>
          <w:b/>
          <w:color w:val="000000"/>
          <w:szCs w:val="21"/>
        </w:rPr>
        <w:t>5</w:t>
      </w:r>
      <w:r>
        <w:rPr>
          <w:color w:val="000000"/>
          <w:szCs w:val="21"/>
        </w:rPr>
        <w:t xml:space="preserve">  幕墙工程应无渗漏，表面应平整、洁净、色泽均匀一致、无污染。胶缝应顺直、光滑，压条应平直，接口应严密，安装应牢固。板面不应有缺损、裂缝、划痕，滴水线、流水坡向应正确；</w:t>
      </w:r>
    </w:p>
    <w:p w14:paraId="47B6957C">
      <w:pPr>
        <w:spacing w:line="400" w:lineRule="exact"/>
        <w:ind w:firstLine="422" w:firstLineChars="200"/>
        <w:rPr>
          <w:color w:val="000000"/>
          <w:szCs w:val="21"/>
        </w:rPr>
      </w:pPr>
      <w:r>
        <w:rPr>
          <w:b/>
          <w:color w:val="000000"/>
          <w:szCs w:val="21"/>
        </w:rPr>
        <w:t xml:space="preserve">6 </w:t>
      </w:r>
      <w:r>
        <w:rPr>
          <w:color w:val="000000"/>
          <w:szCs w:val="21"/>
        </w:rPr>
        <w:t xml:space="preserve"> 幕墙工程所使用的各种材料、五金配件、构件及组件的品种、规格、质量、性能，应符合国家标准规定。</w:t>
      </w:r>
    </w:p>
    <w:p w14:paraId="333BB9C3">
      <w:pPr>
        <w:spacing w:line="400" w:lineRule="exact"/>
        <w:rPr>
          <w:color w:val="000000"/>
          <w:szCs w:val="21"/>
        </w:rPr>
      </w:pPr>
      <w:r>
        <w:rPr>
          <w:b/>
          <w:color w:val="000000"/>
          <w:szCs w:val="21"/>
        </w:rPr>
        <w:t>7.9.2</w:t>
      </w:r>
      <w:r>
        <w:rPr>
          <w:color w:val="000000"/>
          <w:szCs w:val="21"/>
        </w:rPr>
        <w:t xml:space="preserve">  玻璃幕墙表面应平整、洁净，整幅玻璃的色泽应均匀一致，不得有污染和镀膜损坏。明框玻璃幕墙的外露框和压条应横平竖直，颜色、规格应符合设计要求，压条安装应牢固。单元玻璃幕墙的单元拼缝或隐框玻璃幕墙的分格、玻璃拼缝应横平竖直、均匀一致。呼吸式玻璃幕墙应开闭灵活。玻璃幕墙的密封胶缝应横平竖直、深浅一致、宽窄均匀、光滑顺直。</w:t>
      </w:r>
    </w:p>
    <w:p w14:paraId="294F40A2">
      <w:pPr>
        <w:spacing w:line="400" w:lineRule="exact"/>
        <w:rPr>
          <w:color w:val="000000"/>
          <w:szCs w:val="21"/>
        </w:rPr>
      </w:pPr>
      <w:r>
        <w:rPr>
          <w:b/>
          <w:color w:val="000000"/>
          <w:szCs w:val="21"/>
        </w:rPr>
        <w:t>7.9.3</w:t>
      </w:r>
      <w:r>
        <w:rPr>
          <w:color w:val="000000"/>
          <w:szCs w:val="21"/>
        </w:rPr>
        <w:t xml:space="preserve">  金属幕墙的金属板表面应平整、洁净、色泽一致，压条应平直、洁净、接口严密、安装牢固。密封胶缝应横平竖直、深浅一致、宽窄均匀、光滑顺直。滴水线、流水坡向应正确、顺直。</w:t>
      </w:r>
    </w:p>
    <w:p w14:paraId="43267201">
      <w:pPr>
        <w:spacing w:line="400" w:lineRule="exact"/>
        <w:rPr>
          <w:color w:val="000000"/>
          <w:szCs w:val="21"/>
        </w:rPr>
      </w:pPr>
      <w:r>
        <w:rPr>
          <w:b/>
          <w:color w:val="000000"/>
          <w:szCs w:val="21"/>
        </w:rPr>
        <w:t>7.9.4</w:t>
      </w:r>
      <w:r>
        <w:rPr>
          <w:color w:val="000000"/>
          <w:szCs w:val="21"/>
        </w:rPr>
        <w:t xml:space="preserve">  石材幕墙表面应平整，不应有污染、缺损、裂痕。颜色和花纹应协调一致，不应有明显色差和修痕，耐碱背涂到位。压条应平直、洁净，接口应严密，安装应牢固。接缝应横平竖直、宽窄均匀，阴阳角石板压向应正确，板边合缝应顺直。石材面板上的洞口、槽边应套割吻合，边缘应整齐，密封胶缝应横平竖直、深浅一致、宽窄均匀、光滑顺直。滴水线、流水坡向应正确、顺直。应符合</w:t>
      </w:r>
      <w:r>
        <w:rPr>
          <w:rFonts w:hint="eastAsia"/>
          <w:color w:val="000000"/>
          <w:szCs w:val="21"/>
          <w:lang w:val="en-US" w:eastAsia="zh-CN"/>
        </w:rPr>
        <w:t>现行行业标准</w:t>
      </w:r>
      <w:r>
        <w:rPr>
          <w:color w:val="000000"/>
          <w:szCs w:val="21"/>
        </w:rPr>
        <w:t>《金属与石材幕墙工程技术规范》JGJ 133的要求。</w:t>
      </w:r>
    </w:p>
    <w:p w14:paraId="61145097">
      <w:pPr>
        <w:spacing w:line="400" w:lineRule="exact"/>
        <w:rPr>
          <w:color w:val="000000"/>
          <w:szCs w:val="21"/>
        </w:rPr>
      </w:pPr>
      <w:r>
        <w:rPr>
          <w:rFonts w:hint="eastAsia"/>
          <w:color w:val="000000"/>
          <w:szCs w:val="21"/>
        </w:rPr>
        <w:t>7.9.5  陶板幕墙的构件和附件的材料品种、规格、色泽和性能应符合设计要求。开放式陶板幕墙同幅墙的陶土板色彩应一致，竖向拼缝宽度应符合设计要求，横缝应搭接，搭接量不应小于1.5</w:t>
      </w:r>
      <w:r>
        <w:rPr>
          <w:color w:val="000000"/>
          <w:szCs w:val="21"/>
        </w:rPr>
        <w:t xml:space="preserve"> </w:t>
      </w:r>
      <w:r>
        <w:rPr>
          <w:rFonts w:hint="eastAsia"/>
          <w:color w:val="000000"/>
          <w:szCs w:val="21"/>
        </w:rPr>
        <w:t>mm；板材密拼时，接缝不应超过1</w:t>
      </w:r>
      <w:r>
        <w:rPr>
          <w:color w:val="000000"/>
          <w:szCs w:val="21"/>
        </w:rPr>
        <w:t xml:space="preserve"> </w:t>
      </w:r>
      <w:r>
        <w:rPr>
          <w:rFonts w:hint="eastAsia"/>
          <w:color w:val="000000"/>
          <w:szCs w:val="21"/>
        </w:rPr>
        <w:t>mm。密闭式陶板幕墙，密封胶颜色应符合设计规定，当设计未作规定时，密封胶颜色应与陶土板的色彩相配，灌缝高度宜与陶土板的板面齐平，灌缝应饱满平直，宽窄一致。</w:t>
      </w:r>
    </w:p>
    <w:p w14:paraId="79FFAD67">
      <w:pPr>
        <w:pStyle w:val="4"/>
        <w:numPr>
          <w:ilvl w:val="1"/>
          <w:numId w:val="0"/>
        </w:numPr>
        <w:spacing w:before="312" w:beforeLines="100" w:line="400" w:lineRule="exact"/>
        <w:jc w:val="center"/>
        <w:rPr>
          <w:rFonts w:ascii="Times New Roman" w:hAnsi="Times New Roman" w:eastAsia="黑体"/>
          <w:sz w:val="24"/>
          <w:szCs w:val="24"/>
        </w:rPr>
      </w:pPr>
      <w:bookmarkStart w:id="391" w:name="_Toc10959"/>
      <w:bookmarkStart w:id="392" w:name="_Toc4752"/>
      <w:bookmarkStart w:id="393" w:name="_Toc14477"/>
      <w:bookmarkStart w:id="394" w:name="_Toc20089"/>
      <w:r>
        <w:rPr>
          <w:rFonts w:ascii="Times New Roman" w:hAnsi="Times New Roman" w:eastAsia="黑体"/>
          <w:b/>
          <w:bCs/>
          <w:sz w:val="24"/>
          <w:szCs w:val="24"/>
        </w:rPr>
        <w:t>7.10</w:t>
      </w:r>
      <w:r>
        <w:rPr>
          <w:rFonts w:ascii="Times New Roman" w:hAnsi="Times New Roman" w:eastAsia="黑体"/>
          <w:sz w:val="24"/>
          <w:szCs w:val="24"/>
        </w:rPr>
        <w:t xml:space="preserve"> </w:t>
      </w:r>
      <w:r>
        <w:rPr>
          <w:rFonts w:ascii="Times New Roman" w:hAnsi="Times New Roman" w:eastAsia="黑体"/>
          <w:sz w:val="24"/>
          <w:szCs w:val="24"/>
          <w:lang w:val="en-US"/>
        </w:rPr>
        <w:t xml:space="preserve"> </w:t>
      </w:r>
      <w:r>
        <w:rPr>
          <w:rFonts w:ascii="Times New Roman" w:hAnsi="Times New Roman" w:eastAsia="黑体"/>
          <w:sz w:val="24"/>
          <w:szCs w:val="24"/>
        </w:rPr>
        <w:t>地面工程</w:t>
      </w:r>
      <w:bookmarkEnd w:id="391"/>
      <w:bookmarkEnd w:id="392"/>
      <w:bookmarkEnd w:id="393"/>
      <w:bookmarkEnd w:id="394"/>
    </w:p>
    <w:p w14:paraId="5BF4EAD1">
      <w:pPr>
        <w:spacing w:line="400" w:lineRule="exact"/>
        <w:rPr>
          <w:color w:val="000000"/>
          <w:szCs w:val="21"/>
        </w:rPr>
      </w:pPr>
      <w:r>
        <w:rPr>
          <w:b/>
          <w:color w:val="000000"/>
          <w:szCs w:val="21"/>
        </w:rPr>
        <w:t>7.10.1</w:t>
      </w:r>
      <w:r>
        <w:rPr>
          <w:color w:val="000000"/>
          <w:szCs w:val="21"/>
        </w:rPr>
        <w:t xml:space="preserve">  室内地面的结合层、隔离层、填充层、找平层、防水层、防潮层和保温绝热层等其他构造层的质量应符合</w:t>
      </w:r>
      <w:r>
        <w:rPr>
          <w:rFonts w:hint="eastAsia"/>
          <w:color w:val="000000"/>
          <w:szCs w:val="21"/>
          <w:lang w:val="en-US" w:eastAsia="zh-CN"/>
        </w:rPr>
        <w:t>现行国家标准</w:t>
      </w:r>
      <w:r>
        <w:rPr>
          <w:rFonts w:hint="eastAsia"/>
          <w:color w:val="000000"/>
          <w:szCs w:val="21"/>
        </w:rPr>
        <w:t>《建筑地面工程施工质量验收规范》GB</w:t>
      </w:r>
      <w:r>
        <w:rPr>
          <w:color w:val="000000"/>
          <w:szCs w:val="21"/>
        </w:rPr>
        <w:t xml:space="preserve"> </w:t>
      </w:r>
      <w:r>
        <w:rPr>
          <w:rFonts w:hint="eastAsia"/>
          <w:color w:val="000000"/>
          <w:szCs w:val="21"/>
        </w:rPr>
        <w:t>50209</w:t>
      </w:r>
      <w:r>
        <w:rPr>
          <w:color w:val="000000"/>
          <w:szCs w:val="21"/>
        </w:rPr>
        <w:t>的规定。楼地面应满足平整、耐磨、不起尘、环保、防污染、隔声、易于清洁等要求，且应具有防滑性能。</w:t>
      </w:r>
    </w:p>
    <w:p w14:paraId="0D89C9CF">
      <w:pPr>
        <w:spacing w:line="400" w:lineRule="exact"/>
        <w:rPr>
          <w:color w:val="000000"/>
          <w:szCs w:val="21"/>
        </w:rPr>
      </w:pPr>
      <w:r>
        <w:rPr>
          <w:b/>
          <w:color w:val="000000"/>
          <w:szCs w:val="21"/>
        </w:rPr>
        <w:t xml:space="preserve">7.10.2 </w:t>
      </w:r>
      <w:r>
        <w:rPr>
          <w:color w:val="000000"/>
          <w:szCs w:val="21"/>
        </w:rPr>
        <w:t xml:space="preserve"> 有防水要求的地面，应符合</w:t>
      </w:r>
      <w:r>
        <w:rPr>
          <w:rFonts w:hint="eastAsia"/>
          <w:color w:val="000000"/>
          <w:szCs w:val="21"/>
        </w:rPr>
        <w:t>下列规定</w:t>
      </w:r>
      <w:r>
        <w:rPr>
          <w:color w:val="000000"/>
          <w:szCs w:val="21"/>
        </w:rPr>
        <w:t>：</w:t>
      </w:r>
    </w:p>
    <w:p w14:paraId="5E69B24C">
      <w:pPr>
        <w:spacing w:line="400" w:lineRule="exact"/>
        <w:ind w:firstLine="422" w:firstLineChars="200"/>
        <w:rPr>
          <w:color w:val="000000"/>
          <w:szCs w:val="21"/>
        </w:rPr>
      </w:pPr>
      <w:r>
        <w:rPr>
          <w:b/>
          <w:color w:val="000000"/>
          <w:szCs w:val="21"/>
        </w:rPr>
        <w:t>1</w:t>
      </w:r>
      <w:r>
        <w:rPr>
          <w:color w:val="000000"/>
          <w:szCs w:val="21"/>
        </w:rPr>
        <w:t xml:space="preserve">  厕浴间和有防滑要求的地面，应符合设计防滑要求；</w:t>
      </w:r>
    </w:p>
    <w:p w14:paraId="47A3EBB2">
      <w:pPr>
        <w:spacing w:line="400" w:lineRule="exact"/>
        <w:ind w:firstLine="422" w:firstLineChars="200"/>
        <w:rPr>
          <w:color w:val="000000"/>
          <w:szCs w:val="21"/>
        </w:rPr>
      </w:pPr>
      <w:r>
        <w:rPr>
          <w:b/>
          <w:color w:val="000000"/>
          <w:szCs w:val="21"/>
        </w:rPr>
        <w:t xml:space="preserve">2 </w:t>
      </w:r>
      <w:r>
        <w:rPr>
          <w:color w:val="000000"/>
          <w:szCs w:val="21"/>
        </w:rPr>
        <w:t xml:space="preserve"> 厕浴间和有排水要求的地面应低于相邻楼地面，并设排水坡坡向地漏</w:t>
      </w:r>
      <w:r>
        <w:rPr>
          <w:rFonts w:hint="eastAsia"/>
          <w:color w:val="000000"/>
          <w:szCs w:val="21"/>
        </w:rPr>
        <w:t>，且不积水</w:t>
      </w:r>
      <w:r>
        <w:rPr>
          <w:color w:val="000000"/>
          <w:szCs w:val="21"/>
        </w:rPr>
        <w:t>；</w:t>
      </w:r>
    </w:p>
    <w:p w14:paraId="18929C2C">
      <w:pPr>
        <w:spacing w:line="400" w:lineRule="exact"/>
        <w:ind w:firstLine="422" w:firstLineChars="200"/>
        <w:rPr>
          <w:color w:val="000000"/>
          <w:szCs w:val="21"/>
        </w:rPr>
      </w:pPr>
      <w:r>
        <w:rPr>
          <w:b/>
          <w:color w:val="000000"/>
          <w:szCs w:val="21"/>
        </w:rPr>
        <w:t>3</w:t>
      </w:r>
      <w:r>
        <w:rPr>
          <w:color w:val="000000"/>
          <w:szCs w:val="21"/>
        </w:rPr>
        <w:t xml:space="preserve">  有防水要求的地面，应采用不吸水、易冲洗、防滑的面层材料，并应设置防水隔离层。铺设前必须对立管、套管、地漏与楼板节点之间进行密封处理；</w:t>
      </w:r>
    </w:p>
    <w:p w14:paraId="6495427C">
      <w:pPr>
        <w:spacing w:line="400" w:lineRule="exact"/>
        <w:ind w:firstLine="422" w:firstLineChars="200"/>
        <w:rPr>
          <w:color w:val="000000"/>
          <w:szCs w:val="21"/>
        </w:rPr>
      </w:pPr>
      <w:r>
        <w:rPr>
          <w:b/>
          <w:bCs/>
          <w:color w:val="000000"/>
          <w:szCs w:val="21"/>
        </w:rPr>
        <w:t>4</w:t>
      </w:r>
      <w:r>
        <w:rPr>
          <w:color w:val="000000"/>
          <w:szCs w:val="21"/>
        </w:rPr>
        <w:t xml:space="preserve">  厕浴间和有防水要求的地面必须设置防水层。楼层结构必须采用现浇混凝土或整块预制混凝土板，混凝土强度等级不应小于C20。楼板四周除门洞外应做混凝土</w:t>
      </w:r>
      <w:r>
        <w:rPr>
          <w:rFonts w:hint="eastAsia"/>
          <w:color w:val="000000"/>
          <w:szCs w:val="21"/>
        </w:rPr>
        <w:t>坎墙，高度不应小于地面完成面以上200</w:t>
      </w:r>
      <w:r>
        <w:rPr>
          <w:color w:val="000000"/>
          <w:szCs w:val="21"/>
        </w:rPr>
        <w:t xml:space="preserve"> </w:t>
      </w:r>
      <w:r>
        <w:rPr>
          <w:rFonts w:hint="eastAsia"/>
          <w:color w:val="000000"/>
          <w:szCs w:val="21"/>
        </w:rPr>
        <w:t>mm</w:t>
      </w:r>
      <w:r>
        <w:rPr>
          <w:color w:val="000000"/>
          <w:szCs w:val="21"/>
        </w:rPr>
        <w:t>。施工时结构层标高和预留孔洞位置应准确，严禁乱凿孔洞，应符合</w:t>
      </w:r>
      <w:r>
        <w:rPr>
          <w:rFonts w:hint="eastAsia"/>
          <w:color w:val="000000"/>
          <w:szCs w:val="21"/>
          <w:lang w:val="en-US" w:eastAsia="zh-CN"/>
        </w:rPr>
        <w:t>现行国家标准</w:t>
      </w:r>
      <w:r>
        <w:rPr>
          <w:color w:val="000000"/>
          <w:szCs w:val="21"/>
        </w:rPr>
        <w:t>《建筑地面工程施工质量验收规范》GB 50209要求；</w:t>
      </w:r>
    </w:p>
    <w:p w14:paraId="46945047">
      <w:pPr>
        <w:spacing w:line="400" w:lineRule="exact"/>
        <w:ind w:firstLine="422" w:firstLineChars="200"/>
        <w:rPr>
          <w:color w:val="000000"/>
          <w:szCs w:val="21"/>
        </w:rPr>
      </w:pPr>
      <w:r>
        <w:rPr>
          <w:b/>
          <w:color w:val="000000"/>
          <w:szCs w:val="21"/>
        </w:rPr>
        <w:t xml:space="preserve">5  </w:t>
      </w:r>
      <w:r>
        <w:rPr>
          <w:color w:val="000000"/>
          <w:szCs w:val="21"/>
        </w:rPr>
        <w:t>防水层不得渗漏，排水的坡向应正确，排水应通畅。</w:t>
      </w:r>
    </w:p>
    <w:p w14:paraId="009FA3A0">
      <w:pPr>
        <w:spacing w:line="400" w:lineRule="exact"/>
        <w:rPr>
          <w:color w:val="000000"/>
          <w:szCs w:val="21"/>
        </w:rPr>
      </w:pPr>
      <w:r>
        <w:rPr>
          <w:b/>
          <w:color w:val="000000"/>
          <w:szCs w:val="21"/>
        </w:rPr>
        <w:t>7.10.3</w:t>
      </w:r>
      <w:r>
        <w:rPr>
          <w:color w:val="000000"/>
          <w:szCs w:val="21"/>
        </w:rPr>
        <w:t xml:space="preserve">  现浇混凝土地面的厚度、强度应符合设计要求，并</w:t>
      </w:r>
      <w:r>
        <w:rPr>
          <w:rFonts w:hint="eastAsia"/>
          <w:color w:val="000000"/>
          <w:szCs w:val="21"/>
        </w:rPr>
        <w:t>用</w:t>
      </w:r>
      <w:r>
        <w:rPr>
          <w:color w:val="000000"/>
          <w:szCs w:val="21"/>
        </w:rPr>
        <w:t>原浆一次抹面、找平、压光，</w:t>
      </w:r>
      <w:r>
        <w:rPr>
          <w:rFonts w:hint="eastAsia"/>
          <w:color w:val="000000"/>
          <w:szCs w:val="21"/>
        </w:rPr>
        <w:t xml:space="preserve"> </w:t>
      </w:r>
      <w:r>
        <w:rPr>
          <w:rFonts w:hint="eastAsia" w:ascii="宋体" w:hAnsi="宋体" w:cs="宋体"/>
          <w:bCs/>
          <w:color w:val="000000"/>
          <w:szCs w:val="21"/>
        </w:rPr>
        <w:t>大面积地面应合理设置分仓缝，不得无序设置施工缝</w:t>
      </w:r>
      <w:r>
        <w:rPr>
          <w:color w:val="000000"/>
          <w:szCs w:val="21"/>
        </w:rPr>
        <w:t>，不得采用铺水泥砂浆层二次抹面。地面面层不应有裂纹、脱皮、起砂或涂抹水泥浆等缺陷，耐磨地面混凝土单方水泥用量不得少于350 kg/m³，混凝土强度C30以上，且表面应平整、光滑、无裂缝、洁净。</w:t>
      </w:r>
    </w:p>
    <w:p w14:paraId="4546DB29">
      <w:pPr>
        <w:spacing w:line="400" w:lineRule="exact"/>
        <w:rPr>
          <w:color w:val="000000"/>
          <w:szCs w:val="21"/>
        </w:rPr>
      </w:pPr>
      <w:r>
        <w:rPr>
          <w:b/>
          <w:color w:val="000000"/>
          <w:szCs w:val="21"/>
        </w:rPr>
        <w:t>7.10.4</w:t>
      </w:r>
      <w:r>
        <w:rPr>
          <w:color w:val="000000"/>
          <w:szCs w:val="21"/>
        </w:rPr>
        <w:t xml:space="preserve">  现制水磨石地面面层采用的石粒应符合现行国家标准的有关规定和设计要求，应与下层结合牢固，不应有空鼓、裂纹。面层表面应平整、光滑，不应有明显裂纹、砂眼和磨痕。石粒应密实、均匀、色泽一致、光泽度合格，颜色图案一致、不混色，分格条应顺直、清晰。不得有空裂、砂眼、石子脱落、起伏不平、分格条偏斜、光泽度不够等质量缺陷。</w:t>
      </w:r>
    </w:p>
    <w:p w14:paraId="44F41B5B">
      <w:pPr>
        <w:spacing w:line="400" w:lineRule="exact"/>
        <w:rPr>
          <w:color w:val="000000"/>
          <w:szCs w:val="21"/>
        </w:rPr>
      </w:pPr>
      <w:r>
        <w:rPr>
          <w:b/>
          <w:color w:val="000000"/>
          <w:szCs w:val="21"/>
        </w:rPr>
        <w:t>7.10.5</w:t>
      </w:r>
      <w:r>
        <w:rPr>
          <w:color w:val="000000"/>
          <w:szCs w:val="21"/>
        </w:rPr>
        <w:t xml:space="preserve">  板块地面，包括陶瓷地砖、缸砖、预制磨石、花岗岩、大理石等铺设的地面，其基层、结合层、填缝材料和工艺做法应符合现行国家标准的有关规定和设计要求。板块产品进入施工现场时，应有放射性限量合格的检测报告。板块应排布合理，套割应吻合，不宜出现板块小于三分之一边长且小于100 mm的边角料。在墙角、镶边和靠墙处应紧密结合，不得采用砂浆填补。面层与下层的粘接应牢固、无空鼓。面层表面应洁净、平整、图案清晰、色泽一致，接缝、缝宽应均匀，周边应顺直，镶嵌正确。板块不应有裂纹、缺棱掉角、翘曲、磨痕等质量缺陷。</w:t>
      </w:r>
    </w:p>
    <w:p w14:paraId="7CE52350">
      <w:pPr>
        <w:spacing w:line="400" w:lineRule="exact"/>
        <w:rPr>
          <w:color w:val="000000"/>
          <w:szCs w:val="21"/>
        </w:rPr>
      </w:pPr>
      <w:r>
        <w:rPr>
          <w:b/>
          <w:color w:val="000000"/>
          <w:szCs w:val="21"/>
        </w:rPr>
        <w:t>7.10.6</w:t>
      </w:r>
      <w:r>
        <w:rPr>
          <w:color w:val="000000"/>
          <w:szCs w:val="21"/>
        </w:rPr>
        <w:t xml:space="preserve">  塑料板块或卷材地面的基层表面应平整、坚实、干燥、密实、洁净，不应有油脂、</w:t>
      </w:r>
      <w:r>
        <w:rPr>
          <w:rFonts w:hint="eastAsia"/>
          <w:color w:val="000000"/>
          <w:szCs w:val="21"/>
        </w:rPr>
        <w:t>其他</w:t>
      </w:r>
      <w:r>
        <w:rPr>
          <w:color w:val="000000"/>
          <w:szCs w:val="21"/>
        </w:rPr>
        <w:t>杂质、麻面、起砂、裂缝等缺陷。面层与下层的粘接应牢固，不应翘边、脱胶、溢胶。面层表面应洁净、图案清晰、色泽一致、接缝严密、美观，拼缝处图案、花纹应吻合，不应有胶痕，与墙边交接应严密，阴阳角收边应方正。板块焊接时，焊缝应平整、光洁，无焦化变色、斑点、焊瘤、起鳞等缺陷。</w:t>
      </w:r>
    </w:p>
    <w:p w14:paraId="2EC5F82D">
      <w:pPr>
        <w:spacing w:line="400" w:lineRule="exact"/>
        <w:rPr>
          <w:color w:val="000000"/>
          <w:szCs w:val="21"/>
        </w:rPr>
      </w:pPr>
      <w:r>
        <w:rPr>
          <w:b/>
          <w:color w:val="000000"/>
          <w:szCs w:val="21"/>
        </w:rPr>
        <w:t>7.10.7</w:t>
      </w:r>
      <w:r>
        <w:rPr>
          <w:color w:val="000000"/>
          <w:szCs w:val="21"/>
        </w:rPr>
        <w:t xml:space="preserve">  活动地板板块面层材质应具有耐磨、防潮、阻燃、耐污染、耐老化和导静电等功能，应平整、坚实，承载力符合要求，并应表面洁净、色泽一致、接缝均匀、周边顺直，不应有裂纹、掉角和缺棱等缺陷；支座的柱和横梁应构成框架一体，并应与基层连接牢固；基层、防尘漆面层应平整、光洁、不起灰。门口处不得少于两级台阶、坡道应有防滑措施，行走不应有声响和摆动。</w:t>
      </w:r>
    </w:p>
    <w:p w14:paraId="5D517FFE">
      <w:pPr>
        <w:spacing w:line="400" w:lineRule="exact"/>
        <w:rPr>
          <w:color w:val="000000"/>
          <w:szCs w:val="21"/>
        </w:rPr>
      </w:pPr>
      <w:r>
        <w:rPr>
          <w:b/>
          <w:color w:val="000000"/>
          <w:szCs w:val="21"/>
        </w:rPr>
        <w:t>7.10.8</w:t>
      </w:r>
      <w:r>
        <w:rPr>
          <w:color w:val="000000"/>
          <w:szCs w:val="21"/>
        </w:rPr>
        <w:t xml:space="preserve">  地毯的品种、规格、颜色、花色、胶料和辅材及其材质的燃烧性能及有害物质含量应符合设计及规范要求，地毯基层表面应坚实、平整、光洁、干燥，无凹坑、麻面、裂缝，不应有油污、钉头和</w:t>
      </w:r>
      <w:r>
        <w:rPr>
          <w:rFonts w:hint="eastAsia"/>
          <w:color w:val="000000"/>
          <w:szCs w:val="21"/>
        </w:rPr>
        <w:t>其他</w:t>
      </w:r>
      <w:r>
        <w:rPr>
          <w:color w:val="000000"/>
          <w:szCs w:val="21"/>
        </w:rPr>
        <w:t>突出物。衬垫应满铺平整。采用粘贴方法铺设的地毯，拼缝处不应露底衬，应粘贴牢固、严密平整、毯面干净、图案吻合，不应有起鼓、起皱、翘边、卷边、露线、污染和损伤。整张铺设的地毯应平服、张拉适宜，周边和踢脚线之间的缝中应塞入卡条，四周卡条应固定牢固，门口处应用金属压条固定。地毯同</w:t>
      </w:r>
      <w:r>
        <w:rPr>
          <w:rFonts w:hint="eastAsia"/>
          <w:color w:val="000000"/>
          <w:szCs w:val="21"/>
        </w:rPr>
        <w:t>其他</w:t>
      </w:r>
      <w:r>
        <w:rPr>
          <w:color w:val="000000"/>
          <w:szCs w:val="21"/>
        </w:rPr>
        <w:t>面层连接处、收口处和墙边、柱子周围，应顺直、压紧。</w:t>
      </w:r>
    </w:p>
    <w:p w14:paraId="490D3209">
      <w:pPr>
        <w:spacing w:line="400" w:lineRule="exact"/>
        <w:jc w:val="left"/>
        <w:rPr>
          <w:color w:val="000000"/>
          <w:szCs w:val="21"/>
        </w:rPr>
      </w:pPr>
      <w:r>
        <w:rPr>
          <w:b/>
          <w:color w:val="000000"/>
          <w:szCs w:val="21"/>
        </w:rPr>
        <w:t>7.10.9</w:t>
      </w:r>
      <w:r>
        <w:rPr>
          <w:color w:val="000000"/>
          <w:szCs w:val="21"/>
        </w:rPr>
        <w:t xml:space="preserve">  木地板及木龙骨、垫木、毛地板等的选材、含水率、防腐、防蛀处理和铺设方法，应符合现行国家标准的有关规定及设计要求，并应符合</w:t>
      </w:r>
      <w:r>
        <w:rPr>
          <w:rFonts w:hint="eastAsia"/>
          <w:color w:val="000000"/>
          <w:szCs w:val="21"/>
        </w:rPr>
        <w:t>下列规定</w:t>
      </w:r>
      <w:r>
        <w:rPr>
          <w:color w:val="000000"/>
          <w:szCs w:val="21"/>
        </w:rPr>
        <w:t xml:space="preserve">： </w:t>
      </w:r>
    </w:p>
    <w:p w14:paraId="71A0282B">
      <w:pPr>
        <w:spacing w:line="400" w:lineRule="exact"/>
        <w:ind w:firstLine="422" w:firstLineChars="200"/>
        <w:rPr>
          <w:color w:val="000000"/>
          <w:szCs w:val="21"/>
        </w:rPr>
      </w:pPr>
      <w:r>
        <w:rPr>
          <w:b/>
          <w:bCs/>
          <w:color w:val="000000"/>
          <w:szCs w:val="21"/>
        </w:rPr>
        <w:t xml:space="preserve">1  </w:t>
      </w:r>
      <w:r>
        <w:rPr>
          <w:color w:val="000000"/>
          <w:szCs w:val="21"/>
        </w:rPr>
        <w:t>木龙骨铺设的间距和稳固方法应符合设计要求，应垫实钉牢，标高一致，</w:t>
      </w:r>
      <w:r>
        <w:rPr>
          <w:rFonts w:hint="eastAsia" w:ascii="宋体" w:hAnsi="宋体" w:cs="宋体"/>
          <w:bCs/>
          <w:color w:val="000000"/>
          <w:szCs w:val="21"/>
        </w:rPr>
        <w:t>与柱、墙之间留出20</w:t>
      </w:r>
      <w:r>
        <w:rPr>
          <w:rFonts w:ascii="宋体" w:hAnsi="宋体" w:cs="宋体"/>
          <w:bCs/>
          <w:color w:val="000000"/>
          <w:szCs w:val="21"/>
        </w:rPr>
        <w:t xml:space="preserve"> </w:t>
      </w:r>
      <w:r>
        <w:rPr>
          <w:rFonts w:hint="eastAsia"/>
          <w:color w:val="000000"/>
          <w:szCs w:val="21"/>
        </w:rPr>
        <w:t>mm</w:t>
      </w:r>
      <w:r>
        <w:rPr>
          <w:rFonts w:hint="eastAsia" w:ascii="宋体" w:hAnsi="宋体" w:cs="宋体"/>
          <w:bCs/>
          <w:color w:val="000000"/>
          <w:szCs w:val="21"/>
        </w:rPr>
        <w:t>空隙</w:t>
      </w:r>
      <w:r>
        <w:rPr>
          <w:color w:val="000000"/>
          <w:szCs w:val="21"/>
        </w:rPr>
        <w:t>；</w:t>
      </w:r>
    </w:p>
    <w:p w14:paraId="0ACD8EB5">
      <w:pPr>
        <w:spacing w:line="400" w:lineRule="exact"/>
        <w:ind w:firstLine="422" w:firstLineChars="200"/>
        <w:rPr>
          <w:color w:val="000000"/>
          <w:szCs w:val="21"/>
        </w:rPr>
      </w:pPr>
      <w:r>
        <w:rPr>
          <w:b/>
          <w:bCs/>
          <w:color w:val="000000"/>
          <w:szCs w:val="21"/>
        </w:rPr>
        <w:t xml:space="preserve">2 </w:t>
      </w:r>
      <w:r>
        <w:rPr>
          <w:color w:val="000000"/>
          <w:szCs w:val="21"/>
        </w:rPr>
        <w:t xml:space="preserve"> 毛地板的铺设，其板间缝隙不应大于3 mm，</w:t>
      </w:r>
      <w:r>
        <w:rPr>
          <w:rFonts w:hint="eastAsia" w:ascii="宋体" w:hAnsi="宋体" w:cs="宋体"/>
          <w:bCs/>
          <w:color w:val="000000"/>
          <w:szCs w:val="21"/>
        </w:rPr>
        <w:t>与柱、墙之间留</w:t>
      </w:r>
      <w:r>
        <w:rPr>
          <w:rFonts w:hint="eastAsia"/>
          <w:color w:val="000000"/>
          <w:szCs w:val="21"/>
        </w:rPr>
        <w:t>8</w:t>
      </w:r>
      <w:r>
        <w:rPr>
          <w:color w:val="000000"/>
          <w:szCs w:val="21"/>
        </w:rPr>
        <w:t xml:space="preserve"> mm</w:t>
      </w:r>
      <w:r>
        <w:rPr>
          <w:rFonts w:hint="eastAsia"/>
          <w:color w:val="000000"/>
          <w:szCs w:val="21"/>
        </w:rPr>
        <w:t>～12</w:t>
      </w:r>
      <w:r>
        <w:rPr>
          <w:color w:val="000000"/>
          <w:szCs w:val="21"/>
        </w:rPr>
        <w:t xml:space="preserve"> </w:t>
      </w:r>
      <w:r>
        <w:rPr>
          <w:rFonts w:hint="eastAsia"/>
          <w:color w:val="000000"/>
          <w:szCs w:val="21"/>
        </w:rPr>
        <w:t>mm</w:t>
      </w:r>
      <w:r>
        <w:rPr>
          <w:rFonts w:hint="eastAsia" w:ascii="宋体" w:hAnsi="宋体" w:cs="宋体"/>
          <w:bCs/>
          <w:color w:val="000000"/>
          <w:szCs w:val="21"/>
        </w:rPr>
        <w:t>空隙</w:t>
      </w:r>
      <w:r>
        <w:rPr>
          <w:color w:val="000000"/>
          <w:szCs w:val="21"/>
        </w:rPr>
        <w:t>；</w:t>
      </w:r>
    </w:p>
    <w:p w14:paraId="247FF7C1">
      <w:pPr>
        <w:spacing w:line="400" w:lineRule="exact"/>
        <w:ind w:firstLine="422" w:firstLineChars="200"/>
        <w:rPr>
          <w:color w:val="000000"/>
          <w:szCs w:val="21"/>
        </w:rPr>
      </w:pPr>
      <w:r>
        <w:rPr>
          <w:b/>
          <w:bCs/>
          <w:color w:val="000000"/>
          <w:szCs w:val="21"/>
        </w:rPr>
        <w:t>3</w:t>
      </w:r>
      <w:r>
        <w:rPr>
          <w:color w:val="000000"/>
          <w:szCs w:val="21"/>
        </w:rPr>
        <w:t xml:space="preserve">  实木地板的铺设，应面层平整、接缝对齐、接头错开、缝隙均匀一致、粘钉严密，平整度偏差不大于</w:t>
      </w:r>
      <w:r>
        <w:rPr>
          <w:rFonts w:hint="eastAsia"/>
          <w:color w:val="000000"/>
          <w:szCs w:val="21"/>
        </w:rPr>
        <w:t>2</w:t>
      </w:r>
      <w:r>
        <w:rPr>
          <w:color w:val="000000"/>
          <w:szCs w:val="21"/>
        </w:rPr>
        <w:t xml:space="preserve"> mm</w:t>
      </w:r>
      <w:r>
        <w:rPr>
          <w:rFonts w:hint="eastAsia"/>
          <w:color w:val="000000"/>
          <w:szCs w:val="21"/>
        </w:rPr>
        <w:t>～3</w:t>
      </w:r>
      <w:r>
        <w:rPr>
          <w:color w:val="000000"/>
          <w:szCs w:val="21"/>
        </w:rPr>
        <w:t xml:space="preserve"> mm，拼接高低差不大于0.</w:t>
      </w:r>
      <w:r>
        <w:rPr>
          <w:rFonts w:hint="eastAsia"/>
          <w:color w:val="000000"/>
          <w:szCs w:val="21"/>
        </w:rPr>
        <w:t>5</w:t>
      </w:r>
      <w:r>
        <w:rPr>
          <w:color w:val="000000"/>
          <w:szCs w:val="21"/>
        </w:rPr>
        <w:t xml:space="preserve"> mm，</w:t>
      </w:r>
      <w:r>
        <w:rPr>
          <w:rFonts w:hint="eastAsia" w:ascii="宋体" w:hAnsi="宋体" w:cs="宋体"/>
          <w:bCs/>
          <w:color w:val="000000"/>
          <w:szCs w:val="21"/>
        </w:rPr>
        <w:t>与柱、墙之间留</w:t>
      </w:r>
      <w:r>
        <w:rPr>
          <w:rFonts w:hint="eastAsia"/>
          <w:color w:val="000000"/>
          <w:szCs w:val="21"/>
        </w:rPr>
        <w:t>8</w:t>
      </w:r>
      <w:r>
        <w:rPr>
          <w:color w:val="000000"/>
          <w:szCs w:val="21"/>
        </w:rPr>
        <w:t xml:space="preserve"> mm</w:t>
      </w:r>
      <w:r>
        <w:rPr>
          <w:rFonts w:hint="eastAsia"/>
          <w:color w:val="000000"/>
          <w:szCs w:val="21"/>
        </w:rPr>
        <w:t>～12</w:t>
      </w:r>
      <w:r>
        <w:rPr>
          <w:color w:val="000000"/>
          <w:szCs w:val="21"/>
        </w:rPr>
        <w:t xml:space="preserve"> </w:t>
      </w:r>
      <w:r>
        <w:rPr>
          <w:rFonts w:hint="eastAsia"/>
          <w:color w:val="000000"/>
          <w:szCs w:val="21"/>
        </w:rPr>
        <w:t>mm</w:t>
      </w:r>
      <w:r>
        <w:rPr>
          <w:rFonts w:hint="eastAsia" w:ascii="宋体" w:hAnsi="宋体" w:cs="宋体"/>
          <w:bCs/>
          <w:color w:val="000000"/>
          <w:szCs w:val="21"/>
        </w:rPr>
        <w:t>空隙</w:t>
      </w:r>
      <w:r>
        <w:rPr>
          <w:color w:val="000000"/>
          <w:szCs w:val="21"/>
        </w:rPr>
        <w:t>；</w:t>
      </w:r>
    </w:p>
    <w:p w14:paraId="5074C37D">
      <w:pPr>
        <w:spacing w:line="400" w:lineRule="exact"/>
        <w:ind w:firstLine="422" w:firstLineChars="200"/>
        <w:rPr>
          <w:color w:val="000000"/>
          <w:szCs w:val="21"/>
        </w:rPr>
      </w:pPr>
      <w:r>
        <w:rPr>
          <w:b/>
          <w:bCs/>
          <w:color w:val="000000"/>
          <w:szCs w:val="21"/>
        </w:rPr>
        <w:t>4</w:t>
      </w:r>
      <w:r>
        <w:rPr>
          <w:color w:val="000000"/>
          <w:szCs w:val="21"/>
        </w:rPr>
        <w:t xml:space="preserve">  实木复合地板面层采用整贴或点粘法铺设时，粘接材料应采用具有耐老化、防水和防菌、无毒等性能的材料，铺设时相邻板材接头错开不应小于300 mm，</w:t>
      </w:r>
      <w:r>
        <w:rPr>
          <w:rFonts w:hint="eastAsia" w:ascii="宋体" w:hAnsi="宋体" w:cs="宋体"/>
          <w:bCs/>
          <w:color w:val="000000"/>
          <w:szCs w:val="21"/>
        </w:rPr>
        <w:t>与柱、墙之间应留不小于</w:t>
      </w:r>
      <w:r>
        <w:rPr>
          <w:rFonts w:hint="eastAsia"/>
          <w:color w:val="000000"/>
          <w:szCs w:val="21"/>
        </w:rPr>
        <w:t>10</w:t>
      </w:r>
      <w:r>
        <w:rPr>
          <w:color w:val="000000"/>
          <w:szCs w:val="21"/>
        </w:rPr>
        <w:t xml:space="preserve"> </w:t>
      </w:r>
      <w:r>
        <w:rPr>
          <w:rFonts w:hint="eastAsia"/>
          <w:color w:val="000000"/>
          <w:szCs w:val="21"/>
        </w:rPr>
        <w:t>mm</w:t>
      </w:r>
      <w:r>
        <w:rPr>
          <w:rFonts w:hint="eastAsia" w:ascii="宋体" w:hAnsi="宋体" w:cs="宋体"/>
          <w:bCs/>
          <w:color w:val="000000"/>
          <w:szCs w:val="21"/>
        </w:rPr>
        <w:t>的空隙</w:t>
      </w:r>
      <w:r>
        <w:rPr>
          <w:color w:val="000000"/>
          <w:szCs w:val="21"/>
        </w:rPr>
        <w:t>。面层铺设应牢固，接头缝隙应严密，表面应平整洁净，平整度偏差不大于</w:t>
      </w:r>
      <w:r>
        <w:rPr>
          <w:rFonts w:hint="eastAsia"/>
          <w:color w:val="000000"/>
          <w:szCs w:val="21"/>
        </w:rPr>
        <w:t>2</w:t>
      </w:r>
      <w:r>
        <w:rPr>
          <w:color w:val="000000"/>
          <w:szCs w:val="21"/>
        </w:rPr>
        <w:t xml:space="preserve"> mm，拼接高低差不大于0.</w:t>
      </w:r>
      <w:r>
        <w:rPr>
          <w:rFonts w:hint="eastAsia"/>
          <w:color w:val="000000"/>
          <w:szCs w:val="21"/>
        </w:rPr>
        <w:t>5</w:t>
      </w:r>
      <w:r>
        <w:rPr>
          <w:color w:val="000000"/>
          <w:szCs w:val="21"/>
        </w:rPr>
        <w:t xml:space="preserve"> mm；</w:t>
      </w:r>
    </w:p>
    <w:p w14:paraId="1D25EC7C">
      <w:pPr>
        <w:spacing w:line="400" w:lineRule="exact"/>
        <w:ind w:firstLine="422" w:firstLineChars="200"/>
        <w:rPr>
          <w:color w:val="000000"/>
          <w:szCs w:val="21"/>
        </w:rPr>
      </w:pPr>
      <w:r>
        <w:rPr>
          <w:b/>
          <w:bCs/>
          <w:color w:val="000000"/>
          <w:szCs w:val="21"/>
        </w:rPr>
        <w:t>5</w:t>
      </w:r>
      <w:r>
        <w:rPr>
          <w:color w:val="000000"/>
          <w:szCs w:val="21"/>
        </w:rPr>
        <w:t xml:space="preserve">  现场制作的木地板，面层应刨平、磨光，表面光洁，不应有明显刨痕、毛刺。与墙面间留置空隙的宽度应满足相关要求。</w:t>
      </w:r>
    </w:p>
    <w:p w14:paraId="54395FA0">
      <w:pPr>
        <w:spacing w:line="400" w:lineRule="exact"/>
        <w:jc w:val="left"/>
        <w:rPr>
          <w:color w:val="000000"/>
          <w:szCs w:val="21"/>
        </w:rPr>
      </w:pPr>
      <w:r>
        <w:rPr>
          <w:b/>
          <w:color w:val="000000"/>
          <w:szCs w:val="21"/>
        </w:rPr>
        <w:t>7.10.10</w:t>
      </w:r>
      <w:r>
        <w:rPr>
          <w:color w:val="000000"/>
          <w:szCs w:val="21"/>
        </w:rPr>
        <w:t xml:space="preserve">  自流平地面的材料应符合设计要求和环保规定。面层与下层应结合牢固，表面应平整、洁净、光滑、颜色均匀，不应有明显色差、裂纹、脱皮、麻面、气泡、泛花、流挂剥离，厚度应符合设计要求。</w:t>
      </w:r>
    </w:p>
    <w:p w14:paraId="5861AFB8">
      <w:pPr>
        <w:spacing w:line="400" w:lineRule="exact"/>
        <w:jc w:val="left"/>
        <w:rPr>
          <w:color w:val="000000"/>
          <w:szCs w:val="21"/>
        </w:rPr>
      </w:pPr>
      <w:r>
        <w:rPr>
          <w:b/>
          <w:color w:val="000000"/>
          <w:szCs w:val="21"/>
        </w:rPr>
        <w:t xml:space="preserve">7.10.11  </w:t>
      </w:r>
      <w:r>
        <w:rPr>
          <w:color w:val="000000"/>
          <w:szCs w:val="21"/>
        </w:rPr>
        <w:t>楼梯踏步应表面平整，齿角整齐。</w:t>
      </w:r>
      <w:r>
        <w:rPr>
          <w:rFonts w:hint="eastAsia"/>
          <w:color w:val="000000"/>
          <w:szCs w:val="21"/>
        </w:rPr>
        <w:t>踏步面应采取防滑措施，</w:t>
      </w:r>
      <w:r>
        <w:rPr>
          <w:color w:val="000000"/>
          <w:szCs w:val="21"/>
        </w:rPr>
        <w:t>防滑条顺直、牢固，不应缺棱掉角。踏步相邻高差不得大于10 mm，每踏步两端宽度差不应大于10 mm。踏步宽度不宜小于0.26 m，高度</w:t>
      </w:r>
      <w:r>
        <w:rPr>
          <w:rFonts w:hint="eastAsia"/>
          <w:color w:val="000000"/>
          <w:szCs w:val="21"/>
        </w:rPr>
        <w:t>宜为0.15</w:t>
      </w:r>
      <w:r>
        <w:rPr>
          <w:color w:val="000000"/>
          <w:szCs w:val="21"/>
        </w:rPr>
        <w:t xml:space="preserve"> m </w:t>
      </w:r>
      <w:r>
        <w:rPr>
          <w:rFonts w:hint="eastAsia"/>
          <w:color w:val="000000"/>
          <w:szCs w:val="21"/>
        </w:rPr>
        <w:t>~</w:t>
      </w:r>
      <w:r>
        <w:rPr>
          <w:color w:val="000000"/>
          <w:szCs w:val="21"/>
        </w:rPr>
        <w:t xml:space="preserve"> 0.175 m，</w:t>
      </w:r>
      <w:r>
        <w:rPr>
          <w:rFonts w:hint="eastAsia"/>
          <w:color w:val="000000"/>
          <w:szCs w:val="21"/>
        </w:rPr>
        <w:t>中小学校</w:t>
      </w:r>
      <w:r>
        <w:rPr>
          <w:color w:val="000000"/>
          <w:szCs w:val="21"/>
        </w:rPr>
        <w:t>踏步</w:t>
      </w:r>
      <w:r>
        <w:rPr>
          <w:rFonts w:hint="eastAsia"/>
          <w:color w:val="000000"/>
          <w:szCs w:val="21"/>
        </w:rPr>
        <w:t>应符合下列规定：</w:t>
      </w:r>
    </w:p>
    <w:p w14:paraId="60344C01">
      <w:pPr>
        <w:spacing w:line="400" w:lineRule="exact"/>
        <w:ind w:firstLine="422" w:firstLineChars="200"/>
        <w:jc w:val="left"/>
        <w:rPr>
          <w:color w:val="000000"/>
          <w:szCs w:val="21"/>
        </w:rPr>
      </w:pPr>
      <w:r>
        <w:rPr>
          <w:rFonts w:hint="eastAsia"/>
          <w:b/>
          <w:bCs/>
          <w:color w:val="000000"/>
          <w:szCs w:val="21"/>
        </w:rPr>
        <w:t>1</w:t>
      </w:r>
      <w:r>
        <w:rPr>
          <w:rFonts w:hint="eastAsia"/>
          <w:color w:val="000000"/>
          <w:szCs w:val="21"/>
        </w:rPr>
        <w:t xml:space="preserve">  各类小学楼梯踏步的宽度不得小于0.26</w:t>
      </w:r>
      <w:r>
        <w:rPr>
          <w:color w:val="000000"/>
          <w:szCs w:val="21"/>
        </w:rPr>
        <w:t xml:space="preserve"> </w:t>
      </w:r>
      <w:r>
        <w:rPr>
          <w:rFonts w:hint="eastAsia"/>
          <w:color w:val="000000"/>
          <w:szCs w:val="21"/>
        </w:rPr>
        <w:t>m，高度不得大于0.15</w:t>
      </w:r>
      <w:r>
        <w:rPr>
          <w:color w:val="000000"/>
          <w:szCs w:val="21"/>
        </w:rPr>
        <w:t xml:space="preserve"> </w:t>
      </w:r>
      <w:r>
        <w:rPr>
          <w:rFonts w:hint="eastAsia"/>
          <w:color w:val="000000"/>
          <w:szCs w:val="21"/>
        </w:rPr>
        <w:t>m；</w:t>
      </w:r>
    </w:p>
    <w:p w14:paraId="385AF349">
      <w:pPr>
        <w:spacing w:line="400" w:lineRule="exact"/>
        <w:ind w:firstLine="422" w:firstLineChars="200"/>
        <w:jc w:val="left"/>
        <w:rPr>
          <w:color w:val="000000"/>
          <w:szCs w:val="21"/>
        </w:rPr>
      </w:pPr>
      <w:r>
        <w:rPr>
          <w:rFonts w:hint="eastAsia"/>
          <w:b/>
          <w:bCs/>
          <w:color w:val="000000"/>
          <w:szCs w:val="21"/>
        </w:rPr>
        <w:t>2</w:t>
      </w:r>
      <w:r>
        <w:rPr>
          <w:rFonts w:hint="eastAsia"/>
          <w:color w:val="000000"/>
          <w:szCs w:val="21"/>
        </w:rPr>
        <w:t xml:space="preserve">  各类中学楼梯踏步的宽度不得小于0.28</w:t>
      </w:r>
      <w:r>
        <w:rPr>
          <w:color w:val="000000"/>
          <w:szCs w:val="21"/>
        </w:rPr>
        <w:t xml:space="preserve"> </w:t>
      </w:r>
      <w:r>
        <w:rPr>
          <w:rFonts w:hint="eastAsia"/>
          <w:color w:val="000000"/>
          <w:szCs w:val="21"/>
        </w:rPr>
        <w:t>m，高度不得大于0.16</w:t>
      </w:r>
      <w:r>
        <w:rPr>
          <w:color w:val="000000"/>
          <w:szCs w:val="21"/>
        </w:rPr>
        <w:t xml:space="preserve"> </w:t>
      </w:r>
      <w:r>
        <w:rPr>
          <w:rFonts w:hint="eastAsia"/>
          <w:color w:val="000000"/>
          <w:szCs w:val="21"/>
        </w:rPr>
        <w:t>m。</w:t>
      </w:r>
    </w:p>
    <w:p w14:paraId="12E867C2">
      <w:pPr>
        <w:spacing w:line="400" w:lineRule="exact"/>
        <w:jc w:val="left"/>
        <w:rPr>
          <w:color w:val="000000"/>
          <w:szCs w:val="21"/>
        </w:rPr>
      </w:pPr>
      <w:r>
        <w:rPr>
          <w:b/>
          <w:color w:val="000000"/>
          <w:szCs w:val="21"/>
        </w:rPr>
        <w:t>7.10.12</w:t>
      </w:r>
      <w:r>
        <w:rPr>
          <w:color w:val="000000"/>
          <w:szCs w:val="21"/>
        </w:rPr>
        <w:t xml:space="preserve">  地面的踢脚线，应表面洁净、高度一致，与墙面结合牢固，出墙厚度均匀，上口平直无污染，界面清晰。</w:t>
      </w:r>
    </w:p>
    <w:p w14:paraId="4D3A780E">
      <w:pPr>
        <w:spacing w:line="400" w:lineRule="exact"/>
        <w:jc w:val="left"/>
        <w:rPr>
          <w:color w:val="000000"/>
          <w:szCs w:val="21"/>
        </w:rPr>
      </w:pPr>
      <w:r>
        <w:rPr>
          <w:b/>
          <w:color w:val="000000"/>
          <w:szCs w:val="21"/>
        </w:rPr>
        <w:t>7.10.13</w:t>
      </w:r>
      <w:r>
        <w:rPr>
          <w:color w:val="000000"/>
          <w:szCs w:val="21"/>
        </w:rPr>
        <w:t xml:space="preserve">  台阶设置应符合</w:t>
      </w:r>
      <w:r>
        <w:rPr>
          <w:rFonts w:hint="eastAsia"/>
          <w:color w:val="000000"/>
          <w:szCs w:val="21"/>
        </w:rPr>
        <w:t>下列规定</w:t>
      </w:r>
      <w:r>
        <w:rPr>
          <w:color w:val="000000"/>
          <w:szCs w:val="21"/>
        </w:rPr>
        <w:t>：</w:t>
      </w:r>
    </w:p>
    <w:p w14:paraId="41E558D2">
      <w:pPr>
        <w:spacing w:line="400" w:lineRule="exact"/>
        <w:ind w:firstLine="422" w:firstLineChars="200"/>
        <w:rPr>
          <w:color w:val="000000"/>
          <w:szCs w:val="21"/>
        </w:rPr>
      </w:pPr>
      <w:r>
        <w:rPr>
          <w:b/>
          <w:color w:val="000000"/>
          <w:szCs w:val="21"/>
        </w:rPr>
        <w:t>1</w:t>
      </w:r>
      <w:r>
        <w:rPr>
          <w:color w:val="000000"/>
          <w:szCs w:val="21"/>
        </w:rPr>
        <w:t xml:space="preserve">  </w:t>
      </w:r>
      <w:r>
        <w:rPr>
          <w:rFonts w:hint="eastAsia"/>
          <w:color w:val="000000"/>
          <w:szCs w:val="21"/>
        </w:rPr>
        <w:t>建筑物主入口的</w:t>
      </w:r>
      <w:r>
        <w:rPr>
          <w:color w:val="000000"/>
          <w:szCs w:val="21"/>
        </w:rPr>
        <w:t>室外台阶踏步应防滑，踏步宽度不</w:t>
      </w:r>
      <w:r>
        <w:rPr>
          <w:rFonts w:hint="eastAsia"/>
          <w:color w:val="000000"/>
          <w:szCs w:val="21"/>
        </w:rPr>
        <w:t>应</w:t>
      </w:r>
      <w:r>
        <w:rPr>
          <w:color w:val="000000"/>
          <w:szCs w:val="21"/>
        </w:rPr>
        <w:t>小于0.3</w:t>
      </w:r>
      <w:r>
        <w:rPr>
          <w:rFonts w:hint="eastAsia"/>
          <w:color w:val="000000"/>
          <w:szCs w:val="21"/>
        </w:rPr>
        <w:t>0</w:t>
      </w:r>
      <w:r>
        <w:rPr>
          <w:color w:val="000000"/>
          <w:szCs w:val="21"/>
        </w:rPr>
        <w:t xml:space="preserve"> m，高度不宜大于0.15 m，且不宜小于0.10 m</w:t>
      </w:r>
      <w:r>
        <w:rPr>
          <w:rFonts w:hint="eastAsia"/>
          <w:color w:val="000000"/>
          <w:szCs w:val="21"/>
        </w:rPr>
        <w:t>；</w:t>
      </w:r>
    </w:p>
    <w:p w14:paraId="5B81FCBB">
      <w:pPr>
        <w:spacing w:line="400" w:lineRule="exact"/>
        <w:ind w:firstLine="422" w:firstLineChars="200"/>
        <w:rPr>
          <w:color w:val="000000"/>
          <w:szCs w:val="21"/>
        </w:rPr>
      </w:pPr>
      <w:r>
        <w:rPr>
          <w:rFonts w:hint="eastAsia"/>
          <w:b/>
          <w:color w:val="000000"/>
          <w:szCs w:val="21"/>
        </w:rPr>
        <w:t>2</w:t>
      </w:r>
      <w:r>
        <w:rPr>
          <w:rFonts w:hint="eastAsia"/>
          <w:color w:val="000000"/>
          <w:szCs w:val="21"/>
        </w:rPr>
        <w:t xml:space="preserve">  </w:t>
      </w:r>
      <w:r>
        <w:rPr>
          <w:color w:val="000000"/>
          <w:szCs w:val="21"/>
        </w:rPr>
        <w:t>台阶踏步数不应少于两级，当高差不足两级时，应按坡道设置且有防滑处理措施；</w:t>
      </w:r>
    </w:p>
    <w:p w14:paraId="6CD8D050">
      <w:pPr>
        <w:spacing w:line="400" w:lineRule="exact"/>
        <w:ind w:firstLine="422" w:firstLineChars="200"/>
        <w:rPr>
          <w:color w:val="000000"/>
          <w:szCs w:val="21"/>
        </w:rPr>
      </w:pPr>
      <w:r>
        <w:rPr>
          <w:rFonts w:hint="eastAsia"/>
          <w:b/>
          <w:color w:val="000000"/>
          <w:szCs w:val="21"/>
        </w:rPr>
        <w:t>3</w:t>
      </w:r>
      <w:r>
        <w:rPr>
          <w:color w:val="000000"/>
          <w:szCs w:val="21"/>
        </w:rPr>
        <w:t xml:space="preserve">  人流密集的场所台阶高度超过0.70 m并侧面临空时，应有防护设施。</w:t>
      </w:r>
    </w:p>
    <w:p w14:paraId="15998D60">
      <w:pPr>
        <w:spacing w:line="400" w:lineRule="exact"/>
        <w:jc w:val="left"/>
        <w:rPr>
          <w:color w:val="000000"/>
          <w:szCs w:val="21"/>
        </w:rPr>
      </w:pPr>
      <w:r>
        <w:rPr>
          <w:b/>
          <w:color w:val="000000"/>
          <w:szCs w:val="21"/>
        </w:rPr>
        <w:t xml:space="preserve">7.10.14 </w:t>
      </w:r>
      <w:r>
        <w:rPr>
          <w:color w:val="000000"/>
          <w:szCs w:val="21"/>
        </w:rPr>
        <w:t xml:space="preserve"> 人行坡道、自行车坡道、汽车坡道的施工应符合规范和设计规定，并应采取防滑措施。</w:t>
      </w:r>
    </w:p>
    <w:p w14:paraId="6E0370FD">
      <w:pPr>
        <w:spacing w:line="400" w:lineRule="exact"/>
        <w:rPr>
          <w:color w:val="000000"/>
          <w:szCs w:val="21"/>
        </w:rPr>
      </w:pPr>
      <w:r>
        <w:rPr>
          <w:b/>
          <w:color w:val="000000"/>
          <w:szCs w:val="21"/>
        </w:rPr>
        <w:t>7.10.15</w:t>
      </w:r>
      <w:r>
        <w:rPr>
          <w:color w:val="000000"/>
          <w:szCs w:val="21"/>
        </w:rPr>
        <w:t xml:space="preserve">  室外散水、明沟、台阶的面层和基层应符合设计要求。回填土应密实，不应出现因不均匀沉降而造成的散水下沉、开裂。混凝土散水应设置伸缩缝，合理分</w:t>
      </w:r>
      <w:r>
        <w:rPr>
          <w:b/>
          <w:color w:val="000000"/>
          <w:szCs w:val="21"/>
        </w:rPr>
        <w:t>格</w:t>
      </w:r>
      <w:r>
        <w:rPr>
          <w:color w:val="000000"/>
          <w:szCs w:val="21"/>
        </w:rPr>
        <w:t>，</w:t>
      </w:r>
      <w:r>
        <w:rPr>
          <w:color w:val="000000"/>
          <w:spacing w:val="-6"/>
          <w:szCs w:val="21"/>
        </w:rPr>
        <w:t>间距不应大于</w:t>
      </w:r>
      <w:r>
        <w:rPr>
          <w:rFonts w:hint="eastAsia"/>
          <w:color w:val="000000"/>
          <w:spacing w:val="-6"/>
          <w:szCs w:val="21"/>
        </w:rPr>
        <w:t xml:space="preserve"> </w:t>
      </w:r>
      <w:r>
        <w:rPr>
          <w:color w:val="000000"/>
          <w:spacing w:val="-6"/>
          <w:szCs w:val="21"/>
        </w:rPr>
        <w:t>10 m，不宜小于5 m，转角处应做45º</w:t>
      </w:r>
      <w:r>
        <w:rPr>
          <w:color w:val="000000"/>
          <w:szCs w:val="21"/>
        </w:rPr>
        <w:t>缝。明沟与散水紧密结合，明沟宽度不小于180 mm，深度不小于220 mm，沟口低于散水，沟底纵向坡度5 ‰。散水、台阶与建筑物连接处应设缝，缝宽宜为15 mm～20 mm，缝内应填嵌柔性密封材料，嵌缝应光洁、平整、无污染。</w:t>
      </w:r>
    </w:p>
    <w:p w14:paraId="6B22B2B2">
      <w:pPr>
        <w:pStyle w:val="4"/>
        <w:numPr>
          <w:ilvl w:val="1"/>
          <w:numId w:val="0"/>
        </w:numPr>
        <w:spacing w:before="312" w:beforeLines="100" w:line="400" w:lineRule="exact"/>
        <w:jc w:val="center"/>
        <w:rPr>
          <w:rFonts w:ascii="Times New Roman" w:hAnsi="Times New Roman" w:eastAsia="黑体"/>
          <w:sz w:val="24"/>
          <w:szCs w:val="24"/>
        </w:rPr>
      </w:pPr>
      <w:bookmarkStart w:id="395" w:name="_Toc2896"/>
      <w:bookmarkStart w:id="396" w:name="_Toc23291"/>
      <w:bookmarkStart w:id="397" w:name="_Toc31545"/>
      <w:bookmarkStart w:id="398" w:name="_Toc22362"/>
      <w:r>
        <w:rPr>
          <w:rFonts w:ascii="Times New Roman" w:hAnsi="Times New Roman" w:eastAsia="黑体"/>
          <w:b/>
          <w:bCs/>
          <w:sz w:val="24"/>
          <w:szCs w:val="24"/>
        </w:rPr>
        <w:t>7.11</w:t>
      </w:r>
      <w:r>
        <w:rPr>
          <w:rFonts w:ascii="Times New Roman" w:hAnsi="Times New Roman" w:eastAsia="黑体"/>
          <w:sz w:val="24"/>
          <w:szCs w:val="24"/>
        </w:rPr>
        <w:t xml:space="preserve">  吊顶工程</w:t>
      </w:r>
      <w:bookmarkEnd w:id="395"/>
      <w:bookmarkEnd w:id="396"/>
      <w:bookmarkEnd w:id="397"/>
      <w:bookmarkEnd w:id="398"/>
    </w:p>
    <w:p w14:paraId="2A229F19">
      <w:pPr>
        <w:spacing w:line="400" w:lineRule="exact"/>
        <w:rPr>
          <w:color w:val="000000"/>
          <w:szCs w:val="21"/>
        </w:rPr>
      </w:pPr>
      <w:r>
        <w:rPr>
          <w:b/>
          <w:color w:val="000000"/>
          <w:szCs w:val="21"/>
        </w:rPr>
        <w:t>7.11.1</w:t>
      </w:r>
      <w:r>
        <w:rPr>
          <w:color w:val="000000"/>
          <w:szCs w:val="21"/>
        </w:rPr>
        <w:t xml:space="preserve">  吊顶工程质量应符合</w:t>
      </w:r>
      <w:r>
        <w:rPr>
          <w:rFonts w:hint="eastAsia"/>
          <w:color w:val="000000"/>
          <w:szCs w:val="21"/>
        </w:rPr>
        <w:t>下列规定</w:t>
      </w:r>
      <w:r>
        <w:rPr>
          <w:color w:val="000000"/>
          <w:szCs w:val="21"/>
        </w:rPr>
        <w:t xml:space="preserve">： </w:t>
      </w:r>
    </w:p>
    <w:p w14:paraId="562EA003">
      <w:pPr>
        <w:spacing w:line="400" w:lineRule="exact"/>
        <w:ind w:firstLine="422" w:firstLineChars="200"/>
        <w:rPr>
          <w:color w:val="000000"/>
          <w:szCs w:val="21"/>
        </w:rPr>
      </w:pPr>
      <w:r>
        <w:rPr>
          <w:b/>
          <w:bCs/>
          <w:color w:val="000000"/>
          <w:szCs w:val="21"/>
        </w:rPr>
        <w:t xml:space="preserve">1 </w:t>
      </w:r>
      <w:r>
        <w:rPr>
          <w:color w:val="000000"/>
          <w:szCs w:val="21"/>
        </w:rPr>
        <w:t xml:space="preserve"> 吊顶构造应满足安全、防火、抗震、抗风、耐候、防腐蚀等相关标准的要求。室外吊顶应有抗风揭的加强措施，室外吊顶与室内吊顶交界处应有保温或隔热措施</w:t>
      </w:r>
      <w:r>
        <w:rPr>
          <w:rFonts w:hint="eastAsia"/>
          <w:color w:val="000000"/>
          <w:szCs w:val="21"/>
        </w:rPr>
        <w:t>；</w:t>
      </w:r>
    </w:p>
    <w:p w14:paraId="74426F69">
      <w:pPr>
        <w:spacing w:line="400" w:lineRule="exact"/>
        <w:ind w:firstLine="422" w:firstLineChars="200"/>
        <w:rPr>
          <w:rFonts w:ascii="宋体" w:hAnsi="宋体" w:cs="宋体"/>
          <w:bCs/>
          <w:color w:val="000000"/>
          <w:szCs w:val="21"/>
        </w:rPr>
      </w:pPr>
      <w:r>
        <w:rPr>
          <w:b/>
          <w:bCs/>
          <w:color w:val="000000"/>
          <w:szCs w:val="21"/>
        </w:rPr>
        <w:t>2</w:t>
      </w:r>
      <w:r>
        <w:rPr>
          <w:color w:val="000000"/>
          <w:szCs w:val="21"/>
        </w:rPr>
        <w:t xml:space="preserve">  </w:t>
      </w:r>
      <w:r>
        <w:rPr>
          <w:rFonts w:hint="eastAsia" w:ascii="宋体" w:hAnsi="宋体" w:cs="宋体"/>
          <w:bCs/>
          <w:color w:val="000000"/>
          <w:szCs w:val="21"/>
        </w:rPr>
        <w:t>吊顶与主体结构的吊挂应有安全构造措施，重物或有振动等的设备应直接吊挂在建筑承重结构上，并应进行结构计算满足设计要求。当吊杆长度大于</w:t>
      </w:r>
      <w:r>
        <w:rPr>
          <w:rFonts w:hint="eastAsia"/>
          <w:color w:val="000000"/>
          <w:szCs w:val="21"/>
        </w:rPr>
        <w:t>1.5</w:t>
      </w:r>
      <w:r>
        <w:rPr>
          <w:color w:val="000000"/>
          <w:szCs w:val="21"/>
        </w:rPr>
        <w:t xml:space="preserve"> </w:t>
      </w:r>
      <w:r>
        <w:rPr>
          <w:rFonts w:hint="eastAsia"/>
          <w:color w:val="000000"/>
          <w:szCs w:val="21"/>
        </w:rPr>
        <w:t>m</w:t>
      </w:r>
      <w:r>
        <w:rPr>
          <w:rFonts w:hint="eastAsia" w:ascii="宋体" w:hAnsi="宋体" w:cs="宋体"/>
          <w:bCs/>
          <w:color w:val="000000"/>
          <w:szCs w:val="21"/>
        </w:rPr>
        <w:t>时，宜设钢结构支撑架或反支撑，不应与水电管线共用支吊架，变形缝处主龙骨应断开，分开设置吊杆。吊杆上部为网架、钢屋架或吊杆长度大于</w:t>
      </w:r>
      <w:r>
        <w:rPr>
          <w:rFonts w:hint="eastAsia"/>
          <w:color w:val="000000"/>
          <w:szCs w:val="21"/>
        </w:rPr>
        <w:t>2.5</w:t>
      </w:r>
      <w:r>
        <w:rPr>
          <w:color w:val="000000"/>
          <w:szCs w:val="21"/>
        </w:rPr>
        <w:t xml:space="preserve"> </w:t>
      </w:r>
      <w:r>
        <w:rPr>
          <w:rFonts w:hint="eastAsia"/>
          <w:color w:val="000000"/>
          <w:szCs w:val="21"/>
        </w:rPr>
        <w:t>m</w:t>
      </w:r>
      <w:r>
        <w:rPr>
          <w:rFonts w:hint="eastAsia" w:ascii="宋体" w:hAnsi="宋体" w:cs="宋体"/>
          <w:bCs/>
          <w:color w:val="000000"/>
          <w:szCs w:val="21"/>
        </w:rPr>
        <w:t>时，应设有钢结构转换层；</w:t>
      </w:r>
    </w:p>
    <w:p w14:paraId="2CB04575">
      <w:pPr>
        <w:spacing w:line="400" w:lineRule="exact"/>
        <w:ind w:firstLine="422" w:firstLineChars="200"/>
        <w:rPr>
          <w:color w:val="000000"/>
          <w:szCs w:val="21"/>
        </w:rPr>
      </w:pPr>
      <w:r>
        <w:rPr>
          <w:b/>
          <w:bCs/>
          <w:color w:val="000000"/>
          <w:szCs w:val="21"/>
        </w:rPr>
        <w:t>3</w:t>
      </w:r>
      <w:r>
        <w:rPr>
          <w:color w:val="000000"/>
          <w:szCs w:val="21"/>
        </w:rPr>
        <w:t xml:space="preserve">  吊顶内管道、设备安装，管道的试压、保温，吊杆、龙骨安装等项目，应按规定做好隐蔽工程验收记录后方可进行面板封闭。吊顶后的室内净高不得小于2.2 m；</w:t>
      </w:r>
    </w:p>
    <w:p w14:paraId="6C1C0D17">
      <w:pPr>
        <w:spacing w:line="400" w:lineRule="exact"/>
        <w:ind w:firstLine="422" w:firstLineChars="200"/>
        <w:rPr>
          <w:color w:val="000000"/>
          <w:szCs w:val="21"/>
        </w:rPr>
      </w:pPr>
      <w:r>
        <w:rPr>
          <w:b/>
          <w:bCs/>
          <w:color w:val="000000"/>
          <w:szCs w:val="21"/>
        </w:rPr>
        <w:t>4</w:t>
      </w:r>
      <w:r>
        <w:rPr>
          <w:color w:val="000000"/>
          <w:szCs w:val="21"/>
        </w:rPr>
        <w:t xml:space="preserve">  上人吊顶应满足人行及检修荷载的要求，并应留有检修空间，根据需要应设置检修道</w:t>
      </w:r>
      <w:r>
        <w:rPr>
          <w:rFonts w:hint="eastAsia"/>
          <w:color w:val="000000"/>
          <w:szCs w:val="21"/>
        </w:rPr>
        <w:t>（</w:t>
      </w:r>
      <w:r>
        <w:rPr>
          <w:color w:val="000000"/>
          <w:szCs w:val="21"/>
        </w:rPr>
        <w:t>马道</w:t>
      </w:r>
      <w:r>
        <w:rPr>
          <w:rFonts w:hint="eastAsia"/>
          <w:color w:val="000000"/>
          <w:szCs w:val="21"/>
        </w:rPr>
        <w:t>）</w:t>
      </w:r>
      <w:r>
        <w:rPr>
          <w:color w:val="000000"/>
          <w:szCs w:val="21"/>
        </w:rPr>
        <w:t>和便于进出入吊顶的人孔，不上人吊顶宜采用便于拆卸的装配式吊顶板或在需要的位置设检修孔</w:t>
      </w:r>
      <w:r>
        <w:rPr>
          <w:rFonts w:hint="eastAsia"/>
          <w:color w:val="000000"/>
          <w:szCs w:val="21"/>
        </w:rPr>
        <w:t>；</w:t>
      </w:r>
    </w:p>
    <w:p w14:paraId="493DF80A">
      <w:pPr>
        <w:spacing w:line="400" w:lineRule="exact"/>
        <w:ind w:firstLine="422" w:firstLineChars="200"/>
        <w:rPr>
          <w:color w:val="000000"/>
          <w:szCs w:val="21"/>
        </w:rPr>
      </w:pPr>
      <w:r>
        <w:rPr>
          <w:b/>
          <w:color w:val="000000"/>
          <w:szCs w:val="21"/>
        </w:rPr>
        <w:t>5</w:t>
      </w:r>
      <w:r>
        <w:rPr>
          <w:color w:val="000000"/>
          <w:szCs w:val="21"/>
        </w:rPr>
        <w:t xml:space="preserve">  木质吊杆、龙骨应经过防腐、防火处理。金属吊杆、龙骨、钢埋件及型钢吊挂件，应经过防锈处理；</w:t>
      </w:r>
    </w:p>
    <w:p w14:paraId="37FF4032">
      <w:pPr>
        <w:spacing w:line="400" w:lineRule="exact"/>
        <w:ind w:firstLine="422" w:firstLineChars="200"/>
        <w:rPr>
          <w:color w:val="000000"/>
          <w:szCs w:val="21"/>
        </w:rPr>
      </w:pPr>
      <w:r>
        <w:rPr>
          <w:b/>
          <w:color w:val="000000"/>
          <w:szCs w:val="21"/>
        </w:rPr>
        <w:t>6</w:t>
      </w:r>
      <w:r>
        <w:rPr>
          <w:color w:val="000000"/>
          <w:szCs w:val="21"/>
        </w:rPr>
        <w:t xml:space="preserve">  暗龙骨吊顶工程的吊杆、龙骨和饰面材料的安装必须牢固，吊杆应垂直、受力均衡。石膏板的接缝应进行板缝防裂处理。安装双层石膏板时，面板与基层板的接缝应错开，并不得在同一根龙骨上接缝。吊顶与墙体交接处应采取防裂措施。</w:t>
      </w:r>
    </w:p>
    <w:p w14:paraId="0780F7D0">
      <w:pPr>
        <w:spacing w:line="400" w:lineRule="exact"/>
        <w:rPr>
          <w:color w:val="000000"/>
          <w:szCs w:val="21"/>
        </w:rPr>
      </w:pPr>
      <w:r>
        <w:rPr>
          <w:b/>
          <w:color w:val="000000"/>
          <w:szCs w:val="21"/>
        </w:rPr>
        <w:t>7.11.2</w:t>
      </w:r>
      <w:r>
        <w:rPr>
          <w:color w:val="000000"/>
          <w:szCs w:val="21"/>
        </w:rPr>
        <w:t xml:space="preserve">  饰面板接缝应平整，板缝应纵横平直、宽窄一致，表面应洁净、色泽一致，不得有翘曲、裂缝等缺损，不得有划痕、擦伤、锤印、钉孔，不得有变形、松动。压条应横平竖直、宽窄一致、接缝严密。</w:t>
      </w:r>
    </w:p>
    <w:p w14:paraId="7BDB8062">
      <w:pPr>
        <w:spacing w:line="400" w:lineRule="exact"/>
        <w:rPr>
          <w:color w:val="000000"/>
          <w:szCs w:val="21"/>
        </w:rPr>
      </w:pPr>
      <w:r>
        <w:rPr>
          <w:b/>
          <w:color w:val="000000"/>
          <w:szCs w:val="21"/>
        </w:rPr>
        <w:t xml:space="preserve">7.11.3 </w:t>
      </w:r>
      <w:r>
        <w:rPr>
          <w:color w:val="000000"/>
          <w:szCs w:val="21"/>
        </w:rPr>
        <w:t xml:space="preserve"> 采用玻璃板时，应使用安全玻璃。高度大于3 m时，应使用钢化夹胶安全玻璃。安全玻璃的使用种类和最大使用面积，应符合现行国家标准的有关规定及设计要求。</w:t>
      </w:r>
    </w:p>
    <w:p w14:paraId="536B4D2D">
      <w:pPr>
        <w:spacing w:line="400" w:lineRule="exact"/>
        <w:rPr>
          <w:color w:val="000000"/>
          <w:szCs w:val="21"/>
        </w:rPr>
      </w:pPr>
      <w:r>
        <w:rPr>
          <w:b/>
          <w:color w:val="000000"/>
          <w:szCs w:val="21"/>
        </w:rPr>
        <w:t xml:space="preserve">7.11.4 </w:t>
      </w:r>
      <w:r>
        <w:rPr>
          <w:color w:val="000000"/>
          <w:szCs w:val="21"/>
        </w:rPr>
        <w:t xml:space="preserve"> 饰面板上安装的灯具、火灾探测器、喷淋头、风口篦子等设备，应位置合理、牢固、美观，与饰面板的交接应吻合、严密。重型灯具、吊扇、音像设备等，不得直接安装在吊顶龙骨上。填充的吸声材料，应有防散落措施。</w:t>
      </w:r>
    </w:p>
    <w:p w14:paraId="30047B71">
      <w:pPr>
        <w:spacing w:line="400" w:lineRule="exact"/>
        <w:rPr>
          <w:color w:val="000000"/>
          <w:szCs w:val="21"/>
        </w:rPr>
      </w:pPr>
      <w:r>
        <w:rPr>
          <w:b/>
          <w:bCs/>
          <w:color w:val="000000"/>
          <w:szCs w:val="21"/>
        </w:rPr>
        <w:t xml:space="preserve">7.11.5  </w:t>
      </w:r>
      <w:r>
        <w:rPr>
          <w:color w:val="000000"/>
          <w:szCs w:val="21"/>
        </w:rPr>
        <w:t>金属格栅、铝方通吊顶材料表面保持色泽均匀，洁净、纯净、无划痕，不变形扭曲，铝方通与</w:t>
      </w:r>
      <w:r>
        <w:rPr>
          <w:rFonts w:hint="eastAsia"/>
          <w:color w:val="000000"/>
          <w:szCs w:val="21"/>
        </w:rPr>
        <w:t>其他</w:t>
      </w:r>
      <w:r>
        <w:rPr>
          <w:color w:val="000000"/>
          <w:szCs w:val="21"/>
        </w:rPr>
        <w:t>通风设备口、灯具位置的设置必须按板块分割对称，布局合理；开口边缘整齐，护口严密不露缝。铝方通之间的缝隙、宽窄应一致，整齐、平直不下坠。吊顶基层构造、固定方法，必须符合设计要求和国家现行有关标准规定。</w:t>
      </w:r>
    </w:p>
    <w:p w14:paraId="2F20A121">
      <w:pPr>
        <w:pStyle w:val="4"/>
        <w:numPr>
          <w:ilvl w:val="1"/>
          <w:numId w:val="0"/>
        </w:numPr>
        <w:spacing w:before="312" w:beforeLines="100" w:line="400" w:lineRule="exact"/>
        <w:jc w:val="center"/>
        <w:rPr>
          <w:rFonts w:ascii="Times New Roman" w:hAnsi="Times New Roman" w:eastAsia="黑体"/>
          <w:sz w:val="24"/>
          <w:szCs w:val="24"/>
        </w:rPr>
      </w:pPr>
      <w:bookmarkStart w:id="399" w:name="_Toc23509"/>
      <w:bookmarkStart w:id="400" w:name="_Toc9303"/>
      <w:bookmarkStart w:id="401" w:name="_Toc20871"/>
      <w:bookmarkStart w:id="402" w:name="_Toc26631"/>
      <w:r>
        <w:rPr>
          <w:rFonts w:ascii="Times New Roman" w:hAnsi="Times New Roman" w:eastAsia="黑体"/>
          <w:b/>
          <w:bCs/>
          <w:sz w:val="24"/>
          <w:szCs w:val="24"/>
        </w:rPr>
        <w:t xml:space="preserve">7.12 </w:t>
      </w:r>
      <w:r>
        <w:rPr>
          <w:rFonts w:ascii="Times New Roman" w:hAnsi="Times New Roman" w:eastAsia="黑体"/>
          <w:sz w:val="24"/>
          <w:szCs w:val="24"/>
        </w:rPr>
        <w:t xml:space="preserve"> 轻质隔墙工程</w:t>
      </w:r>
      <w:bookmarkEnd w:id="399"/>
      <w:bookmarkEnd w:id="400"/>
      <w:bookmarkEnd w:id="401"/>
      <w:bookmarkEnd w:id="402"/>
    </w:p>
    <w:p w14:paraId="1DE93932">
      <w:pPr>
        <w:spacing w:line="400" w:lineRule="exact"/>
        <w:rPr>
          <w:color w:val="000000"/>
          <w:szCs w:val="21"/>
        </w:rPr>
      </w:pPr>
      <w:r>
        <w:rPr>
          <w:b/>
          <w:color w:val="000000"/>
          <w:szCs w:val="21"/>
        </w:rPr>
        <w:t xml:space="preserve">7.12.1 </w:t>
      </w:r>
      <w:r>
        <w:rPr>
          <w:color w:val="000000"/>
          <w:szCs w:val="21"/>
        </w:rPr>
        <w:t xml:space="preserve"> 隔墙中龙骨的防火、防腐处理，埋件、拉结筋、龙骨安装、填充材料的设置等，应符合相关标准的规定和设计要求。</w:t>
      </w:r>
    </w:p>
    <w:p w14:paraId="2805517E">
      <w:pPr>
        <w:spacing w:line="400" w:lineRule="exact"/>
        <w:rPr>
          <w:color w:val="000000"/>
          <w:szCs w:val="21"/>
        </w:rPr>
      </w:pPr>
      <w:r>
        <w:rPr>
          <w:b/>
          <w:color w:val="000000"/>
          <w:szCs w:val="21"/>
        </w:rPr>
        <w:t>7.12.2</w:t>
      </w:r>
      <w:r>
        <w:rPr>
          <w:color w:val="000000"/>
          <w:szCs w:val="21"/>
        </w:rPr>
        <w:t xml:space="preserve">  各种隔墙、板材、骨架安装与顶棚、周边墙体的连接应牢固，交接处应采取防开裂措施，墙位应准确，安装应垂直平整、阴阳角方正。隔墙上的孔洞、槽、盒应位置正确，套割吻合，边角整齐。嵌缝应顺直、平整，不应有脱层、翘曲、断裂、缺边、掉角。隔墙中的填充材料应密实。活动隔墙应推拉平稳、灵活、无噪声。</w:t>
      </w:r>
    </w:p>
    <w:p w14:paraId="3F21B494">
      <w:pPr>
        <w:spacing w:line="400" w:lineRule="exact"/>
        <w:rPr>
          <w:color w:val="000000"/>
          <w:szCs w:val="21"/>
        </w:rPr>
      </w:pPr>
      <w:r>
        <w:rPr>
          <w:b/>
          <w:color w:val="000000"/>
          <w:szCs w:val="21"/>
        </w:rPr>
        <w:t>7.12.3</w:t>
      </w:r>
      <w:r>
        <w:rPr>
          <w:color w:val="000000"/>
          <w:szCs w:val="21"/>
        </w:rPr>
        <w:t xml:space="preserve">  隔墙面层应平整光洁、色泽一致、接缝均匀顺直。</w:t>
      </w:r>
    </w:p>
    <w:p w14:paraId="6D80F155">
      <w:pPr>
        <w:spacing w:line="400" w:lineRule="exact"/>
        <w:rPr>
          <w:color w:val="000000"/>
          <w:szCs w:val="21"/>
        </w:rPr>
      </w:pPr>
      <w:r>
        <w:rPr>
          <w:b/>
          <w:color w:val="000000"/>
          <w:szCs w:val="21"/>
        </w:rPr>
        <w:t xml:space="preserve">7.12.4  </w:t>
      </w:r>
      <w:r>
        <w:rPr>
          <w:color w:val="000000"/>
          <w:szCs w:val="21"/>
        </w:rPr>
        <w:t>玻璃板及玻璃砖隔墙，玻璃板嵌缝及玻璃砖勾缝应密实、平整、均匀顺直、深浅一致，图案、线条应清晰美观，不应有裂缝、脱皮、粉化、划痕等缺陷。</w:t>
      </w:r>
    </w:p>
    <w:p w14:paraId="2442321C">
      <w:pPr>
        <w:spacing w:line="400" w:lineRule="exact"/>
        <w:rPr>
          <w:color w:val="000000"/>
          <w:szCs w:val="21"/>
          <w:highlight w:val="yellow"/>
        </w:rPr>
      </w:pPr>
      <w:r>
        <w:rPr>
          <w:b/>
          <w:bCs/>
          <w:color w:val="000000"/>
          <w:szCs w:val="21"/>
        </w:rPr>
        <w:t xml:space="preserve">7.12.5  </w:t>
      </w:r>
      <w:r>
        <w:rPr>
          <w:color w:val="000000"/>
          <w:szCs w:val="21"/>
        </w:rPr>
        <w:t>活动隔墙所用墙板、配件等材料的品种、规格、性能和木材含水率应符合设计要求。有阻燃、防潮等特性要求的工程，材料应有相应性能等级的检测报告。活动隔墙轨道必须与基体结构连接牢固，位置正确，用于组装、推拉和制动的构配件必须安装牢固、位置正确，推拉必须安全、平稳、灵活。</w:t>
      </w:r>
    </w:p>
    <w:p w14:paraId="0D9E4E19">
      <w:pPr>
        <w:pStyle w:val="4"/>
        <w:numPr>
          <w:ilvl w:val="1"/>
          <w:numId w:val="0"/>
        </w:numPr>
        <w:spacing w:before="312" w:beforeLines="100" w:line="400" w:lineRule="exact"/>
        <w:jc w:val="center"/>
        <w:rPr>
          <w:rFonts w:ascii="Times New Roman" w:hAnsi="Times New Roman" w:eastAsia="黑体"/>
          <w:sz w:val="24"/>
          <w:szCs w:val="24"/>
        </w:rPr>
      </w:pPr>
      <w:bookmarkStart w:id="403" w:name="_Toc970"/>
      <w:bookmarkStart w:id="404" w:name="_Toc7717"/>
      <w:bookmarkStart w:id="405" w:name="_Toc4185"/>
      <w:bookmarkStart w:id="406" w:name="_Toc10569"/>
      <w:r>
        <w:rPr>
          <w:rFonts w:ascii="Times New Roman" w:hAnsi="Times New Roman" w:eastAsia="黑体"/>
          <w:b/>
          <w:bCs/>
          <w:sz w:val="24"/>
          <w:szCs w:val="24"/>
        </w:rPr>
        <w:t xml:space="preserve">7.13 </w:t>
      </w:r>
      <w:r>
        <w:rPr>
          <w:rFonts w:ascii="Times New Roman" w:hAnsi="Times New Roman" w:eastAsia="黑体"/>
          <w:sz w:val="24"/>
          <w:szCs w:val="24"/>
          <w:lang w:val="en-US"/>
        </w:rPr>
        <w:t xml:space="preserve"> </w:t>
      </w:r>
      <w:r>
        <w:rPr>
          <w:rFonts w:ascii="Times New Roman" w:hAnsi="Times New Roman" w:eastAsia="黑体"/>
          <w:sz w:val="24"/>
          <w:szCs w:val="24"/>
        </w:rPr>
        <w:t>细部工程</w:t>
      </w:r>
      <w:bookmarkEnd w:id="403"/>
      <w:bookmarkEnd w:id="404"/>
      <w:bookmarkEnd w:id="405"/>
      <w:bookmarkEnd w:id="406"/>
    </w:p>
    <w:p w14:paraId="3909D76B">
      <w:pPr>
        <w:spacing w:line="400" w:lineRule="exact"/>
        <w:rPr>
          <w:color w:val="000000"/>
          <w:szCs w:val="21"/>
        </w:rPr>
      </w:pPr>
      <w:r>
        <w:rPr>
          <w:b/>
          <w:bCs/>
          <w:color w:val="000000"/>
          <w:szCs w:val="21"/>
        </w:rPr>
        <w:t xml:space="preserve">7.13.1  </w:t>
      </w:r>
      <w:r>
        <w:rPr>
          <w:color w:val="000000"/>
          <w:szCs w:val="21"/>
        </w:rPr>
        <w:t>橱柜、窗帘盒、窗台板、散热器罩、门窗套制作与安装所用材料的材质和规格、木材的燃烧性能、含水率、花岗岩的放射性及人造板材的甲醛含量应符合设计及国家现行标准的有关规定。 细部工程的造型、尺寸、安装位置、制作和固定方法，应符合设计要求，安装必须牢固。</w:t>
      </w:r>
    </w:p>
    <w:p w14:paraId="7D3234E0">
      <w:pPr>
        <w:spacing w:line="400" w:lineRule="exact"/>
        <w:rPr>
          <w:b/>
          <w:bCs/>
          <w:color w:val="000000"/>
          <w:szCs w:val="21"/>
        </w:rPr>
      </w:pPr>
      <w:r>
        <w:rPr>
          <w:b/>
          <w:color w:val="000000"/>
          <w:szCs w:val="21"/>
        </w:rPr>
        <w:t>7.13.2</w:t>
      </w:r>
      <w:r>
        <w:rPr>
          <w:color w:val="000000"/>
          <w:szCs w:val="21"/>
        </w:rPr>
        <w:t xml:space="preserve">  家具等细部工程不得遮挡消防设施标志、疏散指示标志及安全出口，并不得影响消防设施和疏散通道的正常使用。</w:t>
      </w:r>
    </w:p>
    <w:p w14:paraId="690BBC52">
      <w:pPr>
        <w:spacing w:line="400" w:lineRule="exact"/>
        <w:rPr>
          <w:color w:val="000000"/>
          <w:szCs w:val="21"/>
        </w:rPr>
      </w:pPr>
      <w:r>
        <w:rPr>
          <w:b/>
          <w:color w:val="000000"/>
          <w:szCs w:val="21"/>
        </w:rPr>
        <w:t xml:space="preserve">7.13.3  </w:t>
      </w:r>
      <w:r>
        <w:rPr>
          <w:color w:val="000000"/>
          <w:szCs w:val="21"/>
        </w:rPr>
        <w:t>栏杆应以坚固、耐久的材料制作，并应能承受现行国家标准《建筑结构荷载规范》GB 50009的水平荷载。栏杆安装应排列均匀、整齐，并应与楼梯坡度一致。不应外露栏杆与扶手的金属连接件，花饰、纹饰应清晰、美观、精细、位置一致。</w:t>
      </w:r>
    </w:p>
    <w:p w14:paraId="4DA164C8">
      <w:pPr>
        <w:spacing w:line="400" w:lineRule="exact"/>
        <w:rPr>
          <w:color w:val="000000"/>
          <w:szCs w:val="21"/>
        </w:rPr>
      </w:pPr>
      <w:r>
        <w:rPr>
          <w:b/>
          <w:color w:val="000000"/>
          <w:szCs w:val="21"/>
        </w:rPr>
        <w:t xml:space="preserve">7.13.4  </w:t>
      </w:r>
      <w:r>
        <w:rPr>
          <w:color w:val="000000"/>
          <w:szCs w:val="21"/>
        </w:rPr>
        <w:t>临空</w:t>
      </w:r>
      <w:r>
        <w:rPr>
          <w:rFonts w:hint="eastAsia"/>
          <w:color w:val="000000"/>
          <w:szCs w:val="21"/>
        </w:rPr>
        <w:t>部位的</w:t>
      </w:r>
      <w:r>
        <w:rPr>
          <w:color w:val="000000"/>
          <w:szCs w:val="21"/>
        </w:rPr>
        <w:t>栏杆高度不应低于1.10 m</w:t>
      </w:r>
      <w:r>
        <w:rPr>
          <w:rFonts w:hint="eastAsia"/>
          <w:color w:val="000000"/>
          <w:szCs w:val="21"/>
        </w:rPr>
        <w:t>，且应符合下列规定：</w:t>
      </w:r>
    </w:p>
    <w:p w14:paraId="3F346D07">
      <w:pPr>
        <w:spacing w:line="400" w:lineRule="exact"/>
        <w:ind w:firstLine="422" w:firstLineChars="200"/>
        <w:rPr>
          <w:rFonts w:ascii="宋体" w:hAnsi="宋体" w:cs="宋体"/>
          <w:bCs/>
          <w:color w:val="000000"/>
          <w:kern w:val="2"/>
          <w:szCs w:val="21"/>
        </w:rPr>
      </w:pPr>
      <w:r>
        <w:rPr>
          <w:rFonts w:hint="eastAsia"/>
          <w:b/>
          <w:bCs/>
          <w:color w:val="000000"/>
          <w:szCs w:val="21"/>
        </w:rPr>
        <w:t>1</w:t>
      </w:r>
      <w:r>
        <w:rPr>
          <w:rFonts w:hint="eastAsia"/>
          <w:color w:val="000000"/>
          <w:szCs w:val="21"/>
        </w:rPr>
        <w:t xml:space="preserve">  </w:t>
      </w:r>
      <w:r>
        <w:rPr>
          <w:color w:val="000000"/>
          <w:szCs w:val="21"/>
        </w:rPr>
        <w:t>上人屋面和交通、商业、旅馆、医院、学校等建筑临开敞中庭的栏杆高度不应小于1.20 m，</w:t>
      </w:r>
      <w:r>
        <w:rPr>
          <w:rFonts w:hint="eastAsia" w:ascii="宋体" w:hAnsi="宋体" w:cs="宋体"/>
          <w:bCs/>
          <w:color w:val="000000"/>
          <w:kern w:val="2"/>
          <w:szCs w:val="21"/>
        </w:rPr>
        <w:t>托儿所、幼儿园临空栏杆高度不</w:t>
      </w:r>
      <w:r>
        <w:rPr>
          <w:color w:val="000000"/>
          <w:szCs w:val="21"/>
        </w:rPr>
        <w:t>应</w:t>
      </w:r>
      <w:r>
        <w:rPr>
          <w:rFonts w:hint="eastAsia" w:ascii="宋体" w:hAnsi="宋体" w:cs="宋体"/>
          <w:bCs/>
          <w:color w:val="000000"/>
          <w:kern w:val="2"/>
          <w:szCs w:val="21"/>
        </w:rPr>
        <w:t>低于</w:t>
      </w:r>
      <w:r>
        <w:rPr>
          <w:rFonts w:hint="eastAsia"/>
          <w:color w:val="000000"/>
          <w:szCs w:val="21"/>
        </w:rPr>
        <w:t>1.3</w:t>
      </w:r>
      <w:r>
        <w:rPr>
          <w:color w:val="000000"/>
          <w:szCs w:val="21"/>
        </w:rPr>
        <w:t xml:space="preserve">0 </w:t>
      </w:r>
      <w:r>
        <w:rPr>
          <w:rFonts w:hint="eastAsia"/>
          <w:color w:val="000000"/>
          <w:szCs w:val="21"/>
        </w:rPr>
        <w:t>m</w:t>
      </w:r>
      <w:r>
        <w:rPr>
          <w:rFonts w:hint="eastAsia" w:ascii="宋体" w:hAnsi="宋体" w:cs="宋体"/>
          <w:bCs/>
          <w:color w:val="000000"/>
          <w:kern w:val="2"/>
          <w:szCs w:val="21"/>
        </w:rPr>
        <w:t>；</w:t>
      </w:r>
    </w:p>
    <w:p w14:paraId="7A2F696A">
      <w:pPr>
        <w:spacing w:line="400" w:lineRule="exact"/>
        <w:ind w:firstLine="422" w:firstLineChars="200"/>
        <w:rPr>
          <w:color w:val="000000"/>
          <w:szCs w:val="21"/>
        </w:rPr>
      </w:pPr>
      <w:r>
        <w:rPr>
          <w:rFonts w:hint="eastAsia"/>
          <w:b/>
          <w:bCs/>
          <w:color w:val="000000"/>
          <w:szCs w:val="21"/>
        </w:rPr>
        <w:t xml:space="preserve">2 </w:t>
      </w:r>
      <w:r>
        <w:rPr>
          <w:rFonts w:hint="eastAsia" w:ascii="宋体" w:hAnsi="宋体" w:cs="宋体"/>
          <w:bCs/>
          <w:color w:val="000000"/>
          <w:kern w:val="2"/>
          <w:szCs w:val="21"/>
        </w:rPr>
        <w:t xml:space="preserve"> </w:t>
      </w:r>
      <w:r>
        <w:rPr>
          <w:color w:val="000000"/>
          <w:szCs w:val="21"/>
        </w:rPr>
        <w:t>栏杆高度应从所在楼地面或屋面至栏杆扶手顶面垂直高度计算，当底面有宽度大于或等于0.22 m，且高度</w:t>
      </w:r>
      <w:r>
        <w:rPr>
          <w:rFonts w:hint="eastAsia"/>
          <w:color w:val="000000"/>
          <w:szCs w:val="21"/>
        </w:rPr>
        <w:t>不大</w:t>
      </w:r>
      <w:r>
        <w:rPr>
          <w:color w:val="000000"/>
          <w:szCs w:val="21"/>
        </w:rPr>
        <w:t>于0.45 m的可踏部位时，应从可踏部位顶面起算</w:t>
      </w:r>
      <w:r>
        <w:rPr>
          <w:rFonts w:hint="eastAsia"/>
          <w:color w:val="000000"/>
          <w:szCs w:val="21"/>
        </w:rPr>
        <w:t>；</w:t>
      </w:r>
    </w:p>
    <w:p w14:paraId="424F9535">
      <w:pPr>
        <w:spacing w:line="400" w:lineRule="exact"/>
        <w:ind w:firstLine="422" w:firstLineChars="200"/>
        <w:rPr>
          <w:color w:val="000000"/>
          <w:szCs w:val="21"/>
        </w:rPr>
      </w:pPr>
      <w:r>
        <w:rPr>
          <w:rFonts w:hint="eastAsia"/>
          <w:b/>
          <w:bCs/>
          <w:color w:val="000000"/>
          <w:szCs w:val="21"/>
        </w:rPr>
        <w:t>3</w:t>
      </w:r>
      <w:r>
        <w:rPr>
          <w:rFonts w:hint="eastAsia"/>
          <w:color w:val="000000"/>
          <w:szCs w:val="21"/>
        </w:rPr>
        <w:t xml:space="preserve">  </w:t>
      </w:r>
      <w:r>
        <w:rPr>
          <w:color w:val="000000"/>
          <w:szCs w:val="21"/>
        </w:rPr>
        <w:t>公共场所</w:t>
      </w:r>
      <w:r>
        <w:rPr>
          <w:rFonts w:hint="eastAsia"/>
          <w:color w:val="000000"/>
          <w:szCs w:val="21"/>
        </w:rPr>
        <w:t>的临空且下部有人员活动部位的</w:t>
      </w:r>
      <w:r>
        <w:rPr>
          <w:color w:val="000000"/>
          <w:szCs w:val="21"/>
        </w:rPr>
        <w:t>栏杆</w:t>
      </w:r>
      <w:r>
        <w:rPr>
          <w:rFonts w:hint="eastAsia"/>
          <w:color w:val="000000"/>
          <w:szCs w:val="21"/>
        </w:rPr>
        <w:t>在地面以上</w:t>
      </w:r>
      <w:r>
        <w:rPr>
          <w:color w:val="000000"/>
          <w:szCs w:val="21"/>
        </w:rPr>
        <w:t>0.10 m高度范围内不</w:t>
      </w:r>
      <w:r>
        <w:rPr>
          <w:rFonts w:hint="eastAsia"/>
          <w:color w:val="000000"/>
          <w:szCs w:val="21"/>
        </w:rPr>
        <w:t>应</w:t>
      </w:r>
      <w:r>
        <w:rPr>
          <w:color w:val="000000"/>
          <w:szCs w:val="21"/>
        </w:rPr>
        <w:t>留空</w:t>
      </w:r>
      <w:r>
        <w:rPr>
          <w:rFonts w:hint="eastAsia"/>
          <w:color w:val="000000"/>
          <w:szCs w:val="21"/>
        </w:rPr>
        <w:t>；</w:t>
      </w:r>
    </w:p>
    <w:p w14:paraId="1239D1B8">
      <w:pPr>
        <w:spacing w:line="400" w:lineRule="exact"/>
        <w:ind w:firstLine="422" w:firstLineChars="200"/>
        <w:rPr>
          <w:color w:val="000000"/>
        </w:rPr>
      </w:pPr>
      <w:r>
        <w:rPr>
          <w:rFonts w:hint="eastAsia"/>
          <w:b/>
          <w:bCs/>
          <w:color w:val="000000"/>
          <w:szCs w:val="21"/>
        </w:rPr>
        <w:t>4</w:t>
      </w:r>
      <w:r>
        <w:rPr>
          <w:rFonts w:hint="eastAsia"/>
          <w:color w:val="000000"/>
          <w:szCs w:val="21"/>
        </w:rPr>
        <w:t xml:space="preserve">  屋面</w:t>
      </w:r>
      <w:r>
        <w:rPr>
          <w:rFonts w:hint="eastAsia" w:ascii="宋体" w:hAnsi="宋体" w:cs="宋体"/>
          <w:bCs/>
          <w:color w:val="000000"/>
          <w:szCs w:val="21"/>
        </w:rPr>
        <w:t>防护栏杆长度超</w:t>
      </w:r>
      <w:r>
        <w:rPr>
          <w:rFonts w:hint="eastAsia"/>
          <w:color w:val="000000"/>
          <w:szCs w:val="21"/>
        </w:rPr>
        <w:t>20</w:t>
      </w:r>
      <w:r>
        <w:rPr>
          <w:color w:val="000000"/>
          <w:szCs w:val="21"/>
        </w:rPr>
        <w:t xml:space="preserve"> </w:t>
      </w:r>
      <w:r>
        <w:rPr>
          <w:rFonts w:hint="eastAsia"/>
          <w:color w:val="000000"/>
          <w:szCs w:val="21"/>
        </w:rPr>
        <w:t>m</w:t>
      </w:r>
      <w:r>
        <w:rPr>
          <w:rFonts w:hint="eastAsia" w:ascii="宋体" w:hAnsi="宋体" w:cs="宋体"/>
          <w:bCs/>
          <w:color w:val="000000"/>
          <w:szCs w:val="21"/>
        </w:rPr>
        <w:t>，需做防变形构造措施。</w:t>
      </w:r>
    </w:p>
    <w:p w14:paraId="6BCEE806">
      <w:pPr>
        <w:spacing w:line="400" w:lineRule="exact"/>
        <w:rPr>
          <w:color w:val="000000"/>
          <w:szCs w:val="21"/>
          <w:highlight w:val="yellow"/>
        </w:rPr>
      </w:pPr>
      <w:r>
        <w:rPr>
          <w:b/>
          <w:color w:val="000000"/>
          <w:szCs w:val="21"/>
        </w:rPr>
        <w:t>7.13.5</w:t>
      </w:r>
      <w:r>
        <w:rPr>
          <w:color w:val="000000"/>
          <w:szCs w:val="21"/>
        </w:rPr>
        <w:t xml:space="preserve">  住宅、托儿所、幼儿园、中小学和少年儿童专用活动场所及少年儿童能够进入的场所的栏杆，必须采用防止少年儿童攀登的构造。采用垂直杆件做栏杆时，其杆件净距不应大于</w:t>
      </w:r>
      <w:r>
        <w:rPr>
          <w:rFonts w:hint="eastAsia"/>
          <w:color w:val="000000"/>
          <w:szCs w:val="21"/>
        </w:rPr>
        <w:t>0.11</w:t>
      </w:r>
      <w:r>
        <w:rPr>
          <w:color w:val="000000"/>
          <w:szCs w:val="21"/>
        </w:rPr>
        <w:t xml:space="preserve"> m</w:t>
      </w:r>
      <w:r>
        <w:rPr>
          <w:rFonts w:hint="eastAsia"/>
          <w:color w:val="000000"/>
          <w:szCs w:val="21"/>
        </w:rPr>
        <w:t>，</w:t>
      </w:r>
      <w:r>
        <w:rPr>
          <w:rFonts w:hint="eastAsia" w:ascii="宋体" w:hAnsi="宋体" w:cs="宋体"/>
          <w:bCs/>
          <w:color w:val="000000"/>
          <w:kern w:val="2"/>
          <w:szCs w:val="21"/>
        </w:rPr>
        <w:t>托儿所、幼儿园</w:t>
      </w:r>
      <w:r>
        <w:rPr>
          <w:color w:val="000000"/>
          <w:szCs w:val="21"/>
        </w:rPr>
        <w:t>栏杆净距不应大于0.</w:t>
      </w:r>
      <w:r>
        <w:rPr>
          <w:rFonts w:hint="eastAsia"/>
          <w:color w:val="000000"/>
          <w:szCs w:val="21"/>
        </w:rPr>
        <w:t>09</w:t>
      </w:r>
      <w:r>
        <w:rPr>
          <w:color w:val="000000"/>
          <w:szCs w:val="21"/>
        </w:rPr>
        <w:t xml:space="preserve"> m</w:t>
      </w:r>
      <w:r>
        <w:rPr>
          <w:rFonts w:hint="eastAsia"/>
          <w:color w:val="000000"/>
          <w:szCs w:val="21"/>
        </w:rPr>
        <w:t>。</w:t>
      </w:r>
    </w:p>
    <w:p w14:paraId="6C97FA33">
      <w:pPr>
        <w:spacing w:line="400" w:lineRule="exact"/>
        <w:rPr>
          <w:color w:val="000000"/>
          <w:szCs w:val="21"/>
        </w:rPr>
      </w:pPr>
      <w:r>
        <w:rPr>
          <w:rFonts w:hint="eastAsia"/>
          <w:b/>
          <w:bCs/>
          <w:color w:val="000000"/>
        </w:rPr>
        <w:t>7.13.6</w:t>
      </w:r>
      <w:r>
        <w:rPr>
          <w:rFonts w:hint="eastAsia"/>
          <w:color w:val="000000"/>
        </w:rPr>
        <w:t xml:space="preserve">  </w:t>
      </w:r>
      <w:r>
        <w:rPr>
          <w:color w:val="000000"/>
          <w:szCs w:val="21"/>
        </w:rPr>
        <w:t xml:space="preserve"> 栏板玻璃的类型、厚度应符合设计要求，玻璃安装应牢固无松动。</w:t>
      </w:r>
      <w:r>
        <w:rPr>
          <w:rFonts w:hint="eastAsia"/>
          <w:color w:val="000000"/>
          <w:szCs w:val="21"/>
        </w:rPr>
        <w:t>当栏板玻璃固定在结构上且直接承受人体荷载时，栏板玻璃最低点离</w:t>
      </w:r>
      <w:r>
        <w:rPr>
          <w:color w:val="000000"/>
          <w:szCs w:val="21"/>
        </w:rPr>
        <w:t>一侧</w:t>
      </w:r>
      <w:r>
        <w:rPr>
          <w:rFonts w:hint="eastAsia"/>
          <w:color w:val="000000"/>
          <w:szCs w:val="21"/>
        </w:rPr>
        <w:t>楼</w:t>
      </w:r>
      <w:r>
        <w:rPr>
          <w:color w:val="000000"/>
          <w:szCs w:val="21"/>
        </w:rPr>
        <w:t>地面高度</w:t>
      </w:r>
      <w:r>
        <w:rPr>
          <w:rFonts w:hint="eastAsia"/>
          <w:color w:val="000000"/>
          <w:szCs w:val="21"/>
        </w:rPr>
        <w:t>不应大于5</w:t>
      </w:r>
      <w:r>
        <w:rPr>
          <w:color w:val="000000"/>
          <w:szCs w:val="21"/>
        </w:rPr>
        <w:t xml:space="preserve"> </w:t>
      </w:r>
      <w:r>
        <w:rPr>
          <w:rFonts w:hint="eastAsia"/>
          <w:color w:val="000000"/>
          <w:szCs w:val="21"/>
        </w:rPr>
        <w:t>m，且应</w:t>
      </w:r>
      <w:r>
        <w:rPr>
          <w:color w:val="000000"/>
          <w:szCs w:val="21"/>
        </w:rPr>
        <w:t>使用</w:t>
      </w:r>
      <w:r>
        <w:rPr>
          <w:rFonts w:hint="eastAsia"/>
          <w:color w:val="000000"/>
          <w:szCs w:val="21"/>
        </w:rPr>
        <w:t>厚度不小于 8+0.76+8</w:t>
      </w:r>
      <w:r>
        <w:rPr>
          <w:color w:val="000000"/>
          <w:szCs w:val="21"/>
        </w:rPr>
        <w:t>钢化夹层玻璃</w:t>
      </w:r>
      <w:r>
        <w:rPr>
          <w:rFonts w:hint="eastAsia"/>
          <w:color w:val="000000"/>
          <w:szCs w:val="21"/>
        </w:rPr>
        <w:t>。</w:t>
      </w:r>
    </w:p>
    <w:p w14:paraId="4289719E">
      <w:pPr>
        <w:spacing w:line="400" w:lineRule="exact"/>
        <w:rPr>
          <w:color w:val="000000"/>
          <w:szCs w:val="21"/>
        </w:rPr>
      </w:pPr>
      <w:r>
        <w:rPr>
          <w:b/>
          <w:color w:val="000000"/>
          <w:szCs w:val="21"/>
        </w:rPr>
        <w:t>7.13.7</w:t>
      </w:r>
      <w:r>
        <w:rPr>
          <w:color w:val="000000"/>
          <w:szCs w:val="21"/>
        </w:rPr>
        <w:t xml:space="preserve">  室内隔断使用的安全玻璃的种类、厚度和最大使用面积，应符合相关规范规定和设计要求。室外栏板玻璃应进行抗风压设计，并应考虑地震作用的组合效应。</w:t>
      </w:r>
    </w:p>
    <w:p w14:paraId="08C77982">
      <w:pPr>
        <w:spacing w:line="400" w:lineRule="exact"/>
        <w:rPr>
          <w:color w:val="000000"/>
          <w:szCs w:val="21"/>
        </w:rPr>
      </w:pPr>
      <w:r>
        <w:rPr>
          <w:b/>
          <w:color w:val="000000"/>
          <w:szCs w:val="21"/>
        </w:rPr>
        <w:t>7.13.8</w:t>
      </w:r>
      <w:r>
        <w:rPr>
          <w:color w:val="000000"/>
          <w:szCs w:val="21"/>
        </w:rPr>
        <w:t xml:space="preserve">  木制扶手表面应光滑平直，拐角应方正，色泽应一致，不应有刨痕、锤印、裂缝、翘曲及损坏现象。</w:t>
      </w:r>
    </w:p>
    <w:p w14:paraId="0AD490F6">
      <w:pPr>
        <w:spacing w:line="400" w:lineRule="exact"/>
        <w:rPr>
          <w:color w:val="000000"/>
          <w:szCs w:val="21"/>
        </w:rPr>
      </w:pPr>
      <w:r>
        <w:rPr>
          <w:b/>
          <w:color w:val="000000"/>
          <w:szCs w:val="21"/>
        </w:rPr>
        <w:t>7.13.9</w:t>
      </w:r>
      <w:r>
        <w:rPr>
          <w:color w:val="000000"/>
          <w:szCs w:val="21"/>
        </w:rPr>
        <w:t xml:space="preserve">  护栏扶手安装预埋件的数量、规格、位置及护栏与预埋件的连接节点的安装，应有隐蔽工程验收合格记录并应符合设计要求。栏杆的高度、间距、安装位置应符合设计要求，安装必须牢固。</w:t>
      </w:r>
    </w:p>
    <w:p w14:paraId="53B286B6">
      <w:pPr>
        <w:spacing w:line="400" w:lineRule="exact"/>
        <w:rPr>
          <w:color w:val="000000"/>
          <w:szCs w:val="21"/>
        </w:rPr>
      </w:pPr>
      <w:r>
        <w:rPr>
          <w:b/>
          <w:color w:val="000000"/>
          <w:szCs w:val="21"/>
        </w:rPr>
        <w:t xml:space="preserve">7.13.10 </w:t>
      </w:r>
      <w:r>
        <w:rPr>
          <w:color w:val="000000"/>
          <w:szCs w:val="21"/>
        </w:rPr>
        <w:t xml:space="preserve"> </w:t>
      </w:r>
      <w:r>
        <w:rPr>
          <w:rFonts w:hint="eastAsia"/>
          <w:color w:val="000000"/>
          <w:szCs w:val="21"/>
        </w:rPr>
        <w:t>公共</w:t>
      </w:r>
      <w:r>
        <w:rPr>
          <w:color w:val="000000"/>
          <w:szCs w:val="21"/>
        </w:rPr>
        <w:t>楼梯改变方向时，扶手转向端处的平台最小宽度不应小于梯段宽度，并不得小于1.20 m。当中间有实体墙时，扶手转向端处的平台净宽不应小于1.30 m。直跑楼梯的中间平台宽度不应小于0.90 m。楼梯平台上部及下部过道处的净高不应小于2 m，梯段净高不</w:t>
      </w:r>
      <w:r>
        <w:rPr>
          <w:rFonts w:hint="eastAsia"/>
          <w:color w:val="000000"/>
          <w:szCs w:val="21"/>
        </w:rPr>
        <w:t>应</w:t>
      </w:r>
      <w:r>
        <w:rPr>
          <w:color w:val="000000"/>
          <w:szCs w:val="21"/>
        </w:rPr>
        <w:t>小于2.20 m。</w:t>
      </w:r>
    </w:p>
    <w:p w14:paraId="478A198B">
      <w:pPr>
        <w:spacing w:line="400" w:lineRule="exact"/>
        <w:rPr>
          <w:color w:val="000000"/>
        </w:rPr>
      </w:pPr>
      <w:r>
        <w:rPr>
          <w:rFonts w:hint="eastAsia"/>
          <w:b/>
          <w:bCs/>
          <w:color w:val="000000"/>
          <w:szCs w:val="21"/>
        </w:rPr>
        <w:t>7.13.11</w:t>
      </w:r>
      <w:r>
        <w:rPr>
          <w:rFonts w:hint="eastAsia"/>
          <w:color w:val="000000"/>
          <w:szCs w:val="21"/>
        </w:rPr>
        <w:t xml:space="preserve">  疏散通道、疏散走道、疏散出口的净高度均不应小于2.1</w:t>
      </w:r>
      <w:r>
        <w:rPr>
          <w:color w:val="000000"/>
          <w:szCs w:val="21"/>
        </w:rPr>
        <w:t xml:space="preserve"> </w:t>
      </w:r>
      <w:r>
        <w:rPr>
          <w:rFonts w:hint="eastAsia"/>
          <w:color w:val="000000"/>
          <w:szCs w:val="21"/>
        </w:rPr>
        <w:t>m。地下室、局部夹层、走道等有人员正常活动的最低处净高不应小于2.0</w:t>
      </w:r>
      <w:r>
        <w:rPr>
          <w:color w:val="000000"/>
          <w:szCs w:val="21"/>
        </w:rPr>
        <w:t xml:space="preserve"> </w:t>
      </w:r>
      <w:r>
        <w:rPr>
          <w:rFonts w:hint="eastAsia"/>
          <w:color w:val="000000"/>
          <w:szCs w:val="21"/>
        </w:rPr>
        <w:t>m。</w:t>
      </w:r>
    </w:p>
    <w:p w14:paraId="48F2980A">
      <w:pPr>
        <w:spacing w:line="400" w:lineRule="exact"/>
        <w:rPr>
          <w:color w:val="000000"/>
          <w:szCs w:val="21"/>
        </w:rPr>
      </w:pPr>
      <w:r>
        <w:rPr>
          <w:b/>
          <w:color w:val="000000"/>
          <w:szCs w:val="21"/>
        </w:rPr>
        <w:t>7.13.1</w:t>
      </w:r>
      <w:r>
        <w:rPr>
          <w:rFonts w:hint="eastAsia"/>
          <w:b/>
          <w:color w:val="000000"/>
          <w:szCs w:val="21"/>
        </w:rPr>
        <w:t>2</w:t>
      </w:r>
      <w:r>
        <w:rPr>
          <w:b/>
          <w:color w:val="000000"/>
          <w:szCs w:val="21"/>
        </w:rPr>
        <w:t xml:space="preserve">  </w:t>
      </w:r>
      <w:r>
        <w:rPr>
          <w:color w:val="000000"/>
          <w:szCs w:val="21"/>
        </w:rPr>
        <w:t>楼梯应至少于一侧设扶手；梯段净宽达三股人流时，应两侧设扶手；达四股人流时，宜加设中间扶手。扶手高度自踏步前缘量起不宜小于0.90 m。</w:t>
      </w:r>
    </w:p>
    <w:p w14:paraId="3A42D3F1">
      <w:pPr>
        <w:spacing w:line="400" w:lineRule="exact"/>
        <w:rPr>
          <w:color w:val="000000"/>
          <w:szCs w:val="21"/>
        </w:rPr>
      </w:pPr>
      <w:r>
        <w:rPr>
          <w:b/>
          <w:bCs/>
          <w:color w:val="000000"/>
          <w:szCs w:val="21"/>
        </w:rPr>
        <w:t>7.13.1</w:t>
      </w:r>
      <w:r>
        <w:rPr>
          <w:rFonts w:hint="eastAsia"/>
          <w:b/>
          <w:bCs/>
          <w:color w:val="000000"/>
          <w:szCs w:val="21"/>
        </w:rPr>
        <w:t>3</w:t>
      </w:r>
      <w:r>
        <w:rPr>
          <w:b/>
          <w:bCs/>
          <w:color w:val="000000"/>
          <w:szCs w:val="21"/>
        </w:rPr>
        <w:t xml:space="preserve">  </w:t>
      </w:r>
      <w:r>
        <w:rPr>
          <w:color w:val="000000"/>
          <w:szCs w:val="21"/>
        </w:rPr>
        <w:t>垂直爬梯，固定墙壁处的后置埋件需做承载力试验，符合《</w:t>
      </w:r>
      <w:r>
        <w:rPr>
          <w:rFonts w:hint="eastAsia" w:ascii="宋体" w:hAnsi="宋体" w:cs="宋体"/>
          <w:bCs/>
          <w:color w:val="000000"/>
          <w:szCs w:val="21"/>
        </w:rPr>
        <w:t>民用建筑设计统一标准</w:t>
      </w:r>
      <w:r>
        <w:rPr>
          <w:color w:val="000000"/>
          <w:szCs w:val="21"/>
        </w:rPr>
        <w:t>》GB 50352的相关要求。</w:t>
      </w:r>
      <w:r>
        <w:rPr>
          <w:rFonts w:hint="eastAsia"/>
          <w:color w:val="000000"/>
          <w:szCs w:val="21"/>
        </w:rPr>
        <w:t>上屋面爬梯应有安全防护措施和防攀爬措施。</w:t>
      </w:r>
    </w:p>
    <w:p w14:paraId="29A2A6BF">
      <w:pPr>
        <w:pStyle w:val="4"/>
        <w:numPr>
          <w:ilvl w:val="1"/>
          <w:numId w:val="0"/>
        </w:numPr>
        <w:spacing w:before="312" w:beforeLines="100" w:line="400" w:lineRule="exact"/>
        <w:jc w:val="center"/>
        <w:rPr>
          <w:rFonts w:ascii="Times New Roman" w:hAnsi="Times New Roman" w:eastAsia="黑体"/>
          <w:sz w:val="24"/>
          <w:szCs w:val="24"/>
        </w:rPr>
      </w:pPr>
      <w:bookmarkStart w:id="407" w:name="_Toc21776"/>
      <w:bookmarkStart w:id="408" w:name="_Toc24191"/>
      <w:bookmarkStart w:id="409" w:name="_Toc18547"/>
      <w:bookmarkStart w:id="410" w:name="_Toc16782"/>
      <w:r>
        <w:rPr>
          <w:rFonts w:ascii="Times New Roman" w:hAnsi="Times New Roman" w:eastAsia="黑体"/>
          <w:b/>
          <w:bCs/>
          <w:sz w:val="24"/>
          <w:szCs w:val="24"/>
        </w:rPr>
        <w:t>7.14</w:t>
      </w:r>
      <w:r>
        <w:rPr>
          <w:rFonts w:ascii="Times New Roman" w:hAnsi="Times New Roman" w:eastAsia="黑体"/>
          <w:sz w:val="24"/>
          <w:szCs w:val="24"/>
        </w:rPr>
        <w:t xml:space="preserve"> </w:t>
      </w:r>
      <w:r>
        <w:rPr>
          <w:rFonts w:ascii="Times New Roman" w:hAnsi="Times New Roman" w:eastAsia="黑体"/>
          <w:sz w:val="24"/>
          <w:szCs w:val="24"/>
          <w:lang w:val="en-US"/>
        </w:rPr>
        <w:t xml:space="preserve"> </w:t>
      </w:r>
      <w:r>
        <w:rPr>
          <w:rFonts w:ascii="Times New Roman" w:hAnsi="Times New Roman" w:eastAsia="黑体"/>
          <w:sz w:val="24"/>
          <w:szCs w:val="24"/>
        </w:rPr>
        <w:t>无障碍设施</w:t>
      </w:r>
      <w:bookmarkEnd w:id="407"/>
      <w:bookmarkEnd w:id="408"/>
      <w:bookmarkEnd w:id="409"/>
      <w:bookmarkEnd w:id="410"/>
    </w:p>
    <w:p w14:paraId="5B4E539C">
      <w:pPr>
        <w:spacing w:line="400" w:lineRule="exact"/>
        <w:rPr>
          <w:color w:val="000000"/>
          <w:szCs w:val="21"/>
        </w:rPr>
      </w:pPr>
      <w:r>
        <w:rPr>
          <w:b/>
          <w:color w:val="000000"/>
          <w:szCs w:val="21"/>
        </w:rPr>
        <w:t>7.14.1</w:t>
      </w:r>
      <w:r>
        <w:rPr>
          <w:color w:val="000000"/>
          <w:szCs w:val="21"/>
        </w:rPr>
        <w:t xml:space="preserve">  新建房屋建筑应进行无障碍设计，扩建和</w:t>
      </w:r>
      <w:r>
        <w:rPr>
          <w:rFonts w:hint="eastAsia"/>
          <w:color w:val="000000"/>
          <w:szCs w:val="21"/>
        </w:rPr>
        <w:t>改造</w:t>
      </w:r>
      <w:r>
        <w:rPr>
          <w:color w:val="000000"/>
          <w:szCs w:val="21"/>
        </w:rPr>
        <w:t>的房屋建筑应最大限度地进行无障碍改造。无障碍设计和实施范围应符合规范规定。建筑入口、走道、门、楼梯、电梯、公共厕所、轮椅席位、无障碍客房、无障碍住房、无障碍厨房、无障碍卫生间、无障碍停车位等，应满足使用功能和安全的要求。</w:t>
      </w:r>
    </w:p>
    <w:p w14:paraId="5E3008A7">
      <w:pPr>
        <w:spacing w:line="400" w:lineRule="exact"/>
        <w:rPr>
          <w:color w:val="000000"/>
        </w:rPr>
      </w:pPr>
      <w:r>
        <w:rPr>
          <w:rFonts w:hint="eastAsia"/>
          <w:b/>
          <w:bCs/>
          <w:color w:val="000000"/>
          <w:szCs w:val="32"/>
        </w:rPr>
        <w:t xml:space="preserve">7.14.2  </w:t>
      </w:r>
      <w:r>
        <w:rPr>
          <w:rFonts w:hint="eastAsia"/>
          <w:color w:val="000000"/>
        </w:rPr>
        <w:t>民用建筑应设置无障碍出入口，</w:t>
      </w:r>
      <w:r>
        <w:rPr>
          <w:color w:val="000000"/>
        </w:rPr>
        <w:t>出入口</w:t>
      </w:r>
      <w:r>
        <w:rPr>
          <w:rFonts w:hint="eastAsia"/>
          <w:color w:val="000000"/>
        </w:rPr>
        <w:t>设置应符合下列规定：</w:t>
      </w:r>
    </w:p>
    <w:p w14:paraId="4B35522D">
      <w:pPr>
        <w:spacing w:line="400" w:lineRule="exact"/>
        <w:ind w:firstLine="422" w:firstLineChars="200"/>
        <w:rPr>
          <w:color w:val="000000"/>
          <w:szCs w:val="21"/>
        </w:rPr>
      </w:pPr>
      <w:r>
        <w:rPr>
          <w:rFonts w:hint="eastAsia"/>
          <w:b/>
          <w:bCs/>
          <w:color w:val="000000"/>
        </w:rPr>
        <w:t>1</w:t>
      </w:r>
      <w:r>
        <w:rPr>
          <w:rFonts w:hint="eastAsia"/>
          <w:color w:val="000000"/>
        </w:rPr>
        <w:t xml:space="preserve">  </w:t>
      </w:r>
      <w:r>
        <w:rPr>
          <w:color w:val="000000"/>
          <w:szCs w:val="21"/>
        </w:rPr>
        <w:t>设置电梯的居住建筑应至少设置1处无障碍出入口，通过无障碍通道直达电梯厅</w:t>
      </w:r>
      <w:r>
        <w:rPr>
          <w:rFonts w:hint="eastAsia"/>
          <w:color w:val="000000"/>
          <w:szCs w:val="21"/>
        </w:rPr>
        <w:t>；</w:t>
      </w:r>
    </w:p>
    <w:p w14:paraId="2C5EC68E">
      <w:pPr>
        <w:spacing w:line="400" w:lineRule="exact"/>
        <w:ind w:firstLine="422" w:firstLineChars="200"/>
        <w:rPr>
          <w:color w:val="000000"/>
          <w:szCs w:val="21"/>
        </w:rPr>
      </w:pPr>
      <w:r>
        <w:rPr>
          <w:rFonts w:hint="eastAsia"/>
          <w:b/>
          <w:bCs/>
          <w:color w:val="000000"/>
          <w:szCs w:val="21"/>
        </w:rPr>
        <w:t>2</w:t>
      </w:r>
      <w:r>
        <w:rPr>
          <w:rFonts w:hint="eastAsia"/>
          <w:color w:val="000000"/>
          <w:szCs w:val="21"/>
        </w:rPr>
        <w:t xml:space="preserve">  </w:t>
      </w:r>
      <w:r>
        <w:rPr>
          <w:color w:val="000000"/>
          <w:szCs w:val="21"/>
        </w:rPr>
        <w:t>公共建筑主要人行通道当有高差或台阶时，应设置轮椅坡道或无障碍电梯</w:t>
      </w:r>
      <w:r>
        <w:rPr>
          <w:rFonts w:hint="eastAsia"/>
          <w:color w:val="000000"/>
          <w:szCs w:val="21"/>
        </w:rPr>
        <w:t>；</w:t>
      </w:r>
    </w:p>
    <w:p w14:paraId="28395031">
      <w:pPr>
        <w:spacing w:line="400" w:lineRule="exact"/>
        <w:ind w:firstLine="422" w:firstLineChars="200"/>
        <w:rPr>
          <w:color w:val="000000"/>
          <w:szCs w:val="21"/>
        </w:rPr>
      </w:pPr>
      <w:r>
        <w:rPr>
          <w:rFonts w:hint="eastAsia"/>
          <w:b/>
          <w:bCs/>
          <w:color w:val="000000"/>
          <w:szCs w:val="21"/>
        </w:rPr>
        <w:t>3</w:t>
      </w:r>
      <w:r>
        <w:rPr>
          <w:rFonts w:hint="eastAsia"/>
          <w:color w:val="000000"/>
          <w:szCs w:val="21"/>
        </w:rPr>
        <w:t xml:space="preserve">  </w:t>
      </w:r>
      <w:r>
        <w:rPr>
          <w:color w:val="000000"/>
          <w:szCs w:val="21"/>
        </w:rPr>
        <w:t>除平坡出入口外，无障碍出入口的门前应设置平台</w:t>
      </w:r>
      <w:r>
        <w:rPr>
          <w:rFonts w:hint="eastAsia"/>
          <w:color w:val="000000"/>
          <w:szCs w:val="21"/>
        </w:rPr>
        <w:t>，</w:t>
      </w:r>
      <w:r>
        <w:rPr>
          <w:color w:val="000000"/>
          <w:szCs w:val="21"/>
        </w:rPr>
        <w:t>在门完全开启的状态下，平台的净深度不应小于1.5 m；</w:t>
      </w:r>
    </w:p>
    <w:p w14:paraId="159AD60D">
      <w:pPr>
        <w:spacing w:line="400" w:lineRule="exact"/>
        <w:ind w:firstLine="422" w:firstLineChars="200"/>
        <w:rPr>
          <w:color w:val="000000"/>
          <w:szCs w:val="21"/>
        </w:rPr>
      </w:pPr>
      <w:r>
        <w:rPr>
          <w:rFonts w:hint="eastAsia"/>
          <w:b/>
          <w:bCs/>
          <w:color w:val="000000"/>
          <w:szCs w:val="21"/>
        </w:rPr>
        <w:t>4</w:t>
      </w:r>
      <w:r>
        <w:rPr>
          <w:rFonts w:hint="eastAsia"/>
          <w:color w:val="000000"/>
          <w:szCs w:val="21"/>
        </w:rPr>
        <w:t xml:space="preserve">  </w:t>
      </w:r>
      <w:r>
        <w:rPr>
          <w:color w:val="000000"/>
          <w:szCs w:val="21"/>
        </w:rPr>
        <w:t>无障碍出入口上方应设置</w:t>
      </w:r>
      <w:r>
        <w:rPr>
          <w:rFonts w:hint="eastAsia"/>
          <w:color w:val="000000"/>
          <w:szCs w:val="21"/>
        </w:rPr>
        <w:t xml:space="preserve">雨棚， </w:t>
      </w:r>
      <w:r>
        <w:rPr>
          <w:color w:val="000000"/>
          <w:szCs w:val="21"/>
        </w:rPr>
        <w:t>雨棚的宽度应能够覆盖出入口的平台，宜超过台阶首级踏步</w:t>
      </w:r>
      <w:r>
        <w:rPr>
          <w:rFonts w:hint="eastAsia"/>
          <w:color w:val="000000"/>
          <w:szCs w:val="21"/>
        </w:rPr>
        <w:t>，</w:t>
      </w:r>
      <w:r>
        <w:rPr>
          <w:color w:val="000000"/>
          <w:szCs w:val="21"/>
        </w:rPr>
        <w:t>雨棚的排水管应避开下方坡道、台阶。</w:t>
      </w:r>
    </w:p>
    <w:p w14:paraId="30F77443">
      <w:pPr>
        <w:spacing w:line="400" w:lineRule="exact"/>
        <w:rPr>
          <w:color w:val="000000"/>
          <w:szCs w:val="21"/>
        </w:rPr>
      </w:pPr>
      <w:r>
        <w:rPr>
          <w:rFonts w:hint="eastAsia"/>
          <w:b/>
          <w:bCs/>
          <w:color w:val="000000"/>
        </w:rPr>
        <w:t xml:space="preserve">7.14.3 </w:t>
      </w:r>
      <w:r>
        <w:rPr>
          <w:rFonts w:hint="eastAsia"/>
          <w:color w:val="000000"/>
          <w:szCs w:val="21"/>
        </w:rPr>
        <w:t xml:space="preserve"> </w:t>
      </w:r>
      <w:r>
        <w:rPr>
          <w:color w:val="000000"/>
          <w:szCs w:val="21"/>
        </w:rPr>
        <w:t>无障碍通行</w:t>
      </w:r>
      <w:r>
        <w:rPr>
          <w:rFonts w:hint="eastAsia"/>
          <w:color w:val="000000"/>
          <w:szCs w:val="21"/>
        </w:rPr>
        <w:t>路</w:t>
      </w:r>
      <w:r>
        <w:rPr>
          <w:color w:val="000000"/>
          <w:szCs w:val="21"/>
        </w:rPr>
        <w:t>线上的标识物、垃圾桶、座椅、灯柱、隔离墩、地灯和地面布线（线槽）等设施均不应妨碍行动障碍者的独立通行</w:t>
      </w:r>
      <w:r>
        <w:rPr>
          <w:rFonts w:hint="eastAsia"/>
          <w:color w:val="000000"/>
          <w:szCs w:val="21"/>
        </w:rPr>
        <w:t>，并应符合下列规定：</w:t>
      </w:r>
    </w:p>
    <w:p w14:paraId="760425CB">
      <w:pPr>
        <w:spacing w:line="400" w:lineRule="exact"/>
        <w:ind w:firstLine="422" w:firstLineChars="200"/>
        <w:rPr>
          <w:color w:val="000000"/>
          <w:szCs w:val="21"/>
        </w:rPr>
      </w:pPr>
      <w:r>
        <w:rPr>
          <w:rFonts w:hint="eastAsia"/>
          <w:b/>
          <w:bCs/>
          <w:color w:val="000000"/>
        </w:rPr>
        <w:t>1</w:t>
      </w:r>
      <w:r>
        <w:rPr>
          <w:rFonts w:hint="eastAsia"/>
          <w:color w:val="000000"/>
          <w:szCs w:val="21"/>
        </w:rPr>
        <w:t xml:space="preserve">  </w:t>
      </w:r>
      <w:r>
        <w:rPr>
          <w:color w:val="000000"/>
          <w:szCs w:val="21"/>
        </w:rPr>
        <w:t>无障碍通道的通行净宽不应小于1.2 m。人员密集的公共场所的通行净宽不应小于1.8 m</w:t>
      </w:r>
      <w:r>
        <w:rPr>
          <w:rFonts w:hint="eastAsia"/>
          <w:color w:val="000000"/>
          <w:szCs w:val="21"/>
        </w:rPr>
        <w:t>；</w:t>
      </w:r>
    </w:p>
    <w:p w14:paraId="7D5FE716">
      <w:pPr>
        <w:spacing w:line="400" w:lineRule="exact"/>
        <w:ind w:firstLine="422" w:firstLineChars="200"/>
        <w:rPr>
          <w:color w:val="000000"/>
          <w:szCs w:val="21"/>
        </w:rPr>
      </w:pPr>
      <w:r>
        <w:rPr>
          <w:rFonts w:hint="eastAsia"/>
          <w:b/>
          <w:bCs/>
          <w:color w:val="000000"/>
        </w:rPr>
        <w:t>2</w:t>
      </w:r>
      <w:r>
        <w:rPr>
          <w:rFonts w:hint="eastAsia"/>
          <w:color w:val="000000"/>
          <w:szCs w:val="21"/>
        </w:rPr>
        <w:t xml:space="preserve">  </w:t>
      </w:r>
      <w:r>
        <w:rPr>
          <w:color w:val="000000"/>
          <w:szCs w:val="21"/>
        </w:rPr>
        <w:t>设置出入口闸机时，至少有一台开启后通行净宽</w:t>
      </w:r>
      <w:r>
        <w:rPr>
          <w:rFonts w:hint="eastAsia" w:ascii="宋体" w:hAnsi="宋体" w:cs="宋体"/>
          <w:color w:val="000000"/>
          <w:szCs w:val="21"/>
        </w:rPr>
        <w:t>≥</w:t>
      </w:r>
      <w:r>
        <w:rPr>
          <w:color w:val="000000"/>
          <w:szCs w:val="21"/>
        </w:rPr>
        <w:t>900 mm，或者紧邻闸机设置供乘轮椅者通行的出入口，净宽</w:t>
      </w:r>
      <w:r>
        <w:rPr>
          <w:rFonts w:hint="eastAsia"/>
          <w:color w:val="000000"/>
          <w:szCs w:val="21"/>
        </w:rPr>
        <w:t>应</w:t>
      </w:r>
      <w:r>
        <w:rPr>
          <w:rFonts w:hint="eastAsia" w:ascii="宋体" w:hAnsi="宋体" w:cs="宋体"/>
          <w:color w:val="000000"/>
          <w:szCs w:val="21"/>
        </w:rPr>
        <w:t>不小于</w:t>
      </w:r>
      <w:r>
        <w:rPr>
          <w:color w:val="000000"/>
          <w:szCs w:val="21"/>
        </w:rPr>
        <w:t>900 mm</w:t>
      </w:r>
      <w:r>
        <w:rPr>
          <w:rFonts w:hint="eastAsia"/>
          <w:color w:val="000000"/>
          <w:szCs w:val="21"/>
        </w:rPr>
        <w:t>；</w:t>
      </w:r>
    </w:p>
    <w:p w14:paraId="733C48B6">
      <w:pPr>
        <w:spacing w:line="400" w:lineRule="exact"/>
        <w:ind w:firstLine="422" w:firstLineChars="200"/>
        <w:rPr>
          <w:color w:val="000000"/>
          <w:szCs w:val="21"/>
        </w:rPr>
      </w:pPr>
      <w:r>
        <w:rPr>
          <w:rFonts w:hint="eastAsia"/>
          <w:b/>
          <w:bCs/>
          <w:color w:val="000000"/>
        </w:rPr>
        <w:t xml:space="preserve">3 </w:t>
      </w:r>
      <w:r>
        <w:rPr>
          <w:rFonts w:hint="eastAsia"/>
          <w:color w:val="000000"/>
          <w:szCs w:val="21"/>
        </w:rPr>
        <w:t xml:space="preserve"> </w:t>
      </w:r>
      <w:r>
        <w:rPr>
          <w:color w:val="000000"/>
          <w:szCs w:val="21"/>
        </w:rPr>
        <w:t>轮椅坡道的横向坡度不应大于1：50，纵向坡度不应大于1：12，当条件受限且坡段起止点的高差不大于150 mm时，纵向坡度不应大于1：10；每段坡道提升高度不应大于750 mm</w:t>
      </w:r>
      <w:r>
        <w:rPr>
          <w:rFonts w:hint="eastAsia"/>
          <w:color w:val="000000"/>
          <w:szCs w:val="21"/>
        </w:rPr>
        <w:t>；</w:t>
      </w:r>
    </w:p>
    <w:p w14:paraId="344974AF">
      <w:pPr>
        <w:spacing w:line="400" w:lineRule="exact"/>
        <w:ind w:firstLine="422" w:firstLineChars="200"/>
        <w:rPr>
          <w:color w:val="000000"/>
          <w:szCs w:val="21"/>
        </w:rPr>
      </w:pPr>
      <w:r>
        <w:rPr>
          <w:rFonts w:hint="eastAsia"/>
          <w:b/>
          <w:bCs/>
          <w:color w:val="000000"/>
        </w:rPr>
        <w:t xml:space="preserve">4 </w:t>
      </w:r>
      <w:r>
        <w:rPr>
          <w:rFonts w:hint="eastAsia"/>
          <w:color w:val="000000"/>
          <w:szCs w:val="21"/>
        </w:rPr>
        <w:t xml:space="preserve"> </w:t>
      </w:r>
      <w:r>
        <w:rPr>
          <w:color w:val="000000"/>
          <w:szCs w:val="21"/>
        </w:rPr>
        <w:t>无障碍通道上有井盖、篦子时，井盖、篦子孔洞的宽度或直径不应大于13 mm，条状孔洞应垂直于通行方向</w:t>
      </w:r>
      <w:r>
        <w:rPr>
          <w:rFonts w:hint="eastAsia"/>
          <w:color w:val="000000"/>
          <w:szCs w:val="21"/>
        </w:rPr>
        <w:t>；</w:t>
      </w:r>
    </w:p>
    <w:p w14:paraId="3D2F374E">
      <w:pPr>
        <w:spacing w:line="400" w:lineRule="exact"/>
        <w:ind w:firstLine="422" w:firstLineChars="200"/>
        <w:rPr>
          <w:color w:val="000000"/>
          <w:szCs w:val="21"/>
        </w:rPr>
      </w:pPr>
      <w:r>
        <w:rPr>
          <w:rFonts w:hint="eastAsia"/>
          <w:b/>
          <w:bCs/>
          <w:color w:val="000000"/>
        </w:rPr>
        <w:t xml:space="preserve">5 </w:t>
      </w:r>
      <w:r>
        <w:rPr>
          <w:rFonts w:hint="eastAsia"/>
          <w:color w:val="000000"/>
          <w:szCs w:val="21"/>
        </w:rPr>
        <w:t xml:space="preserve"> </w:t>
      </w:r>
      <w:r>
        <w:rPr>
          <w:color w:val="000000"/>
          <w:szCs w:val="21"/>
        </w:rPr>
        <w:t>满足无障碍要求的门不应设挡块和门槛，门口有高差时，不应大于15 mm，并应以斜面过渡，斜面的纵向坡度不应大于1：10</w:t>
      </w:r>
      <w:r>
        <w:rPr>
          <w:rFonts w:hint="eastAsia"/>
          <w:color w:val="000000"/>
          <w:szCs w:val="21"/>
        </w:rPr>
        <w:t>；</w:t>
      </w:r>
    </w:p>
    <w:p w14:paraId="2863848C">
      <w:pPr>
        <w:spacing w:line="400" w:lineRule="exact"/>
        <w:ind w:firstLine="422" w:firstLineChars="200"/>
        <w:rPr>
          <w:color w:val="000000"/>
          <w:szCs w:val="21"/>
        </w:rPr>
      </w:pPr>
      <w:r>
        <w:rPr>
          <w:rFonts w:hint="eastAsia"/>
          <w:b/>
          <w:bCs/>
          <w:color w:val="000000"/>
        </w:rPr>
        <w:t>6</w:t>
      </w:r>
      <w:r>
        <w:rPr>
          <w:rFonts w:hint="eastAsia"/>
          <w:color w:val="000000"/>
          <w:szCs w:val="21"/>
        </w:rPr>
        <w:t xml:space="preserve">  </w:t>
      </w:r>
      <w:r>
        <w:rPr>
          <w:color w:val="000000"/>
          <w:szCs w:val="21"/>
        </w:rPr>
        <w:t>平开门、推拉门、折叠门开启后的通行净宽度不应小于800 mm，有条件时不</w:t>
      </w:r>
      <w:r>
        <w:rPr>
          <w:rFonts w:hint="eastAsia"/>
          <w:color w:val="000000"/>
          <w:szCs w:val="21"/>
        </w:rPr>
        <w:t>应</w:t>
      </w:r>
      <w:r>
        <w:rPr>
          <w:color w:val="000000"/>
          <w:szCs w:val="21"/>
        </w:rPr>
        <w:t>小于900 mm</w:t>
      </w:r>
      <w:r>
        <w:rPr>
          <w:rFonts w:hint="eastAsia"/>
          <w:color w:val="000000"/>
          <w:szCs w:val="21"/>
        </w:rPr>
        <w:t>；</w:t>
      </w:r>
    </w:p>
    <w:p w14:paraId="0928CF7A">
      <w:pPr>
        <w:spacing w:line="400" w:lineRule="exact"/>
        <w:ind w:firstLine="422" w:firstLineChars="200"/>
        <w:rPr>
          <w:color w:val="000000"/>
          <w:szCs w:val="21"/>
        </w:rPr>
      </w:pPr>
      <w:r>
        <w:rPr>
          <w:rFonts w:hint="eastAsia"/>
          <w:b/>
          <w:bCs/>
          <w:color w:val="000000"/>
          <w:szCs w:val="21"/>
        </w:rPr>
        <w:t>7</w:t>
      </w:r>
      <w:r>
        <w:rPr>
          <w:rFonts w:hint="eastAsia"/>
          <w:color w:val="000000"/>
          <w:szCs w:val="21"/>
        </w:rPr>
        <w:t xml:space="preserve">  疏散门应</w:t>
      </w:r>
      <w:r>
        <w:rPr>
          <w:color w:val="000000"/>
          <w:szCs w:val="21"/>
        </w:rPr>
        <w:t>设观察玻璃，并</w:t>
      </w:r>
      <w:r>
        <w:rPr>
          <w:rFonts w:hint="eastAsia"/>
          <w:color w:val="000000"/>
          <w:szCs w:val="21"/>
        </w:rPr>
        <w:t>应</w:t>
      </w:r>
      <w:r>
        <w:rPr>
          <w:color w:val="000000"/>
          <w:szCs w:val="21"/>
        </w:rPr>
        <w:t>在距地350 mm内安装护门板。在门扇里侧应采用门外可紧急开启的门锁</w:t>
      </w:r>
      <w:r>
        <w:rPr>
          <w:rFonts w:hint="eastAsia"/>
          <w:color w:val="000000"/>
          <w:szCs w:val="21"/>
        </w:rPr>
        <w:t>，</w:t>
      </w:r>
      <w:r>
        <w:rPr>
          <w:color w:val="000000"/>
          <w:szCs w:val="21"/>
        </w:rPr>
        <w:t>当采用平开门</w:t>
      </w:r>
      <w:r>
        <w:rPr>
          <w:rFonts w:hint="eastAsia"/>
          <w:color w:val="000000"/>
          <w:szCs w:val="21"/>
        </w:rPr>
        <w:t>时</w:t>
      </w:r>
      <w:r>
        <w:rPr>
          <w:color w:val="000000"/>
          <w:szCs w:val="21"/>
        </w:rPr>
        <w:t>，门扇</w:t>
      </w:r>
      <w:r>
        <w:rPr>
          <w:rFonts w:hint="eastAsia"/>
          <w:color w:val="000000"/>
          <w:szCs w:val="21"/>
        </w:rPr>
        <w:t>应</w:t>
      </w:r>
      <w:r>
        <w:rPr>
          <w:color w:val="000000"/>
          <w:szCs w:val="21"/>
        </w:rPr>
        <w:t>向外开启</w:t>
      </w:r>
      <w:r>
        <w:rPr>
          <w:rFonts w:hint="eastAsia"/>
          <w:color w:val="000000"/>
          <w:szCs w:val="21"/>
        </w:rPr>
        <w:t>；</w:t>
      </w:r>
    </w:p>
    <w:p w14:paraId="70E3CEE6">
      <w:pPr>
        <w:spacing w:line="400" w:lineRule="exact"/>
        <w:ind w:firstLine="422" w:firstLineChars="200"/>
        <w:rPr>
          <w:color w:val="000000"/>
          <w:szCs w:val="21"/>
        </w:rPr>
      </w:pPr>
      <w:r>
        <w:rPr>
          <w:rFonts w:hint="eastAsia"/>
          <w:b/>
          <w:bCs/>
          <w:color w:val="000000"/>
        </w:rPr>
        <w:t xml:space="preserve">8 </w:t>
      </w:r>
      <w:r>
        <w:rPr>
          <w:rFonts w:hint="eastAsia"/>
          <w:color w:val="000000"/>
          <w:szCs w:val="21"/>
        </w:rPr>
        <w:t xml:space="preserve"> </w:t>
      </w:r>
      <w:r>
        <w:rPr>
          <w:color w:val="000000"/>
          <w:szCs w:val="21"/>
        </w:rPr>
        <w:t>平开门的门扇外侧和里侧均应设置扶手，距地面高度应为</w:t>
      </w:r>
      <w:r>
        <w:rPr>
          <w:rFonts w:hint="eastAsia"/>
          <w:color w:val="000000"/>
          <w:szCs w:val="21"/>
        </w:rPr>
        <w:t xml:space="preserve"> </w:t>
      </w:r>
      <w:r>
        <w:rPr>
          <w:color w:val="000000"/>
          <w:szCs w:val="21"/>
        </w:rPr>
        <w:t>0.85 m~1.00 m。</w:t>
      </w:r>
    </w:p>
    <w:p w14:paraId="19D0E978">
      <w:pPr>
        <w:spacing w:line="400" w:lineRule="exact"/>
        <w:rPr>
          <w:color w:val="000000"/>
          <w:szCs w:val="21"/>
        </w:rPr>
      </w:pPr>
      <w:r>
        <w:rPr>
          <w:rFonts w:hint="eastAsia"/>
          <w:b/>
          <w:bCs/>
          <w:color w:val="000000"/>
        </w:rPr>
        <w:t>7.14.4</w:t>
      </w:r>
      <w:r>
        <w:rPr>
          <w:rFonts w:hint="eastAsia"/>
          <w:color w:val="000000"/>
          <w:szCs w:val="21"/>
        </w:rPr>
        <w:t xml:space="preserve">  无障碍通道应设置扶手，</w:t>
      </w:r>
      <w:r>
        <w:rPr>
          <w:color w:val="000000"/>
          <w:szCs w:val="21"/>
        </w:rPr>
        <w:t>扶手应安装坚固，形状易于抓握</w:t>
      </w:r>
      <w:r>
        <w:rPr>
          <w:rFonts w:hint="eastAsia"/>
          <w:color w:val="000000"/>
          <w:szCs w:val="21"/>
        </w:rPr>
        <w:t>，且应符合下列规定：</w:t>
      </w:r>
    </w:p>
    <w:p w14:paraId="59F2867B">
      <w:pPr>
        <w:spacing w:line="400" w:lineRule="exact"/>
        <w:ind w:firstLine="422" w:firstLineChars="200"/>
        <w:rPr>
          <w:color w:val="000000"/>
          <w:szCs w:val="21"/>
        </w:rPr>
      </w:pPr>
      <w:r>
        <w:rPr>
          <w:rFonts w:hint="eastAsia"/>
          <w:b/>
          <w:bCs/>
          <w:color w:val="000000"/>
        </w:rPr>
        <w:t xml:space="preserve">1 </w:t>
      </w:r>
      <w:r>
        <w:rPr>
          <w:rFonts w:hint="eastAsia"/>
          <w:color w:val="000000"/>
          <w:szCs w:val="21"/>
        </w:rPr>
        <w:t xml:space="preserve"> </w:t>
      </w:r>
      <w:r>
        <w:rPr>
          <w:color w:val="000000"/>
          <w:szCs w:val="21"/>
        </w:rPr>
        <w:t>轮椅坡道的高度大于300 mm且纵向坡度大于1：20时，应在两侧设置扶手，坡道与休息平台的扶手应保持连贯</w:t>
      </w:r>
      <w:r>
        <w:rPr>
          <w:rFonts w:hint="eastAsia"/>
          <w:color w:val="000000"/>
          <w:szCs w:val="21"/>
        </w:rPr>
        <w:t>；</w:t>
      </w:r>
    </w:p>
    <w:p w14:paraId="203CA858">
      <w:pPr>
        <w:spacing w:line="400" w:lineRule="exact"/>
        <w:ind w:firstLine="422" w:firstLineChars="200"/>
        <w:rPr>
          <w:color w:val="000000"/>
          <w:szCs w:val="21"/>
        </w:rPr>
      </w:pPr>
      <w:r>
        <w:rPr>
          <w:rFonts w:hint="eastAsia"/>
          <w:b/>
          <w:bCs/>
          <w:color w:val="000000"/>
        </w:rPr>
        <w:t xml:space="preserve">2 </w:t>
      </w:r>
      <w:r>
        <w:rPr>
          <w:rFonts w:hint="eastAsia"/>
          <w:color w:val="000000"/>
          <w:szCs w:val="21"/>
        </w:rPr>
        <w:t xml:space="preserve"> </w:t>
      </w:r>
      <w:r>
        <w:rPr>
          <w:color w:val="000000"/>
          <w:szCs w:val="21"/>
        </w:rPr>
        <w:t>无障碍扶手内侧与墙面的距离不小于40 mm</w:t>
      </w:r>
      <w:r>
        <w:rPr>
          <w:rFonts w:hint="eastAsia"/>
          <w:color w:val="000000"/>
          <w:szCs w:val="21"/>
        </w:rPr>
        <w:t>；</w:t>
      </w:r>
      <w:r>
        <w:rPr>
          <w:color w:val="000000"/>
          <w:szCs w:val="21"/>
        </w:rPr>
        <w:t xml:space="preserve"> </w:t>
      </w:r>
    </w:p>
    <w:p w14:paraId="5A1BEFD5">
      <w:pPr>
        <w:spacing w:line="400" w:lineRule="exact"/>
        <w:ind w:firstLine="422" w:firstLineChars="200"/>
        <w:rPr>
          <w:color w:val="000000"/>
          <w:szCs w:val="21"/>
        </w:rPr>
      </w:pPr>
      <w:r>
        <w:rPr>
          <w:rFonts w:hint="eastAsia"/>
          <w:b/>
          <w:bCs/>
          <w:color w:val="000000"/>
        </w:rPr>
        <w:t>3</w:t>
      </w:r>
      <w:r>
        <w:rPr>
          <w:rFonts w:hint="eastAsia"/>
          <w:color w:val="000000"/>
          <w:szCs w:val="21"/>
        </w:rPr>
        <w:t xml:space="preserve">  </w:t>
      </w:r>
      <w:r>
        <w:rPr>
          <w:color w:val="000000"/>
          <w:szCs w:val="21"/>
        </w:rPr>
        <w:t>无障碍单层扶手的高度应为</w:t>
      </w:r>
      <w:r>
        <w:rPr>
          <w:rFonts w:hint="eastAsia"/>
          <w:color w:val="000000"/>
          <w:szCs w:val="21"/>
        </w:rPr>
        <w:t xml:space="preserve"> </w:t>
      </w:r>
      <w:r>
        <w:rPr>
          <w:color w:val="000000"/>
          <w:szCs w:val="21"/>
        </w:rPr>
        <w:t>850 mm～900 mm；无障碍双层扶手的上层扶手高度应为</w:t>
      </w:r>
      <w:r>
        <w:rPr>
          <w:rFonts w:hint="eastAsia"/>
          <w:color w:val="000000"/>
          <w:szCs w:val="21"/>
        </w:rPr>
        <w:t xml:space="preserve"> </w:t>
      </w:r>
      <w:r>
        <w:rPr>
          <w:color w:val="000000"/>
          <w:szCs w:val="21"/>
        </w:rPr>
        <w:t>850 mm～900 mm，下层扶手高度应为</w:t>
      </w:r>
      <w:r>
        <w:rPr>
          <w:rFonts w:hint="eastAsia"/>
          <w:color w:val="000000"/>
          <w:szCs w:val="21"/>
        </w:rPr>
        <w:t xml:space="preserve"> </w:t>
      </w:r>
      <w:r>
        <w:rPr>
          <w:color w:val="000000"/>
          <w:szCs w:val="21"/>
        </w:rPr>
        <w:t>650 mm～700 mm</w:t>
      </w:r>
      <w:r>
        <w:rPr>
          <w:rFonts w:hint="eastAsia"/>
          <w:color w:val="000000"/>
          <w:szCs w:val="21"/>
        </w:rPr>
        <w:t>；</w:t>
      </w:r>
      <w:r>
        <w:rPr>
          <w:color w:val="000000"/>
          <w:szCs w:val="21"/>
        </w:rPr>
        <w:t xml:space="preserve"> </w:t>
      </w:r>
    </w:p>
    <w:p w14:paraId="628BE7CD">
      <w:pPr>
        <w:spacing w:line="400" w:lineRule="exact"/>
        <w:ind w:firstLine="422" w:firstLineChars="200"/>
        <w:rPr>
          <w:color w:val="000000"/>
          <w:szCs w:val="21"/>
        </w:rPr>
      </w:pPr>
      <w:r>
        <w:rPr>
          <w:rFonts w:hint="eastAsia"/>
          <w:b/>
          <w:bCs/>
          <w:color w:val="000000"/>
        </w:rPr>
        <w:t xml:space="preserve">4 </w:t>
      </w:r>
      <w:r>
        <w:rPr>
          <w:rFonts w:hint="eastAsia"/>
          <w:color w:val="000000"/>
          <w:szCs w:val="21"/>
        </w:rPr>
        <w:t xml:space="preserve"> </w:t>
      </w:r>
      <w:r>
        <w:rPr>
          <w:color w:val="000000"/>
          <w:szCs w:val="21"/>
        </w:rPr>
        <w:t>靠墙面的无障碍扶手的起点和终点处应水平延伸不小于300 mm的长度</w:t>
      </w:r>
      <w:r>
        <w:rPr>
          <w:rFonts w:hint="eastAsia"/>
          <w:color w:val="000000"/>
          <w:szCs w:val="21"/>
        </w:rPr>
        <w:t>，</w:t>
      </w:r>
      <w:r>
        <w:rPr>
          <w:color w:val="000000"/>
          <w:szCs w:val="21"/>
        </w:rPr>
        <w:t>扶手末端应向内拐到墙面或向下延伸不小于</w:t>
      </w:r>
      <w:r>
        <w:rPr>
          <w:rFonts w:hint="eastAsia"/>
          <w:color w:val="000000"/>
          <w:szCs w:val="21"/>
        </w:rPr>
        <w:t xml:space="preserve"> </w:t>
      </w:r>
      <w:r>
        <w:rPr>
          <w:color w:val="000000"/>
          <w:szCs w:val="21"/>
        </w:rPr>
        <w:t>100 mm。</w:t>
      </w:r>
    </w:p>
    <w:p w14:paraId="4D2F5947">
      <w:pPr>
        <w:spacing w:line="400" w:lineRule="exact"/>
        <w:rPr>
          <w:color w:val="000000"/>
          <w:szCs w:val="21"/>
        </w:rPr>
      </w:pPr>
      <w:r>
        <w:rPr>
          <w:rFonts w:hint="eastAsia"/>
          <w:b/>
          <w:bCs/>
          <w:color w:val="000000"/>
        </w:rPr>
        <w:t xml:space="preserve">7.14.5 </w:t>
      </w:r>
      <w:r>
        <w:rPr>
          <w:rFonts w:hint="eastAsia"/>
          <w:color w:val="000000"/>
          <w:szCs w:val="21"/>
        </w:rPr>
        <w:t xml:space="preserve"> </w:t>
      </w:r>
      <w:r>
        <w:rPr>
          <w:color w:val="000000"/>
          <w:szCs w:val="21"/>
        </w:rPr>
        <w:t>视觉障碍者主要使用的楼梯和台阶，距踏步起点、终点</w:t>
      </w:r>
      <w:r>
        <w:rPr>
          <w:rFonts w:hint="eastAsia"/>
          <w:color w:val="000000"/>
          <w:szCs w:val="21"/>
        </w:rPr>
        <w:t xml:space="preserve"> </w:t>
      </w:r>
      <w:r>
        <w:rPr>
          <w:color w:val="000000"/>
          <w:szCs w:val="21"/>
        </w:rPr>
        <w:t>250 mm~300 mm处应设置盲道，盲道长度与梯段宽度相对应</w:t>
      </w:r>
      <w:r>
        <w:rPr>
          <w:rFonts w:hint="eastAsia"/>
          <w:color w:val="000000"/>
          <w:szCs w:val="21"/>
        </w:rPr>
        <w:t>，且应符合下列规定：</w:t>
      </w:r>
    </w:p>
    <w:p w14:paraId="027ABF7B">
      <w:pPr>
        <w:spacing w:line="400" w:lineRule="exact"/>
        <w:ind w:firstLine="422" w:firstLineChars="200"/>
        <w:rPr>
          <w:color w:val="000000"/>
          <w:szCs w:val="21"/>
        </w:rPr>
      </w:pPr>
      <w:r>
        <w:rPr>
          <w:rFonts w:hint="eastAsia"/>
          <w:b/>
          <w:bCs/>
          <w:color w:val="000000"/>
        </w:rPr>
        <w:t xml:space="preserve">1 </w:t>
      </w:r>
      <w:r>
        <w:rPr>
          <w:rFonts w:hint="eastAsia"/>
          <w:color w:val="000000"/>
          <w:szCs w:val="21"/>
        </w:rPr>
        <w:t xml:space="preserve"> </w:t>
      </w:r>
      <w:r>
        <w:rPr>
          <w:color w:val="000000"/>
          <w:szCs w:val="21"/>
        </w:rPr>
        <w:t>上行和下行第一阶踏步应在颜色或材质上与平台有明显区别。防滑条、警示条等附着物不应突出踏面</w:t>
      </w:r>
      <w:r>
        <w:rPr>
          <w:rFonts w:hint="eastAsia"/>
          <w:color w:val="000000"/>
          <w:szCs w:val="21"/>
        </w:rPr>
        <w:t>；</w:t>
      </w:r>
    </w:p>
    <w:p w14:paraId="7AAAD52A">
      <w:pPr>
        <w:spacing w:line="400" w:lineRule="exact"/>
        <w:ind w:firstLine="422" w:firstLineChars="200"/>
        <w:rPr>
          <w:color w:val="000000"/>
          <w:szCs w:val="21"/>
        </w:rPr>
      </w:pPr>
      <w:r>
        <w:rPr>
          <w:rFonts w:hint="eastAsia"/>
          <w:b/>
          <w:bCs/>
          <w:color w:val="000000"/>
        </w:rPr>
        <w:t>2</w:t>
      </w:r>
      <w:r>
        <w:rPr>
          <w:rFonts w:hint="eastAsia"/>
          <w:color w:val="000000"/>
          <w:szCs w:val="21"/>
        </w:rPr>
        <w:t xml:space="preserve">  </w:t>
      </w:r>
      <w:r>
        <w:rPr>
          <w:color w:val="000000"/>
          <w:szCs w:val="21"/>
        </w:rPr>
        <w:t>行动、视觉障碍者主要使用的三级及三级以上台阶或楼梯应在两侧设置扶手。</w:t>
      </w:r>
    </w:p>
    <w:p w14:paraId="1250116C">
      <w:pPr>
        <w:spacing w:line="400" w:lineRule="exact"/>
        <w:rPr>
          <w:color w:val="000000"/>
          <w:szCs w:val="21"/>
        </w:rPr>
      </w:pPr>
      <w:r>
        <w:rPr>
          <w:rFonts w:hint="eastAsia"/>
          <w:b/>
          <w:bCs/>
          <w:color w:val="000000"/>
        </w:rPr>
        <w:t xml:space="preserve">7.14.6 </w:t>
      </w:r>
      <w:r>
        <w:rPr>
          <w:rFonts w:hint="eastAsia"/>
          <w:color w:val="000000"/>
          <w:szCs w:val="21"/>
        </w:rPr>
        <w:t xml:space="preserve"> </w:t>
      </w:r>
      <w:r>
        <w:rPr>
          <w:color w:val="000000"/>
          <w:szCs w:val="21"/>
        </w:rPr>
        <w:t>男、女公共厕所无障碍设施</w:t>
      </w:r>
      <w:r>
        <w:rPr>
          <w:rFonts w:hint="eastAsia"/>
          <w:color w:val="000000"/>
          <w:szCs w:val="21"/>
        </w:rPr>
        <w:t>应</w:t>
      </w:r>
      <w:r>
        <w:rPr>
          <w:color w:val="000000"/>
          <w:szCs w:val="21"/>
        </w:rPr>
        <w:t>包括至少1个无障碍厕位和1个无障碍洗手盆，男厕所还应至少包括1个无障碍小便器</w:t>
      </w:r>
      <w:r>
        <w:rPr>
          <w:rFonts w:hint="eastAsia"/>
          <w:color w:val="000000"/>
          <w:szCs w:val="21"/>
        </w:rPr>
        <w:t>，且应符合下列规定：</w:t>
      </w:r>
    </w:p>
    <w:p w14:paraId="58397EBC">
      <w:pPr>
        <w:spacing w:line="400" w:lineRule="exact"/>
        <w:ind w:firstLine="422" w:firstLineChars="200"/>
        <w:rPr>
          <w:color w:val="000000"/>
          <w:szCs w:val="21"/>
        </w:rPr>
      </w:pPr>
      <w:r>
        <w:rPr>
          <w:rFonts w:hint="eastAsia"/>
          <w:b/>
          <w:bCs/>
          <w:color w:val="000000"/>
        </w:rPr>
        <w:t xml:space="preserve">1 </w:t>
      </w:r>
      <w:r>
        <w:rPr>
          <w:rFonts w:hint="eastAsia"/>
          <w:color w:val="000000"/>
          <w:szCs w:val="21"/>
        </w:rPr>
        <w:t xml:space="preserve"> </w:t>
      </w:r>
      <w:r>
        <w:rPr>
          <w:color w:val="000000"/>
          <w:szCs w:val="21"/>
        </w:rPr>
        <w:t>无障碍卫生间内部应设坐便器、洗手盆、多功能台、挂衣钩、呼叫按钮</w:t>
      </w:r>
      <w:r>
        <w:rPr>
          <w:rFonts w:hint="eastAsia"/>
          <w:color w:val="000000"/>
          <w:szCs w:val="21"/>
        </w:rPr>
        <w:t>；</w:t>
      </w:r>
    </w:p>
    <w:p w14:paraId="136B304C">
      <w:pPr>
        <w:spacing w:line="400" w:lineRule="exact"/>
        <w:ind w:firstLine="422" w:firstLineChars="200"/>
        <w:rPr>
          <w:color w:val="000000"/>
          <w:szCs w:val="21"/>
        </w:rPr>
      </w:pPr>
      <w:r>
        <w:rPr>
          <w:rFonts w:hint="eastAsia"/>
          <w:b/>
          <w:bCs/>
          <w:color w:val="000000"/>
        </w:rPr>
        <w:t xml:space="preserve">2 </w:t>
      </w:r>
      <w:r>
        <w:rPr>
          <w:rFonts w:hint="eastAsia"/>
          <w:color w:val="000000"/>
          <w:szCs w:val="21"/>
        </w:rPr>
        <w:t xml:space="preserve"> </w:t>
      </w:r>
      <w:r>
        <w:rPr>
          <w:color w:val="000000"/>
          <w:szCs w:val="21"/>
        </w:rPr>
        <w:t>无障碍厕位、无障碍卫生间应设置无障碍标志，标志应醒目，避免遮挡</w:t>
      </w:r>
      <w:r>
        <w:rPr>
          <w:rFonts w:hint="eastAsia"/>
          <w:color w:val="000000"/>
          <w:szCs w:val="21"/>
        </w:rPr>
        <w:t>；</w:t>
      </w:r>
    </w:p>
    <w:p w14:paraId="14D19D92">
      <w:pPr>
        <w:spacing w:line="400" w:lineRule="exact"/>
        <w:ind w:firstLine="422" w:firstLineChars="200"/>
        <w:rPr>
          <w:color w:val="000000"/>
          <w:szCs w:val="21"/>
        </w:rPr>
      </w:pPr>
      <w:r>
        <w:rPr>
          <w:rFonts w:hint="eastAsia"/>
          <w:b/>
          <w:bCs/>
          <w:color w:val="000000"/>
        </w:rPr>
        <w:t>3</w:t>
      </w:r>
      <w:r>
        <w:rPr>
          <w:rFonts w:hint="eastAsia"/>
          <w:color w:val="000000"/>
          <w:szCs w:val="21"/>
        </w:rPr>
        <w:t xml:space="preserve">  </w:t>
      </w:r>
      <w:r>
        <w:rPr>
          <w:color w:val="000000"/>
          <w:szCs w:val="21"/>
        </w:rPr>
        <w:t>求助按钮宜按高、低位分别设置，高位按钮底部距底</w:t>
      </w:r>
      <w:r>
        <w:rPr>
          <w:rFonts w:hint="eastAsia"/>
          <w:color w:val="000000"/>
          <w:szCs w:val="21"/>
        </w:rPr>
        <w:t xml:space="preserve"> </w:t>
      </w:r>
      <w:r>
        <w:rPr>
          <w:color w:val="000000"/>
          <w:szCs w:val="21"/>
        </w:rPr>
        <w:t>0.8 m~1.0 m，低位按钮底边距地</w:t>
      </w:r>
      <w:r>
        <w:rPr>
          <w:rFonts w:hint="eastAsia"/>
          <w:color w:val="000000"/>
          <w:szCs w:val="21"/>
        </w:rPr>
        <w:t xml:space="preserve"> </w:t>
      </w:r>
      <w:r>
        <w:rPr>
          <w:color w:val="000000"/>
          <w:szCs w:val="21"/>
        </w:rPr>
        <w:t>0.4 m~0.5 m</w:t>
      </w:r>
      <w:r>
        <w:rPr>
          <w:rFonts w:hint="eastAsia"/>
          <w:color w:val="000000"/>
          <w:szCs w:val="21"/>
        </w:rPr>
        <w:t>；</w:t>
      </w:r>
    </w:p>
    <w:p w14:paraId="56B3068F">
      <w:pPr>
        <w:spacing w:line="400" w:lineRule="exact"/>
        <w:ind w:firstLine="422" w:firstLineChars="200"/>
        <w:rPr>
          <w:color w:val="000000"/>
          <w:szCs w:val="21"/>
        </w:rPr>
      </w:pPr>
      <w:r>
        <w:rPr>
          <w:rFonts w:hint="eastAsia"/>
          <w:b/>
          <w:bCs/>
          <w:color w:val="000000"/>
        </w:rPr>
        <w:t xml:space="preserve">4 </w:t>
      </w:r>
      <w:r>
        <w:rPr>
          <w:rFonts w:hint="eastAsia"/>
          <w:color w:val="000000"/>
          <w:szCs w:val="21"/>
        </w:rPr>
        <w:t xml:space="preserve"> </w:t>
      </w:r>
      <w:r>
        <w:rPr>
          <w:color w:val="000000"/>
          <w:szCs w:val="21"/>
        </w:rPr>
        <w:t>公共卫生间在门扇内外应留有不小于</w:t>
      </w:r>
      <w:r>
        <w:rPr>
          <w:rFonts w:hint="eastAsia"/>
          <w:color w:val="000000"/>
          <w:szCs w:val="21"/>
        </w:rPr>
        <w:t xml:space="preserve"> </w:t>
      </w:r>
      <w:r>
        <w:rPr>
          <w:color w:val="000000"/>
          <w:szCs w:val="21"/>
        </w:rPr>
        <w:t>1.5 m的轮椅回转空间；</w:t>
      </w:r>
    </w:p>
    <w:p w14:paraId="1F6D08D6">
      <w:pPr>
        <w:spacing w:line="400" w:lineRule="exact"/>
        <w:ind w:firstLine="422" w:firstLineChars="200"/>
        <w:rPr>
          <w:color w:val="000000"/>
        </w:rPr>
      </w:pPr>
      <w:r>
        <w:rPr>
          <w:rFonts w:hint="eastAsia"/>
          <w:b/>
          <w:bCs/>
          <w:color w:val="000000"/>
        </w:rPr>
        <w:t xml:space="preserve">5 </w:t>
      </w:r>
      <w:r>
        <w:rPr>
          <w:rFonts w:hint="eastAsia"/>
          <w:color w:val="000000"/>
          <w:szCs w:val="21"/>
        </w:rPr>
        <w:t xml:space="preserve"> </w:t>
      </w:r>
      <w:r>
        <w:rPr>
          <w:color w:val="000000"/>
          <w:szCs w:val="21"/>
        </w:rPr>
        <w:t>无障碍厕位尺寸不应小</w:t>
      </w:r>
      <w:r>
        <w:rPr>
          <w:color w:val="000000"/>
        </w:rPr>
        <w:t>于</w:t>
      </w:r>
      <w:r>
        <w:rPr>
          <w:rFonts w:hint="eastAsia"/>
          <w:color w:val="000000"/>
        </w:rPr>
        <w:t xml:space="preserve"> </w:t>
      </w:r>
      <w:r>
        <w:rPr>
          <w:color w:val="000000"/>
        </w:rPr>
        <w:t>1.8 m × 1.5 m。</w:t>
      </w:r>
    </w:p>
    <w:p w14:paraId="63B64746">
      <w:pPr>
        <w:spacing w:line="400" w:lineRule="exact"/>
        <w:rPr>
          <w:color w:val="000000"/>
        </w:rPr>
      </w:pPr>
      <w:r>
        <w:rPr>
          <w:rFonts w:hint="eastAsia"/>
          <w:b/>
          <w:bCs/>
          <w:color w:val="000000"/>
        </w:rPr>
        <w:t xml:space="preserve">7.14.7 </w:t>
      </w:r>
      <w:r>
        <w:rPr>
          <w:rFonts w:hint="eastAsia"/>
          <w:color w:val="000000"/>
          <w:szCs w:val="21"/>
        </w:rPr>
        <w:t xml:space="preserve"> </w:t>
      </w:r>
      <w:r>
        <w:rPr>
          <w:rFonts w:hint="eastAsia"/>
          <w:color w:val="000000"/>
        </w:rPr>
        <w:t>无障碍</w:t>
      </w:r>
      <w:r>
        <w:rPr>
          <w:color w:val="000000"/>
        </w:rPr>
        <w:t>厕浴间</w:t>
      </w:r>
      <w:r>
        <w:rPr>
          <w:rFonts w:hint="eastAsia"/>
          <w:color w:val="000000"/>
        </w:rPr>
        <w:t>应设置安全抓杆，</w:t>
      </w:r>
      <w:r>
        <w:rPr>
          <w:color w:val="000000"/>
        </w:rPr>
        <w:t>安全抓杆应安装牢固，内侧距墙不应小于40 mm</w:t>
      </w:r>
      <w:r>
        <w:rPr>
          <w:rFonts w:hint="eastAsia"/>
          <w:color w:val="000000"/>
        </w:rPr>
        <w:t>，并应符合下列规定：</w:t>
      </w:r>
    </w:p>
    <w:p w14:paraId="108FF5CA">
      <w:pPr>
        <w:spacing w:line="400" w:lineRule="exact"/>
        <w:ind w:firstLine="422" w:firstLineChars="200"/>
        <w:rPr>
          <w:color w:val="000000"/>
        </w:rPr>
      </w:pPr>
      <w:r>
        <w:rPr>
          <w:rFonts w:hint="eastAsia"/>
          <w:b/>
          <w:bCs/>
          <w:color w:val="000000"/>
        </w:rPr>
        <w:t xml:space="preserve">1 </w:t>
      </w:r>
      <w:r>
        <w:rPr>
          <w:rFonts w:hint="eastAsia"/>
          <w:color w:val="000000"/>
        </w:rPr>
        <w:t xml:space="preserve"> </w:t>
      </w:r>
      <w:r>
        <w:rPr>
          <w:color w:val="000000"/>
        </w:rPr>
        <w:t>一侧设置的水平安全抓杆、另一侧设置L形抓杆，</w:t>
      </w:r>
      <w:r>
        <w:rPr>
          <w:rFonts w:hint="eastAsia"/>
          <w:color w:val="000000"/>
        </w:rPr>
        <w:t>抓杆设置位置、高度和长度应符合设计要求；</w:t>
      </w:r>
    </w:p>
    <w:p w14:paraId="03BDFF0E">
      <w:pPr>
        <w:spacing w:line="400" w:lineRule="exact"/>
        <w:ind w:firstLine="422" w:firstLineChars="200"/>
        <w:rPr>
          <w:color w:val="000000"/>
        </w:rPr>
      </w:pPr>
      <w:r>
        <w:rPr>
          <w:rFonts w:hint="eastAsia"/>
          <w:b/>
          <w:bCs/>
          <w:color w:val="000000"/>
        </w:rPr>
        <w:t xml:space="preserve">2 </w:t>
      </w:r>
      <w:r>
        <w:rPr>
          <w:rFonts w:hint="eastAsia"/>
          <w:color w:val="000000"/>
        </w:rPr>
        <w:t xml:space="preserve"> </w:t>
      </w:r>
      <w:r>
        <w:rPr>
          <w:color w:val="000000"/>
        </w:rPr>
        <w:t>小便器两侧应在离墙面250 mm处，设高度为1.2 m的垂直安全抓杆，并在离墙面550 mm处设高度为900 mm水平安全抓杆，与垂直安全抓杆连接。</w:t>
      </w:r>
    </w:p>
    <w:p w14:paraId="759364A2">
      <w:pPr>
        <w:spacing w:line="400" w:lineRule="exact"/>
        <w:rPr>
          <w:color w:val="000000"/>
        </w:rPr>
      </w:pPr>
      <w:r>
        <w:rPr>
          <w:rFonts w:hint="eastAsia"/>
          <w:b/>
          <w:bCs/>
          <w:color w:val="000000"/>
        </w:rPr>
        <w:t xml:space="preserve">7.14.8 </w:t>
      </w:r>
      <w:r>
        <w:rPr>
          <w:rFonts w:hint="eastAsia"/>
          <w:color w:val="000000"/>
        </w:rPr>
        <w:t xml:space="preserve"> </w:t>
      </w:r>
      <w:r>
        <w:rPr>
          <w:color w:val="000000"/>
        </w:rPr>
        <w:t>台盆距地面高度</w:t>
      </w:r>
      <w:r>
        <w:rPr>
          <w:rFonts w:hint="eastAsia"/>
          <w:color w:val="000000"/>
        </w:rPr>
        <w:t>应</w:t>
      </w:r>
      <w:r>
        <w:rPr>
          <w:rFonts w:hint="eastAsia" w:ascii="宋体" w:hAnsi="宋体" w:cs="宋体"/>
          <w:color w:val="000000"/>
        </w:rPr>
        <w:t>大于</w:t>
      </w:r>
      <w:r>
        <w:rPr>
          <w:color w:val="000000"/>
        </w:rPr>
        <w:t>800 mm，水嘴中心距侧墙应</w:t>
      </w:r>
      <w:r>
        <w:rPr>
          <w:rFonts w:hint="eastAsia" w:ascii="宋体" w:hAnsi="宋体" w:cs="宋体"/>
          <w:color w:val="000000"/>
        </w:rPr>
        <w:t>不小于</w:t>
      </w:r>
      <w:r>
        <w:rPr>
          <w:color w:val="000000"/>
        </w:rPr>
        <w:t>550 mm，底部地面高度250 mm范围内进深</w:t>
      </w:r>
      <w:r>
        <w:rPr>
          <w:rFonts w:hint="eastAsia"/>
          <w:color w:val="000000"/>
        </w:rPr>
        <w:t>应</w:t>
      </w:r>
      <w:r>
        <w:rPr>
          <w:rFonts w:hint="eastAsia" w:ascii="宋体" w:hAnsi="宋体" w:cs="宋体"/>
          <w:color w:val="000000"/>
        </w:rPr>
        <w:t xml:space="preserve">不小于 </w:t>
      </w:r>
      <w:r>
        <w:rPr>
          <w:color w:val="000000"/>
        </w:rPr>
        <w:t>450 mm</w:t>
      </w:r>
      <w:r>
        <w:rPr>
          <w:rFonts w:hint="eastAsia"/>
          <w:color w:val="000000"/>
        </w:rPr>
        <w:t>，</w:t>
      </w:r>
      <w:r>
        <w:rPr>
          <w:color w:val="000000"/>
        </w:rPr>
        <w:t>其他部分进深</w:t>
      </w:r>
      <w:r>
        <w:rPr>
          <w:rFonts w:hint="eastAsia"/>
          <w:color w:val="000000"/>
        </w:rPr>
        <w:t>应</w:t>
      </w:r>
      <w:r>
        <w:rPr>
          <w:rFonts w:hint="eastAsia" w:ascii="宋体" w:hAnsi="宋体" w:cs="宋体"/>
          <w:color w:val="000000"/>
        </w:rPr>
        <w:t xml:space="preserve">不小于 </w:t>
      </w:r>
      <w:r>
        <w:rPr>
          <w:color w:val="000000"/>
        </w:rPr>
        <w:t>250 mm</w:t>
      </w:r>
      <w:r>
        <w:rPr>
          <w:rFonts w:hint="eastAsia"/>
          <w:color w:val="000000"/>
        </w:rPr>
        <w:t>。</w:t>
      </w:r>
    </w:p>
    <w:p w14:paraId="33D431AF">
      <w:pPr>
        <w:spacing w:line="400" w:lineRule="exact"/>
        <w:rPr>
          <w:color w:val="000000"/>
        </w:rPr>
      </w:pPr>
      <w:r>
        <w:rPr>
          <w:rFonts w:hint="eastAsia"/>
          <w:b/>
          <w:bCs/>
          <w:color w:val="000000"/>
        </w:rPr>
        <w:t>7.</w:t>
      </w:r>
      <w:r>
        <w:rPr>
          <w:rFonts w:hint="eastAsia"/>
          <w:color w:val="000000"/>
        </w:rPr>
        <w:t>14</w:t>
      </w:r>
      <w:r>
        <w:rPr>
          <w:rFonts w:hint="eastAsia"/>
          <w:b/>
          <w:bCs/>
          <w:color w:val="000000"/>
        </w:rPr>
        <w:t>.9</w:t>
      </w:r>
      <w:r>
        <w:rPr>
          <w:rFonts w:hint="eastAsia"/>
          <w:color w:val="000000"/>
        </w:rPr>
        <w:t xml:space="preserve">  </w:t>
      </w:r>
      <w:r>
        <w:rPr>
          <w:color w:val="000000"/>
        </w:rPr>
        <w:t>新建和扩建</w:t>
      </w:r>
      <w:r>
        <w:rPr>
          <w:rFonts w:hint="eastAsia"/>
          <w:color w:val="000000"/>
        </w:rPr>
        <w:t>的</w:t>
      </w:r>
      <w:r>
        <w:rPr>
          <w:color w:val="000000"/>
        </w:rPr>
        <w:t>居住建筑的</w:t>
      </w:r>
      <w:r>
        <w:rPr>
          <w:rFonts w:hint="eastAsia"/>
          <w:color w:val="000000"/>
        </w:rPr>
        <w:t>无障碍</w:t>
      </w:r>
      <w:r>
        <w:rPr>
          <w:color w:val="000000"/>
        </w:rPr>
        <w:t>电梯门开启后通行净宽</w:t>
      </w:r>
      <w:r>
        <w:rPr>
          <w:rFonts w:hint="eastAsia"/>
          <w:color w:val="000000"/>
        </w:rPr>
        <w:t xml:space="preserve">不小于 </w:t>
      </w:r>
      <w:r>
        <w:rPr>
          <w:color w:val="000000"/>
        </w:rPr>
        <w:t>900 mm，既有建筑改造或改建的电梯门开启的净宽度不应小于</w:t>
      </w:r>
      <w:r>
        <w:rPr>
          <w:rFonts w:hint="eastAsia"/>
          <w:color w:val="000000"/>
        </w:rPr>
        <w:t xml:space="preserve"> </w:t>
      </w:r>
      <w:r>
        <w:rPr>
          <w:color w:val="000000"/>
        </w:rPr>
        <w:t>0.8 m</w:t>
      </w:r>
      <w:r>
        <w:rPr>
          <w:rFonts w:hint="eastAsia"/>
          <w:color w:val="000000"/>
        </w:rPr>
        <w:t>；</w:t>
      </w:r>
    </w:p>
    <w:p w14:paraId="5BC2BA8C">
      <w:pPr>
        <w:spacing w:line="400" w:lineRule="exact"/>
        <w:rPr>
          <w:color w:val="000000"/>
        </w:rPr>
      </w:pPr>
      <w:r>
        <w:rPr>
          <w:rFonts w:hint="eastAsia"/>
          <w:b/>
          <w:bCs/>
          <w:color w:val="000000"/>
        </w:rPr>
        <w:t xml:space="preserve">7.14.10  </w:t>
      </w:r>
      <w:r>
        <w:rPr>
          <w:color w:val="000000"/>
        </w:rPr>
        <w:t>候梯厅呼叫按电钮高度</w:t>
      </w:r>
      <w:r>
        <w:rPr>
          <w:rFonts w:hint="eastAsia"/>
          <w:color w:val="000000"/>
        </w:rPr>
        <w:t>应</w:t>
      </w:r>
      <w:r>
        <w:rPr>
          <w:color w:val="000000"/>
        </w:rPr>
        <w:t>为</w:t>
      </w:r>
      <w:r>
        <w:rPr>
          <w:rFonts w:hint="eastAsia"/>
          <w:color w:val="000000"/>
        </w:rPr>
        <w:t xml:space="preserve"> </w:t>
      </w:r>
      <w:r>
        <w:rPr>
          <w:color w:val="000000"/>
        </w:rPr>
        <w:t xml:space="preserve">0.85 </w:t>
      </w:r>
      <w:r>
        <w:rPr>
          <w:rFonts w:hint="eastAsia"/>
          <w:color w:val="000000"/>
        </w:rPr>
        <w:t>m</w:t>
      </w:r>
      <w:r>
        <w:rPr>
          <w:color w:val="000000"/>
        </w:rPr>
        <w:t>~1.1 m，且距内转角处侧墙距离不应小于400mm，按钮应设置盲文</w:t>
      </w:r>
      <w:r>
        <w:rPr>
          <w:rFonts w:hint="eastAsia"/>
          <w:color w:val="000000"/>
        </w:rPr>
        <w:t>，</w:t>
      </w:r>
      <w:r>
        <w:rPr>
          <w:color w:val="000000"/>
        </w:rPr>
        <w:t>应设置电梯运行显示装置和抵达音响。</w:t>
      </w:r>
    </w:p>
    <w:p w14:paraId="766EA44E">
      <w:pPr>
        <w:spacing w:line="400" w:lineRule="exact"/>
        <w:rPr>
          <w:color w:val="000000"/>
        </w:rPr>
      </w:pPr>
      <w:r>
        <w:rPr>
          <w:rFonts w:hint="eastAsia"/>
          <w:b/>
          <w:bCs/>
          <w:color w:val="000000"/>
        </w:rPr>
        <w:t>7.14.11</w:t>
      </w:r>
      <w:r>
        <w:rPr>
          <w:rFonts w:hint="eastAsia"/>
          <w:color w:val="000000"/>
        </w:rPr>
        <w:t xml:space="preserve">  </w:t>
      </w:r>
      <w:r>
        <w:rPr>
          <w:color w:val="000000"/>
        </w:rPr>
        <w:t>电梯轿厢的侧壁上应设高</w:t>
      </w:r>
      <w:r>
        <w:rPr>
          <w:rFonts w:hint="eastAsia"/>
          <w:color w:val="000000"/>
        </w:rPr>
        <w:t xml:space="preserve"> </w:t>
      </w:r>
      <w:r>
        <w:rPr>
          <w:color w:val="000000"/>
        </w:rPr>
        <w:t>0.9 m~1.1 m带盲文的选层按钮，盲文应设置于按钮旁。轿厢三面侧壁上应设高</w:t>
      </w:r>
      <w:r>
        <w:rPr>
          <w:rFonts w:hint="eastAsia"/>
          <w:color w:val="000000"/>
        </w:rPr>
        <w:t xml:space="preserve"> </w:t>
      </w:r>
      <w:r>
        <w:rPr>
          <w:color w:val="000000"/>
        </w:rPr>
        <w:t>0.85 m~0.9 m扶手。</w:t>
      </w:r>
    </w:p>
    <w:p w14:paraId="75B6A99E">
      <w:pPr>
        <w:spacing w:line="400" w:lineRule="exact"/>
        <w:rPr>
          <w:color w:val="000000"/>
        </w:rPr>
      </w:pPr>
      <w:r>
        <w:rPr>
          <w:rFonts w:hint="eastAsia"/>
          <w:b/>
          <w:bCs/>
          <w:color w:val="000000"/>
        </w:rPr>
        <w:t xml:space="preserve">7.14.12  </w:t>
      </w:r>
      <w:r>
        <w:rPr>
          <w:color w:val="000000"/>
        </w:rPr>
        <w:t>公共建筑</w:t>
      </w:r>
      <w:r>
        <w:rPr>
          <w:rFonts w:hint="eastAsia"/>
          <w:color w:val="000000"/>
        </w:rPr>
        <w:t>应设置无障碍停车位，其设置应符合下列规定：</w:t>
      </w:r>
    </w:p>
    <w:p w14:paraId="7AC69CE3">
      <w:pPr>
        <w:spacing w:line="400" w:lineRule="exact"/>
        <w:ind w:firstLine="422" w:firstLineChars="200"/>
        <w:rPr>
          <w:color w:val="000000"/>
        </w:rPr>
      </w:pPr>
      <w:r>
        <w:rPr>
          <w:rFonts w:hint="eastAsia"/>
          <w:b/>
          <w:bCs/>
          <w:color w:val="000000"/>
        </w:rPr>
        <w:t>1</w:t>
      </w:r>
      <w:r>
        <w:rPr>
          <w:rFonts w:hint="eastAsia"/>
          <w:color w:val="000000"/>
        </w:rPr>
        <w:t xml:space="preserve">  </w:t>
      </w:r>
      <w:r>
        <w:rPr>
          <w:color w:val="000000"/>
        </w:rPr>
        <w:t>总停车数在100辆</w:t>
      </w:r>
      <w:r>
        <w:rPr>
          <w:rFonts w:hint="eastAsia"/>
          <w:color w:val="000000"/>
        </w:rPr>
        <w:t>下列</w:t>
      </w:r>
      <w:r>
        <w:rPr>
          <w:color w:val="000000"/>
        </w:rPr>
        <w:t>时应设置不少于1个无障碍机动车停车位，100辆以上时应设置不少于总停车数1 %的无障碍机动车停车位</w:t>
      </w:r>
      <w:r>
        <w:rPr>
          <w:rFonts w:hint="eastAsia"/>
          <w:color w:val="000000"/>
        </w:rPr>
        <w:t>；</w:t>
      </w:r>
    </w:p>
    <w:p w14:paraId="0E47182C">
      <w:pPr>
        <w:spacing w:line="400" w:lineRule="exact"/>
        <w:ind w:firstLine="422" w:firstLineChars="200"/>
        <w:rPr>
          <w:color w:val="000000"/>
        </w:rPr>
      </w:pPr>
      <w:r>
        <w:rPr>
          <w:rFonts w:hint="eastAsia"/>
          <w:b/>
          <w:bCs/>
          <w:color w:val="000000"/>
        </w:rPr>
        <w:t>2</w:t>
      </w:r>
      <w:r>
        <w:rPr>
          <w:rFonts w:hint="eastAsia"/>
          <w:color w:val="000000"/>
        </w:rPr>
        <w:t xml:space="preserve">  </w:t>
      </w:r>
      <w:r>
        <w:rPr>
          <w:color w:val="000000"/>
        </w:rPr>
        <w:t>无障碍机动车停车位的一侧，应设宽度不小于1.2 m的通道，供乘轮椅者从轮椅通道直接进入人行道和到达无障碍出入口</w:t>
      </w:r>
      <w:r>
        <w:rPr>
          <w:rFonts w:hint="eastAsia"/>
          <w:color w:val="000000"/>
        </w:rPr>
        <w:t>；</w:t>
      </w:r>
    </w:p>
    <w:p w14:paraId="75B62CA1">
      <w:pPr>
        <w:spacing w:line="400" w:lineRule="exact"/>
        <w:ind w:firstLine="422" w:firstLineChars="200"/>
        <w:rPr>
          <w:color w:val="000000"/>
        </w:rPr>
      </w:pPr>
      <w:r>
        <w:rPr>
          <w:rFonts w:hint="eastAsia"/>
          <w:b/>
          <w:bCs/>
          <w:color w:val="000000"/>
        </w:rPr>
        <w:t>3</w:t>
      </w:r>
      <w:r>
        <w:rPr>
          <w:rFonts w:hint="eastAsia"/>
          <w:color w:val="000000"/>
        </w:rPr>
        <w:t xml:space="preserve">  </w:t>
      </w:r>
      <w:r>
        <w:rPr>
          <w:color w:val="000000"/>
        </w:rPr>
        <w:t>无障碍机动车停车位的地面应平整、防滑、不积水，地面坡度不应大于1:50。无障碍机动车停车位的地面应涂有停车线、轮椅通道线和无障碍标志。</w:t>
      </w:r>
    </w:p>
    <w:p w14:paraId="7264BF79">
      <w:pPr>
        <w:pStyle w:val="4"/>
        <w:numPr>
          <w:ilvl w:val="1"/>
          <w:numId w:val="0"/>
        </w:numPr>
        <w:spacing w:before="312" w:beforeLines="100" w:line="400" w:lineRule="exact"/>
        <w:jc w:val="center"/>
        <w:rPr>
          <w:rFonts w:ascii="Times New Roman" w:hAnsi="Times New Roman" w:eastAsia="黑体"/>
          <w:sz w:val="24"/>
          <w:szCs w:val="24"/>
          <w:lang w:val="en-US"/>
        </w:rPr>
      </w:pPr>
      <w:bookmarkStart w:id="411" w:name="_Toc25581"/>
      <w:bookmarkStart w:id="412" w:name="_Toc21586"/>
      <w:bookmarkStart w:id="413" w:name="_Toc1959"/>
      <w:bookmarkStart w:id="414" w:name="_Toc28574"/>
      <w:r>
        <w:rPr>
          <w:rFonts w:ascii="Times New Roman" w:hAnsi="Times New Roman" w:eastAsia="黑体"/>
          <w:b/>
          <w:bCs/>
          <w:sz w:val="24"/>
          <w:szCs w:val="24"/>
        </w:rPr>
        <w:t>7.1</w:t>
      </w:r>
      <w:r>
        <w:rPr>
          <w:rFonts w:hint="eastAsia" w:ascii="Times New Roman" w:hAnsi="Times New Roman" w:eastAsia="黑体"/>
          <w:b/>
          <w:bCs/>
          <w:sz w:val="24"/>
          <w:szCs w:val="24"/>
          <w:lang w:val="en-US"/>
        </w:rPr>
        <w:t>5</w:t>
      </w:r>
      <w:r>
        <w:rPr>
          <w:rFonts w:ascii="Times New Roman" w:hAnsi="Times New Roman" w:eastAsia="黑体"/>
          <w:sz w:val="24"/>
          <w:szCs w:val="24"/>
        </w:rPr>
        <w:t xml:space="preserve"> </w:t>
      </w:r>
      <w:r>
        <w:rPr>
          <w:rFonts w:ascii="Times New Roman" w:hAnsi="Times New Roman" w:eastAsia="黑体"/>
          <w:sz w:val="24"/>
          <w:szCs w:val="24"/>
          <w:lang w:val="en-US"/>
        </w:rPr>
        <w:t xml:space="preserve"> </w:t>
      </w:r>
      <w:r>
        <w:rPr>
          <w:rFonts w:hint="eastAsia" w:ascii="Times New Roman" w:hAnsi="Times New Roman" w:eastAsia="黑体"/>
          <w:sz w:val="24"/>
          <w:szCs w:val="24"/>
          <w:lang w:val="en-US"/>
        </w:rPr>
        <w:t>建筑防火</w:t>
      </w:r>
      <w:bookmarkEnd w:id="411"/>
      <w:bookmarkEnd w:id="412"/>
      <w:bookmarkEnd w:id="413"/>
      <w:bookmarkEnd w:id="414"/>
    </w:p>
    <w:p w14:paraId="6AA6CE3F">
      <w:pPr>
        <w:spacing w:line="400" w:lineRule="exact"/>
        <w:jc w:val="left"/>
        <w:rPr>
          <w:color w:val="000000"/>
        </w:rPr>
      </w:pPr>
      <w:r>
        <w:rPr>
          <w:rFonts w:hint="eastAsia"/>
          <w:b/>
          <w:bCs/>
          <w:color w:val="000000"/>
        </w:rPr>
        <w:t xml:space="preserve">7.15.1  </w:t>
      </w:r>
      <w:r>
        <w:rPr>
          <w:rFonts w:hint="eastAsia"/>
          <w:color w:val="000000"/>
        </w:rPr>
        <w:t xml:space="preserve">安全出口、疏散通道应符合下列规定： </w:t>
      </w:r>
    </w:p>
    <w:p w14:paraId="09433961">
      <w:pPr>
        <w:spacing w:line="400" w:lineRule="exact"/>
        <w:ind w:firstLine="422" w:firstLineChars="200"/>
        <w:rPr>
          <w:color w:val="000000"/>
        </w:rPr>
      </w:pPr>
      <w:r>
        <w:rPr>
          <w:b/>
          <w:bCs/>
          <w:color w:val="000000"/>
        </w:rPr>
        <w:t>1</w:t>
      </w:r>
      <w:r>
        <w:rPr>
          <w:rFonts w:hint="eastAsia"/>
          <w:color w:val="000000"/>
        </w:rPr>
        <w:t xml:space="preserve">  公共</w:t>
      </w:r>
      <w:r>
        <w:rPr>
          <w:color w:val="000000"/>
        </w:rPr>
        <w:t>建筑内每个防火分区或一个防火分区的每个楼层，其安全出口的数量应经计算确定，且不应少于2个</w:t>
      </w:r>
      <w:r>
        <w:rPr>
          <w:rFonts w:hint="eastAsia"/>
          <w:color w:val="000000"/>
        </w:rPr>
        <w:t>；</w:t>
      </w:r>
    </w:p>
    <w:p w14:paraId="1C7A06E3">
      <w:pPr>
        <w:spacing w:line="400" w:lineRule="exact"/>
        <w:ind w:firstLine="422" w:firstLineChars="200"/>
        <w:rPr>
          <w:color w:val="000000"/>
        </w:rPr>
      </w:pPr>
      <w:r>
        <w:rPr>
          <w:b/>
          <w:bCs/>
          <w:color w:val="000000"/>
        </w:rPr>
        <w:t>2</w:t>
      </w:r>
      <w:r>
        <w:rPr>
          <w:rFonts w:hint="eastAsia"/>
          <w:color w:val="000000"/>
        </w:rPr>
        <w:t xml:space="preserve">  </w:t>
      </w:r>
      <w:r>
        <w:rPr>
          <w:color w:val="000000"/>
        </w:rPr>
        <w:t>疏散通道、疏散走道、疏散出口的净高度均不应小于2.1 m</w:t>
      </w:r>
      <w:r>
        <w:rPr>
          <w:rFonts w:hint="eastAsia"/>
          <w:color w:val="000000"/>
        </w:rPr>
        <w:t>，</w:t>
      </w:r>
      <w:r>
        <w:rPr>
          <w:color w:val="000000"/>
        </w:rPr>
        <w:t>净宽度不应小于1.1 m</w:t>
      </w:r>
      <w:r>
        <w:rPr>
          <w:rFonts w:hint="eastAsia"/>
          <w:color w:val="000000"/>
        </w:rPr>
        <w:t>；</w:t>
      </w:r>
    </w:p>
    <w:p w14:paraId="0F870E9D">
      <w:pPr>
        <w:spacing w:line="400" w:lineRule="exact"/>
        <w:ind w:firstLine="422" w:firstLineChars="200"/>
        <w:rPr>
          <w:color w:val="000000"/>
        </w:rPr>
      </w:pPr>
      <w:r>
        <w:rPr>
          <w:rFonts w:hint="eastAsia"/>
          <w:b/>
          <w:bCs/>
          <w:color w:val="000000"/>
        </w:rPr>
        <w:t>3</w:t>
      </w:r>
      <w:r>
        <w:rPr>
          <w:rFonts w:hint="eastAsia"/>
          <w:color w:val="000000"/>
        </w:rPr>
        <w:t xml:space="preserve">  </w:t>
      </w:r>
      <w:r>
        <w:rPr>
          <w:color w:val="000000"/>
        </w:rPr>
        <w:t>室外疏散楼梯净宽度不应小于0.8 m，栏杆扶手高度不应小于1.10 m，倾斜角度不应大于45°；除疏散门外，楼梯周围2.0 m内的墙面上不应设置其他开口，疏散门不应正对梯段</w:t>
      </w:r>
      <w:r>
        <w:rPr>
          <w:rFonts w:hint="eastAsia"/>
          <w:color w:val="000000"/>
        </w:rPr>
        <w:t>；</w:t>
      </w:r>
    </w:p>
    <w:p w14:paraId="08DF8EB9">
      <w:pPr>
        <w:spacing w:line="400" w:lineRule="exact"/>
        <w:ind w:firstLine="420" w:firstLineChars="200"/>
        <w:rPr>
          <w:color w:val="000000"/>
        </w:rPr>
      </w:pPr>
      <w:r>
        <w:rPr>
          <w:rFonts w:hint="eastAsia"/>
          <w:color w:val="000000"/>
        </w:rPr>
        <w:t xml:space="preserve">4  </w:t>
      </w:r>
      <w:r>
        <w:rPr>
          <w:color w:val="000000"/>
        </w:rPr>
        <w:t>入口、门厅等人员通达部位采用落地玻璃时，应使用安全玻璃，并应设置防撞提示标识</w:t>
      </w:r>
      <w:r>
        <w:rPr>
          <w:rFonts w:hint="eastAsia"/>
          <w:color w:val="000000"/>
        </w:rPr>
        <w:t>；</w:t>
      </w:r>
    </w:p>
    <w:p w14:paraId="7027E072">
      <w:pPr>
        <w:spacing w:line="400" w:lineRule="exact"/>
        <w:ind w:firstLine="422" w:firstLineChars="200"/>
        <w:rPr>
          <w:color w:val="000000"/>
        </w:rPr>
      </w:pPr>
      <w:r>
        <w:rPr>
          <w:rFonts w:hint="eastAsia"/>
          <w:b/>
          <w:bCs/>
          <w:color w:val="000000"/>
        </w:rPr>
        <w:t>5</w:t>
      </w:r>
      <w:r>
        <w:rPr>
          <w:rFonts w:hint="eastAsia"/>
          <w:color w:val="000000"/>
        </w:rPr>
        <w:t xml:space="preserve">  </w:t>
      </w:r>
      <w:r>
        <w:rPr>
          <w:color w:val="000000"/>
        </w:rPr>
        <w:t>在疏散通道、疏散走道、疏散出口处，不应有任何影响人员疏散的物体，并应设置明显的指示标志</w:t>
      </w:r>
      <w:r>
        <w:rPr>
          <w:rFonts w:hint="eastAsia"/>
          <w:color w:val="000000"/>
        </w:rPr>
        <w:t>；</w:t>
      </w:r>
    </w:p>
    <w:p w14:paraId="718F9200">
      <w:pPr>
        <w:spacing w:line="400" w:lineRule="exact"/>
        <w:ind w:firstLine="422" w:firstLineChars="200"/>
        <w:rPr>
          <w:b/>
          <w:bCs/>
          <w:color w:val="000000"/>
        </w:rPr>
      </w:pPr>
      <w:r>
        <w:rPr>
          <w:rFonts w:hint="eastAsia"/>
          <w:b/>
          <w:bCs/>
          <w:color w:val="000000"/>
        </w:rPr>
        <w:t>6</w:t>
      </w:r>
      <w:r>
        <w:rPr>
          <w:rFonts w:hint="eastAsia"/>
          <w:color w:val="000000"/>
        </w:rPr>
        <w:t xml:space="preserve">  </w:t>
      </w:r>
      <w:r>
        <w:rPr>
          <w:color w:val="000000"/>
        </w:rPr>
        <w:t>除特殊</w:t>
      </w:r>
      <w:r>
        <w:rPr>
          <w:rFonts w:hint="eastAsia"/>
          <w:color w:val="000000"/>
        </w:rPr>
        <w:t>要求的建筑和甲类厂房外，在建筑的外墙上应在每层的适当位置设置可供消防救援人员进入的消防救援口，采用玻璃窗时，窗口的净高度和净宽度均不应小于1.0</w:t>
      </w:r>
      <w:r>
        <w:rPr>
          <w:color w:val="000000"/>
        </w:rPr>
        <w:t xml:space="preserve"> </w:t>
      </w:r>
      <w:r>
        <w:rPr>
          <w:rFonts w:hint="eastAsia"/>
          <w:color w:val="000000"/>
        </w:rPr>
        <w:t>m，窗口的玻璃应采用易于破碎的安全玻璃，并应设置可在室内室外易于识别的永久性明显标志。</w:t>
      </w:r>
    </w:p>
    <w:p w14:paraId="2691940F">
      <w:pPr>
        <w:spacing w:line="400" w:lineRule="exact"/>
        <w:jc w:val="left"/>
        <w:rPr>
          <w:color w:val="000000"/>
        </w:rPr>
      </w:pPr>
      <w:r>
        <w:rPr>
          <w:rFonts w:hint="eastAsia"/>
          <w:b/>
          <w:bCs/>
          <w:color w:val="000000"/>
        </w:rPr>
        <w:t>7.15.2</w:t>
      </w:r>
      <w:r>
        <w:rPr>
          <w:rFonts w:hint="eastAsia"/>
          <w:color w:val="000000"/>
        </w:rPr>
        <w:t xml:space="preserve">  疏散楼梯间应符合下列规定：</w:t>
      </w:r>
    </w:p>
    <w:p w14:paraId="060077C3">
      <w:pPr>
        <w:spacing w:line="400" w:lineRule="exact"/>
        <w:ind w:firstLine="422" w:firstLineChars="200"/>
        <w:rPr>
          <w:color w:val="000000"/>
        </w:rPr>
      </w:pPr>
      <w:r>
        <w:rPr>
          <w:rFonts w:hint="eastAsia"/>
          <w:b/>
          <w:bCs/>
          <w:color w:val="000000"/>
        </w:rPr>
        <w:t>1</w:t>
      </w:r>
      <w:r>
        <w:rPr>
          <w:rFonts w:hint="eastAsia"/>
          <w:color w:val="000000"/>
        </w:rPr>
        <w:t xml:space="preserve">  疏散楼梯间内不应设</w:t>
      </w:r>
      <w:r>
        <w:rPr>
          <w:color w:val="000000"/>
        </w:rPr>
        <w:t>置烧水间、可燃材料储藏室、垃圾道及其他影响人员疏散的凸出物或障碍物</w:t>
      </w:r>
      <w:r>
        <w:rPr>
          <w:rFonts w:hint="eastAsia"/>
          <w:color w:val="000000"/>
        </w:rPr>
        <w:t>，</w:t>
      </w:r>
      <w:r>
        <w:rPr>
          <w:color w:val="000000"/>
        </w:rPr>
        <w:t>不应设置或穿过甲、乙、丙类液体管道</w:t>
      </w:r>
      <w:r>
        <w:rPr>
          <w:rFonts w:hint="eastAsia"/>
          <w:color w:val="000000"/>
        </w:rPr>
        <w:t>；</w:t>
      </w:r>
    </w:p>
    <w:p w14:paraId="6A42FB2C">
      <w:pPr>
        <w:spacing w:line="400" w:lineRule="exact"/>
        <w:ind w:firstLine="422" w:firstLineChars="200"/>
        <w:rPr>
          <w:color w:val="000000"/>
        </w:rPr>
      </w:pPr>
      <w:r>
        <w:rPr>
          <w:rFonts w:hint="eastAsia"/>
          <w:b/>
          <w:bCs/>
          <w:color w:val="000000"/>
        </w:rPr>
        <w:t>2</w:t>
      </w:r>
      <w:r>
        <w:rPr>
          <w:rFonts w:hint="eastAsia"/>
          <w:color w:val="000000"/>
        </w:rPr>
        <w:t xml:space="preserve">  </w:t>
      </w:r>
      <w:r>
        <w:rPr>
          <w:color w:val="000000"/>
        </w:rPr>
        <w:t>住宅疏散楼梯间应能天然采光和自然通风，并宜靠外墙设置。靠外墙设置时，楼梯间、前室及合用前室外墙上的窗口与两侧门、窗、洞口最近边缘的水平距离不应小于1.0 m</w:t>
      </w:r>
      <w:r>
        <w:rPr>
          <w:rFonts w:hint="eastAsia"/>
          <w:color w:val="000000"/>
        </w:rPr>
        <w:t>；</w:t>
      </w:r>
    </w:p>
    <w:p w14:paraId="1FC03A1E">
      <w:pPr>
        <w:spacing w:line="400" w:lineRule="exact"/>
        <w:ind w:firstLine="422" w:firstLineChars="200"/>
        <w:rPr>
          <w:color w:val="000000"/>
        </w:rPr>
      </w:pPr>
      <w:r>
        <w:rPr>
          <w:rFonts w:hint="eastAsia"/>
          <w:b/>
          <w:bCs/>
          <w:color w:val="000000"/>
        </w:rPr>
        <w:t>3</w:t>
      </w:r>
      <w:r>
        <w:rPr>
          <w:rFonts w:hint="eastAsia"/>
          <w:color w:val="000000"/>
        </w:rPr>
        <w:t xml:space="preserve">  </w:t>
      </w:r>
      <w:r>
        <w:rPr>
          <w:color w:val="000000"/>
        </w:rPr>
        <w:t>公共楼梯正对梯段设置的楼梯间门距踏步边缘的距离不应小于0.60 m</w:t>
      </w:r>
      <w:r>
        <w:rPr>
          <w:rFonts w:hint="eastAsia"/>
          <w:color w:val="000000"/>
        </w:rPr>
        <w:t>；</w:t>
      </w:r>
    </w:p>
    <w:p w14:paraId="43D206A4">
      <w:pPr>
        <w:spacing w:line="400" w:lineRule="exact"/>
        <w:ind w:firstLine="422" w:firstLineChars="200"/>
        <w:rPr>
          <w:color w:val="000000"/>
        </w:rPr>
      </w:pPr>
      <w:r>
        <w:rPr>
          <w:rFonts w:hint="eastAsia"/>
          <w:b/>
          <w:bCs/>
          <w:color w:val="000000"/>
        </w:rPr>
        <w:t>4</w:t>
      </w:r>
      <w:r>
        <w:rPr>
          <w:rFonts w:hint="eastAsia"/>
          <w:color w:val="000000"/>
        </w:rPr>
        <w:t xml:space="preserve">  </w:t>
      </w:r>
      <w:r>
        <w:rPr>
          <w:color w:val="000000"/>
        </w:rPr>
        <w:t>公共建筑室内疏散楼梯的净宽度应符合设计要求，且不应小于1.1 m；当住宅建筑高度不大于18 m且一边设置栏杆时，室内疏散楼梯的净宽度不应小于1.0 m</w:t>
      </w:r>
      <w:r>
        <w:rPr>
          <w:rFonts w:hint="eastAsia"/>
          <w:color w:val="000000"/>
        </w:rPr>
        <w:t>；</w:t>
      </w:r>
    </w:p>
    <w:p w14:paraId="39A8050E">
      <w:pPr>
        <w:spacing w:line="400" w:lineRule="exact"/>
        <w:ind w:firstLine="422" w:firstLineChars="200"/>
        <w:rPr>
          <w:color w:val="000000"/>
        </w:rPr>
      </w:pPr>
      <w:r>
        <w:rPr>
          <w:rFonts w:hint="eastAsia"/>
          <w:b/>
          <w:bCs/>
          <w:color w:val="000000"/>
        </w:rPr>
        <w:t>5</w:t>
      </w:r>
      <w:r>
        <w:rPr>
          <w:rFonts w:hint="eastAsia"/>
          <w:color w:val="000000"/>
        </w:rPr>
        <w:t xml:space="preserve">  </w:t>
      </w:r>
      <w:r>
        <w:rPr>
          <w:color w:val="000000"/>
        </w:rPr>
        <w:t>楼梯休息平台的最小宽度不应小于梯段净宽，并不应小于1.20 m；当中间有实体墙时，扶手转</w:t>
      </w:r>
      <w:r>
        <w:rPr>
          <w:rFonts w:hint="eastAsia"/>
          <w:color w:val="000000"/>
        </w:rPr>
        <w:t>向端处的平台净宽不应小于1.30</w:t>
      </w:r>
      <w:r>
        <w:rPr>
          <w:color w:val="000000"/>
        </w:rPr>
        <w:t xml:space="preserve"> </w:t>
      </w:r>
      <w:r>
        <w:rPr>
          <w:rFonts w:hint="eastAsia"/>
          <w:color w:val="000000"/>
        </w:rPr>
        <w:t>m；直跑楼梯的中间平台宽度不应小于0.90</w:t>
      </w:r>
      <w:r>
        <w:rPr>
          <w:color w:val="000000"/>
        </w:rPr>
        <w:t xml:space="preserve"> </w:t>
      </w:r>
      <w:r>
        <w:rPr>
          <w:rFonts w:hint="eastAsia"/>
          <w:color w:val="000000"/>
        </w:rPr>
        <w:t>m；</w:t>
      </w:r>
    </w:p>
    <w:p w14:paraId="1C52D315">
      <w:pPr>
        <w:spacing w:line="400" w:lineRule="exact"/>
        <w:ind w:firstLine="422" w:firstLineChars="200"/>
        <w:rPr>
          <w:color w:val="000000"/>
        </w:rPr>
      </w:pPr>
      <w:r>
        <w:rPr>
          <w:rFonts w:hint="eastAsia"/>
          <w:b/>
          <w:bCs/>
          <w:color w:val="000000"/>
        </w:rPr>
        <w:t>6</w:t>
      </w:r>
      <w:r>
        <w:rPr>
          <w:rFonts w:hint="eastAsia"/>
          <w:color w:val="000000"/>
        </w:rPr>
        <w:t xml:space="preserve">  楼梯应</w:t>
      </w:r>
      <w:r>
        <w:rPr>
          <w:color w:val="000000"/>
        </w:rPr>
        <w:t>至少于一侧设扶手，梯段净宽达三股人流时应两侧设扶手。净宽度大于4.0 m的疏散楼梯、室内疏散台阶或坡道，应设置扶手栏杆分隔为宽度均不大于2.0 m的区段</w:t>
      </w:r>
      <w:r>
        <w:rPr>
          <w:rFonts w:hint="eastAsia"/>
          <w:color w:val="000000"/>
        </w:rPr>
        <w:t>；</w:t>
      </w:r>
    </w:p>
    <w:p w14:paraId="6B3A71EE">
      <w:pPr>
        <w:spacing w:line="400" w:lineRule="exact"/>
        <w:ind w:firstLine="422" w:firstLineChars="200"/>
        <w:rPr>
          <w:color w:val="000000"/>
        </w:rPr>
      </w:pPr>
      <w:r>
        <w:rPr>
          <w:rFonts w:hint="eastAsia"/>
          <w:b/>
          <w:bCs/>
          <w:color w:val="000000"/>
        </w:rPr>
        <w:t>7</w:t>
      </w:r>
      <w:r>
        <w:rPr>
          <w:rFonts w:hint="eastAsia"/>
          <w:color w:val="000000"/>
        </w:rPr>
        <w:t xml:space="preserve">  </w:t>
      </w:r>
      <w:r>
        <w:rPr>
          <w:color w:val="000000"/>
        </w:rPr>
        <w:t>公共楼梯梯段净宽应按墙面至扶手中心线的水平距离计算。当有凸出物时，梯段净宽应从凸出物表面算起</w:t>
      </w:r>
      <w:r>
        <w:rPr>
          <w:rFonts w:hint="eastAsia"/>
          <w:color w:val="000000"/>
        </w:rPr>
        <w:t>，</w:t>
      </w:r>
      <w:r>
        <w:rPr>
          <w:color w:val="000000"/>
        </w:rPr>
        <w:t>靠墙扶手边缘距墙面净距不应小于40 mm</w:t>
      </w:r>
      <w:r>
        <w:rPr>
          <w:rFonts w:hint="eastAsia"/>
          <w:color w:val="000000"/>
        </w:rPr>
        <w:t>；</w:t>
      </w:r>
    </w:p>
    <w:p w14:paraId="4A29319C">
      <w:pPr>
        <w:spacing w:line="400" w:lineRule="exact"/>
        <w:ind w:firstLine="422" w:firstLineChars="200"/>
        <w:rPr>
          <w:color w:val="000000"/>
        </w:rPr>
      </w:pPr>
      <w:r>
        <w:rPr>
          <w:rFonts w:hint="eastAsia"/>
          <w:b/>
          <w:bCs/>
          <w:color w:val="000000"/>
        </w:rPr>
        <w:t>8</w:t>
      </w:r>
      <w:r>
        <w:rPr>
          <w:rFonts w:hint="eastAsia"/>
          <w:color w:val="000000"/>
        </w:rPr>
        <w:t xml:space="preserve">  </w:t>
      </w:r>
      <w:r>
        <w:rPr>
          <w:color w:val="000000"/>
        </w:rPr>
        <w:t>少年儿童专用活动场所的公共楼梯井净宽大于0.20 m时，应采取防止少年儿童坠落的措施。</w:t>
      </w:r>
      <w:r>
        <w:rPr>
          <w:rFonts w:hint="eastAsia"/>
          <w:color w:val="000000"/>
        </w:rPr>
        <w:t>楼梯栏杆必须采取防止攀爬的构造，当采用垂直杆件做栏杆时，其杆件净间距不应大于0.11</w:t>
      </w:r>
      <w:r>
        <w:rPr>
          <w:color w:val="000000"/>
        </w:rPr>
        <w:t xml:space="preserve"> </w:t>
      </w:r>
      <w:r>
        <w:rPr>
          <w:rFonts w:hint="eastAsia"/>
          <w:color w:val="000000"/>
        </w:rPr>
        <w:t>m；</w:t>
      </w:r>
    </w:p>
    <w:p w14:paraId="6F9AF516">
      <w:pPr>
        <w:spacing w:line="400" w:lineRule="exact"/>
        <w:ind w:firstLine="422" w:firstLineChars="200"/>
        <w:rPr>
          <w:color w:val="000000"/>
        </w:rPr>
      </w:pPr>
      <w:r>
        <w:rPr>
          <w:rFonts w:hint="eastAsia"/>
          <w:b/>
          <w:bCs/>
          <w:color w:val="000000"/>
        </w:rPr>
        <w:t>9</w:t>
      </w:r>
      <w:r>
        <w:rPr>
          <w:rFonts w:hint="eastAsia"/>
          <w:color w:val="000000"/>
          <w:kern w:val="2"/>
          <w:szCs w:val="21"/>
        </w:rPr>
        <w:t xml:space="preserve">  </w:t>
      </w:r>
      <w:r>
        <w:rPr>
          <w:rFonts w:hint="eastAsia"/>
          <w:color w:val="000000"/>
          <w:szCs w:val="21"/>
        </w:rPr>
        <w:t>公共</w:t>
      </w:r>
      <w:r>
        <w:rPr>
          <w:color w:val="000000"/>
          <w:szCs w:val="21"/>
        </w:rPr>
        <w:t>楼梯每个梯段的踏步</w:t>
      </w:r>
      <w:r>
        <w:rPr>
          <w:color w:val="000000"/>
        </w:rPr>
        <w:t>级数不应少于2级，且不应超过18级</w:t>
      </w:r>
      <w:r>
        <w:rPr>
          <w:rFonts w:hint="eastAsia"/>
          <w:color w:val="000000"/>
        </w:rPr>
        <w:t>；</w:t>
      </w:r>
      <w:r>
        <w:rPr>
          <w:color w:val="000000"/>
        </w:rPr>
        <w:t>每个梯段的踏步高度、宽度应一致，相邻梯段踏步高度差不应大于0.01 m，且踏步面应采取防滑措施</w:t>
      </w:r>
      <w:r>
        <w:rPr>
          <w:rFonts w:hint="eastAsia"/>
          <w:color w:val="000000"/>
        </w:rPr>
        <w:t>。</w:t>
      </w:r>
    </w:p>
    <w:p w14:paraId="7C38351D">
      <w:pPr>
        <w:spacing w:line="400" w:lineRule="exact"/>
        <w:jc w:val="left"/>
        <w:rPr>
          <w:b/>
          <w:bCs/>
          <w:color w:val="000000"/>
        </w:rPr>
      </w:pPr>
      <w:r>
        <w:rPr>
          <w:rFonts w:hint="eastAsia"/>
          <w:b/>
          <w:bCs/>
          <w:color w:val="000000"/>
        </w:rPr>
        <w:t xml:space="preserve">7.15.3  </w:t>
      </w:r>
      <w:r>
        <w:rPr>
          <w:rFonts w:hint="eastAsia"/>
          <w:color w:val="000000"/>
        </w:rPr>
        <w:t>疏散门、防火门及防火卷帘应符合下列规定：</w:t>
      </w:r>
    </w:p>
    <w:p w14:paraId="01857FCC">
      <w:pPr>
        <w:spacing w:line="400" w:lineRule="exact"/>
        <w:ind w:firstLine="422" w:firstLineChars="200"/>
        <w:rPr>
          <w:color w:val="000000"/>
        </w:rPr>
      </w:pPr>
      <w:r>
        <w:rPr>
          <w:rFonts w:hint="eastAsia"/>
          <w:b/>
          <w:bCs/>
          <w:color w:val="000000"/>
        </w:rPr>
        <w:t>1</w:t>
      </w:r>
      <w:r>
        <w:rPr>
          <w:rFonts w:hint="eastAsia"/>
          <w:color w:val="000000"/>
        </w:rPr>
        <w:t xml:space="preserve">  疏散走道</w:t>
      </w:r>
      <w:r>
        <w:rPr>
          <w:color w:val="000000"/>
        </w:rPr>
        <w:t>在防火分区分隔处应设置疏散门；公共建筑内每个房间的疏散门一般不应少于2个</w:t>
      </w:r>
      <w:r>
        <w:rPr>
          <w:rFonts w:hint="eastAsia"/>
          <w:color w:val="000000"/>
        </w:rPr>
        <w:t>，</w:t>
      </w:r>
      <w:r>
        <w:rPr>
          <w:color w:val="000000"/>
        </w:rPr>
        <w:t>推拉门、旋转门、电动门、卷帘门、吊门、折叠门不应作为疏散门</w:t>
      </w:r>
      <w:r>
        <w:rPr>
          <w:rFonts w:hint="eastAsia"/>
          <w:color w:val="000000"/>
        </w:rPr>
        <w:t>；</w:t>
      </w:r>
    </w:p>
    <w:p w14:paraId="6D88B67A">
      <w:pPr>
        <w:spacing w:line="400" w:lineRule="exact"/>
        <w:ind w:firstLine="422" w:firstLineChars="200"/>
        <w:rPr>
          <w:color w:val="000000"/>
        </w:rPr>
      </w:pPr>
      <w:r>
        <w:rPr>
          <w:b/>
          <w:bCs/>
          <w:color w:val="000000"/>
        </w:rPr>
        <w:t>2</w:t>
      </w:r>
      <w:r>
        <w:rPr>
          <w:rFonts w:hint="eastAsia"/>
          <w:b/>
          <w:bCs/>
          <w:color w:val="000000"/>
        </w:rPr>
        <w:t xml:space="preserve">  </w:t>
      </w:r>
      <w:r>
        <w:rPr>
          <w:color w:val="000000"/>
        </w:rPr>
        <w:t>疏散门</w:t>
      </w:r>
      <w:r>
        <w:rPr>
          <w:rFonts w:hint="eastAsia"/>
          <w:color w:val="000000"/>
        </w:rPr>
        <w:t>和</w:t>
      </w:r>
      <w:r>
        <w:rPr>
          <w:color w:val="000000"/>
        </w:rPr>
        <w:t>住宅建筑中直通室外地面的住宅户门的净宽度不应小于0.80 m</w:t>
      </w:r>
      <w:r>
        <w:rPr>
          <w:rFonts w:hint="eastAsia"/>
          <w:color w:val="000000"/>
        </w:rPr>
        <w:t>；</w:t>
      </w:r>
    </w:p>
    <w:p w14:paraId="43831E33">
      <w:pPr>
        <w:spacing w:line="400" w:lineRule="exact"/>
        <w:ind w:firstLine="422" w:firstLineChars="200"/>
        <w:jc w:val="left"/>
        <w:rPr>
          <w:color w:val="000000"/>
        </w:rPr>
      </w:pPr>
      <w:r>
        <w:rPr>
          <w:b/>
          <w:bCs/>
          <w:color w:val="000000"/>
        </w:rPr>
        <w:t>3</w:t>
      </w:r>
      <w:r>
        <w:rPr>
          <w:rFonts w:hint="eastAsia"/>
          <w:color w:val="000000"/>
        </w:rPr>
        <w:t xml:space="preserve">  </w:t>
      </w:r>
      <w:r>
        <w:rPr>
          <w:color w:val="000000"/>
        </w:rPr>
        <w:t>首层疏散外门不应小于1.10 m</w:t>
      </w:r>
      <w:r>
        <w:rPr>
          <w:rFonts w:hint="eastAsia"/>
          <w:color w:val="000000"/>
        </w:rPr>
        <w:t>，</w:t>
      </w:r>
      <w:r>
        <w:rPr>
          <w:color w:val="000000"/>
        </w:rPr>
        <w:t>高层医疗建筑楼梯间的首层疏散门、首层疏散外门最小净宽为1.30 m，其他高层公共建筑为1.20 m</w:t>
      </w:r>
      <w:r>
        <w:rPr>
          <w:rFonts w:hint="eastAsia"/>
          <w:color w:val="000000"/>
        </w:rPr>
        <w:t>；</w:t>
      </w:r>
      <w:r>
        <w:rPr>
          <w:color w:val="000000"/>
        </w:rPr>
        <w:t xml:space="preserve">  </w:t>
      </w:r>
    </w:p>
    <w:p w14:paraId="4ABA9AB0">
      <w:pPr>
        <w:spacing w:line="400" w:lineRule="exact"/>
        <w:ind w:firstLine="422" w:firstLineChars="200"/>
        <w:rPr>
          <w:color w:val="000000"/>
        </w:rPr>
      </w:pPr>
      <w:r>
        <w:rPr>
          <w:b/>
          <w:bCs/>
          <w:color w:val="000000"/>
        </w:rPr>
        <w:t>4</w:t>
      </w:r>
      <w:r>
        <w:rPr>
          <w:rFonts w:hint="eastAsia"/>
          <w:color w:val="000000"/>
        </w:rPr>
        <w:t xml:space="preserve">  </w:t>
      </w:r>
      <w:r>
        <w:rPr>
          <w:color w:val="000000"/>
        </w:rPr>
        <w:t>人员密集的公共场所、观众厅的疏散门不应设置门槛，其净宽度不应小于1.40 m，且紧靠门口内外各</w:t>
      </w:r>
      <w:r>
        <w:rPr>
          <w:rFonts w:hint="eastAsia"/>
          <w:color w:val="000000"/>
        </w:rPr>
        <w:t xml:space="preserve"> </w:t>
      </w:r>
      <w:r>
        <w:rPr>
          <w:color w:val="000000"/>
        </w:rPr>
        <w:t>1.40 m范围内不应设置踏步</w:t>
      </w:r>
      <w:r>
        <w:rPr>
          <w:rFonts w:hint="eastAsia"/>
          <w:color w:val="000000"/>
        </w:rPr>
        <w:t>；</w:t>
      </w:r>
    </w:p>
    <w:p w14:paraId="0AFE553C">
      <w:pPr>
        <w:spacing w:line="400" w:lineRule="exact"/>
        <w:ind w:firstLine="422" w:firstLineChars="200"/>
        <w:rPr>
          <w:color w:val="000000"/>
        </w:rPr>
      </w:pPr>
      <w:r>
        <w:rPr>
          <w:b/>
          <w:bCs/>
          <w:color w:val="000000"/>
        </w:rPr>
        <w:t>5</w:t>
      </w:r>
      <w:r>
        <w:rPr>
          <w:rFonts w:hint="eastAsia"/>
          <w:b/>
          <w:bCs/>
          <w:color w:val="000000"/>
        </w:rPr>
        <w:t xml:space="preserve"> </w:t>
      </w:r>
      <w:r>
        <w:rPr>
          <w:rFonts w:hint="eastAsia"/>
          <w:color w:val="000000"/>
        </w:rPr>
        <w:t xml:space="preserve"> </w:t>
      </w:r>
      <w:r>
        <w:rPr>
          <w:color w:val="000000"/>
        </w:rPr>
        <w:t>除设置在丙、丁、戊类仓库首层靠墙外侧的推拉门或卷帘门可用于疏散门外，疏散出口门应为平开门或在火灾时具有平开功能的门</w:t>
      </w:r>
      <w:r>
        <w:rPr>
          <w:rFonts w:hint="eastAsia"/>
          <w:color w:val="000000"/>
        </w:rPr>
        <w:t>；</w:t>
      </w:r>
    </w:p>
    <w:p w14:paraId="3C3002A8">
      <w:pPr>
        <w:spacing w:line="400" w:lineRule="exact"/>
        <w:ind w:firstLine="422" w:firstLineChars="200"/>
        <w:rPr>
          <w:color w:val="000000"/>
        </w:rPr>
      </w:pPr>
      <w:r>
        <w:rPr>
          <w:b/>
          <w:bCs/>
          <w:color w:val="000000"/>
        </w:rPr>
        <w:t>6</w:t>
      </w:r>
      <w:r>
        <w:rPr>
          <w:rFonts w:hint="eastAsia"/>
          <w:color w:val="000000"/>
        </w:rPr>
        <w:t xml:space="preserve">  </w:t>
      </w:r>
      <w:r>
        <w:rPr>
          <w:color w:val="000000"/>
        </w:rPr>
        <w:t>建筑直通室外和屋面的门可采用普通门</w:t>
      </w:r>
      <w:r>
        <w:rPr>
          <w:rFonts w:hint="eastAsia"/>
          <w:color w:val="000000"/>
        </w:rPr>
        <w:t>，</w:t>
      </w:r>
      <w:r>
        <w:rPr>
          <w:color w:val="000000"/>
        </w:rPr>
        <w:t>应向疏散方向开启</w:t>
      </w:r>
      <w:r>
        <w:rPr>
          <w:rFonts w:hint="eastAsia"/>
          <w:color w:val="000000"/>
        </w:rPr>
        <w:t>；</w:t>
      </w:r>
    </w:p>
    <w:p w14:paraId="7BD8443F">
      <w:pPr>
        <w:spacing w:line="400" w:lineRule="exact"/>
        <w:ind w:firstLine="422" w:firstLineChars="200"/>
        <w:rPr>
          <w:color w:val="000000"/>
        </w:rPr>
      </w:pPr>
      <w:r>
        <w:rPr>
          <w:b/>
          <w:bCs/>
          <w:color w:val="000000"/>
        </w:rPr>
        <w:t>7</w:t>
      </w:r>
      <w:r>
        <w:rPr>
          <w:rFonts w:hint="eastAsia"/>
          <w:color w:val="000000"/>
        </w:rPr>
        <w:t xml:space="preserve">  </w:t>
      </w:r>
      <w:r>
        <w:rPr>
          <w:color w:val="000000"/>
        </w:rPr>
        <w:t>疏散门应能</w:t>
      </w:r>
      <w:r>
        <w:rPr>
          <w:rFonts w:hint="eastAsia"/>
          <w:color w:val="000000"/>
        </w:rPr>
        <w:t>在关闭后从任何一侧手动开启，开向疏散楼梯（间）或疏散走道的门在完全开启时，</w:t>
      </w:r>
      <w:r>
        <w:rPr>
          <w:color w:val="000000"/>
        </w:rPr>
        <w:t>不应减少楼梯平台或疏散走道的有效净宽度</w:t>
      </w:r>
      <w:r>
        <w:rPr>
          <w:rFonts w:hint="eastAsia"/>
          <w:color w:val="000000"/>
        </w:rPr>
        <w:t>；</w:t>
      </w:r>
    </w:p>
    <w:p w14:paraId="106AEF11">
      <w:pPr>
        <w:spacing w:line="400" w:lineRule="exact"/>
        <w:ind w:firstLine="422" w:firstLineChars="200"/>
        <w:jc w:val="left"/>
        <w:rPr>
          <w:color w:val="000000"/>
        </w:rPr>
      </w:pPr>
      <w:r>
        <w:rPr>
          <w:b/>
          <w:bCs/>
          <w:color w:val="000000"/>
        </w:rPr>
        <w:t>8</w:t>
      </w:r>
      <w:r>
        <w:rPr>
          <w:rFonts w:hint="eastAsia"/>
          <w:b/>
          <w:bCs/>
          <w:color w:val="000000"/>
        </w:rPr>
        <w:t xml:space="preserve"> </w:t>
      </w:r>
      <w:r>
        <w:rPr>
          <w:rFonts w:hint="eastAsia"/>
          <w:color w:val="000000"/>
        </w:rPr>
        <w:t xml:space="preserve"> </w:t>
      </w:r>
      <w:r>
        <w:rPr>
          <w:color w:val="000000"/>
        </w:rPr>
        <w:t>建筑中控制人员出入的闸口和设置门禁系统的疏散门应具有在火灾时自动释放的功能，且人员不需使用任何工具即能容易地从内部打开，在门内一侧的显著位置应设置明显的标识</w:t>
      </w:r>
      <w:r>
        <w:rPr>
          <w:rFonts w:hint="eastAsia"/>
          <w:color w:val="000000"/>
        </w:rPr>
        <w:t>；</w:t>
      </w:r>
    </w:p>
    <w:p w14:paraId="2D67001A">
      <w:pPr>
        <w:spacing w:line="400" w:lineRule="exact"/>
        <w:ind w:firstLine="422" w:firstLineChars="200"/>
        <w:jc w:val="left"/>
        <w:rPr>
          <w:color w:val="000000"/>
        </w:rPr>
      </w:pPr>
      <w:r>
        <w:rPr>
          <w:b/>
          <w:bCs/>
          <w:color w:val="000000"/>
        </w:rPr>
        <w:t>9</w:t>
      </w:r>
      <w:r>
        <w:rPr>
          <w:rFonts w:hint="eastAsia"/>
          <w:color w:val="000000"/>
        </w:rPr>
        <w:t xml:space="preserve">  </w:t>
      </w:r>
      <w:r>
        <w:rPr>
          <w:color w:val="000000"/>
        </w:rPr>
        <w:t>防火门、防火窗应具有自动关闭的功能，在关闭后应具有烟密闭的性能</w:t>
      </w:r>
      <w:r>
        <w:rPr>
          <w:rFonts w:hint="eastAsia"/>
          <w:color w:val="000000"/>
        </w:rPr>
        <w:t>；</w:t>
      </w:r>
      <w:r>
        <w:rPr>
          <w:color w:val="000000"/>
        </w:rPr>
        <w:t>设置在建筑内经常有人通行处的防火门宜采用常开防火门，常开防火门应具有信号反馈的功能</w:t>
      </w:r>
      <w:r>
        <w:rPr>
          <w:rFonts w:hint="eastAsia"/>
          <w:color w:val="000000"/>
        </w:rPr>
        <w:t>；</w:t>
      </w:r>
      <w:r>
        <w:rPr>
          <w:color w:val="000000"/>
        </w:rPr>
        <w:t>常闭防火门应在其明显位置设置“保持防火门关闭”等提示标识</w:t>
      </w:r>
      <w:r>
        <w:rPr>
          <w:rFonts w:hint="eastAsia"/>
          <w:color w:val="000000"/>
        </w:rPr>
        <w:t>；</w:t>
      </w:r>
      <w:r>
        <w:rPr>
          <w:color w:val="000000"/>
        </w:rPr>
        <w:t>双扇防火门应</w:t>
      </w:r>
      <w:r>
        <w:rPr>
          <w:rFonts w:hint="eastAsia"/>
          <w:color w:val="000000"/>
        </w:rPr>
        <w:t>能</w:t>
      </w:r>
      <w:r>
        <w:rPr>
          <w:color w:val="000000"/>
        </w:rPr>
        <w:t>按顺序自行关闭</w:t>
      </w:r>
      <w:r>
        <w:rPr>
          <w:rFonts w:hint="eastAsia"/>
          <w:color w:val="000000"/>
        </w:rPr>
        <w:t>；</w:t>
      </w:r>
    </w:p>
    <w:p w14:paraId="0FEE27F4">
      <w:pPr>
        <w:spacing w:line="400" w:lineRule="exact"/>
        <w:ind w:firstLine="422" w:firstLineChars="200"/>
        <w:rPr>
          <w:color w:val="000000"/>
        </w:rPr>
      </w:pPr>
      <w:r>
        <w:rPr>
          <w:b/>
          <w:bCs/>
          <w:color w:val="000000"/>
        </w:rPr>
        <w:t>10</w:t>
      </w:r>
      <w:r>
        <w:rPr>
          <w:rFonts w:hint="eastAsia"/>
          <w:color w:val="000000"/>
        </w:rPr>
        <w:t xml:space="preserve">  </w:t>
      </w:r>
      <w:r>
        <w:rPr>
          <w:color w:val="000000"/>
        </w:rPr>
        <w:t>设置在建筑变形缝附近时，防火门应设置在楼层较多的一侧，开启时门扇不应跨越变形缝</w:t>
      </w:r>
      <w:r>
        <w:rPr>
          <w:rFonts w:hint="eastAsia"/>
          <w:color w:val="000000"/>
        </w:rPr>
        <w:t>；</w:t>
      </w:r>
    </w:p>
    <w:p w14:paraId="2C02BDCE">
      <w:pPr>
        <w:spacing w:line="400" w:lineRule="exact"/>
        <w:ind w:firstLine="422" w:firstLineChars="200"/>
        <w:rPr>
          <w:color w:val="000000"/>
        </w:rPr>
      </w:pPr>
      <w:r>
        <w:rPr>
          <w:b/>
          <w:bCs/>
          <w:color w:val="000000"/>
        </w:rPr>
        <w:t>11</w:t>
      </w:r>
      <w:r>
        <w:rPr>
          <w:rFonts w:hint="eastAsia"/>
          <w:color w:val="000000"/>
        </w:rPr>
        <w:t xml:space="preserve">  </w:t>
      </w:r>
      <w:r>
        <w:rPr>
          <w:color w:val="000000"/>
        </w:rPr>
        <w:t>钢制防火门门框</w:t>
      </w:r>
      <w:r>
        <w:rPr>
          <w:rFonts w:hint="eastAsia"/>
          <w:color w:val="000000"/>
        </w:rPr>
        <w:t>内应充填水泥砂浆；防火门门扇与下框或地面的活动间隙不应大于9</w:t>
      </w:r>
      <w:r>
        <w:rPr>
          <w:color w:val="000000"/>
        </w:rPr>
        <w:t xml:space="preserve"> </w:t>
      </w:r>
      <w:r>
        <w:rPr>
          <w:rFonts w:hint="eastAsia"/>
          <w:color w:val="000000"/>
        </w:rPr>
        <w:t>mm，其他缝隙不应大于3</w:t>
      </w:r>
      <w:r>
        <w:rPr>
          <w:color w:val="000000"/>
        </w:rPr>
        <w:t xml:space="preserve"> </w:t>
      </w:r>
      <w:r>
        <w:rPr>
          <w:rFonts w:hint="eastAsia"/>
          <w:color w:val="000000"/>
        </w:rPr>
        <w:t>mm；</w:t>
      </w:r>
    </w:p>
    <w:p w14:paraId="51F370AE">
      <w:pPr>
        <w:spacing w:line="400" w:lineRule="exact"/>
        <w:ind w:firstLine="422" w:firstLineChars="200"/>
        <w:rPr>
          <w:color w:val="000000"/>
        </w:rPr>
      </w:pPr>
      <w:r>
        <w:rPr>
          <w:rFonts w:hint="eastAsia"/>
          <w:b/>
          <w:bCs/>
          <w:color w:val="000000"/>
        </w:rPr>
        <w:t>12</w:t>
      </w:r>
      <w:r>
        <w:rPr>
          <w:rFonts w:hint="eastAsia"/>
          <w:color w:val="000000"/>
        </w:rPr>
        <w:t xml:space="preserve">  防火卷帘应具有在火灾时依靠自重自行关闭的功能，在同一防火分隔区域的分界处采用多樘防火卷帘分隔时，应具有同步降落的功能；</w:t>
      </w:r>
    </w:p>
    <w:p w14:paraId="0E385291">
      <w:pPr>
        <w:spacing w:line="400" w:lineRule="exact"/>
        <w:ind w:firstLine="422" w:firstLineChars="200"/>
        <w:rPr>
          <w:color w:val="000000"/>
        </w:rPr>
      </w:pPr>
      <w:r>
        <w:rPr>
          <w:rFonts w:hint="eastAsia"/>
          <w:b/>
          <w:bCs/>
          <w:color w:val="000000"/>
        </w:rPr>
        <w:t>13</w:t>
      </w:r>
      <w:r>
        <w:rPr>
          <w:rFonts w:hint="eastAsia"/>
          <w:color w:val="000000"/>
        </w:rPr>
        <w:t xml:space="preserve">  防火卷帘、防护罩等与楼板、梁和墙、柱之间的空隙，应采用防火封堵材料封堵，封堵部位的耐火极限不应低于防火卷帘的耐火极限；  </w:t>
      </w:r>
    </w:p>
    <w:p w14:paraId="7CAC2779">
      <w:pPr>
        <w:spacing w:line="400" w:lineRule="exact"/>
        <w:ind w:firstLine="422" w:firstLineChars="200"/>
        <w:rPr>
          <w:color w:val="000000"/>
        </w:rPr>
      </w:pPr>
      <w:r>
        <w:rPr>
          <w:rFonts w:hint="eastAsia"/>
          <w:b/>
          <w:bCs/>
          <w:color w:val="000000"/>
        </w:rPr>
        <w:t xml:space="preserve">14 </w:t>
      </w:r>
      <w:r>
        <w:rPr>
          <w:rFonts w:hint="eastAsia"/>
          <w:color w:val="000000"/>
        </w:rPr>
        <w:t xml:space="preserve"> 防火卷帘控制器及手动按钮盒的安装应牢固可靠，其底边距地面高度宜为 1.3</w:t>
      </w:r>
      <w:r>
        <w:rPr>
          <w:color w:val="000000"/>
        </w:rPr>
        <w:t xml:space="preserve"> </w:t>
      </w:r>
      <w:r>
        <w:rPr>
          <w:rFonts w:hint="eastAsia"/>
          <w:color w:val="000000"/>
        </w:rPr>
        <w:t>m～1.5</w:t>
      </w:r>
      <w:r>
        <w:rPr>
          <w:color w:val="000000"/>
        </w:rPr>
        <w:t xml:space="preserve"> </w:t>
      </w:r>
      <w:r>
        <w:rPr>
          <w:rFonts w:hint="eastAsia"/>
          <w:color w:val="000000"/>
        </w:rPr>
        <w:t>m；卷门机应设有手动拉链和手动速放装置，其安装位置应便于操作，并应有明显标志；</w:t>
      </w:r>
    </w:p>
    <w:p w14:paraId="155FD7E4">
      <w:pPr>
        <w:spacing w:line="400" w:lineRule="exact"/>
        <w:ind w:firstLine="422" w:firstLineChars="200"/>
        <w:rPr>
          <w:color w:val="000000"/>
          <w:szCs w:val="21"/>
        </w:rPr>
      </w:pPr>
      <w:r>
        <w:rPr>
          <w:rFonts w:hint="eastAsia"/>
          <w:b/>
          <w:bCs/>
          <w:color w:val="000000"/>
          <w:szCs w:val="21"/>
        </w:rPr>
        <w:t>15</w:t>
      </w:r>
      <w:r>
        <w:rPr>
          <w:rFonts w:hint="eastAsia"/>
          <w:color w:val="000000"/>
          <w:szCs w:val="21"/>
        </w:rPr>
        <w:t xml:space="preserve">  防火卷帘为消防专用设施，不得改作他用，卷帘正下方不得堆放任何物品。</w:t>
      </w:r>
      <w:r>
        <w:rPr>
          <w:color w:val="000000"/>
          <w:szCs w:val="21"/>
        </w:rPr>
        <w:t>帘板、导轨、门楣、卷轴等部位的表面不</w:t>
      </w:r>
      <w:r>
        <w:rPr>
          <w:rFonts w:hint="eastAsia"/>
          <w:color w:val="000000"/>
          <w:szCs w:val="21"/>
        </w:rPr>
        <w:t>应</w:t>
      </w:r>
      <w:r>
        <w:rPr>
          <w:color w:val="000000"/>
          <w:szCs w:val="21"/>
        </w:rPr>
        <w:t>有裂纹、压坑及较明显的凹凸、锤痕、毛刺、空洞等缺陷</w:t>
      </w:r>
      <w:r>
        <w:rPr>
          <w:rFonts w:hint="eastAsia"/>
          <w:color w:val="000000"/>
          <w:szCs w:val="21"/>
        </w:rPr>
        <w:t>，</w:t>
      </w:r>
      <w:r>
        <w:rPr>
          <w:color w:val="000000"/>
          <w:szCs w:val="21"/>
        </w:rPr>
        <w:t>所有紧固件</w:t>
      </w:r>
      <w:r>
        <w:rPr>
          <w:rFonts w:hint="eastAsia"/>
          <w:color w:val="000000"/>
          <w:szCs w:val="21"/>
        </w:rPr>
        <w:t>不应</w:t>
      </w:r>
      <w:r>
        <w:rPr>
          <w:color w:val="000000"/>
          <w:szCs w:val="21"/>
        </w:rPr>
        <w:t>有松动现象。</w:t>
      </w:r>
    </w:p>
    <w:p w14:paraId="16DDA530">
      <w:pPr>
        <w:spacing w:line="400" w:lineRule="exact"/>
        <w:jc w:val="left"/>
        <w:rPr>
          <w:b/>
          <w:bCs/>
          <w:color w:val="000000"/>
        </w:rPr>
      </w:pPr>
      <w:r>
        <w:rPr>
          <w:rFonts w:hint="eastAsia"/>
          <w:b/>
          <w:bCs/>
          <w:color w:val="000000"/>
        </w:rPr>
        <w:t xml:space="preserve">7.15.4  </w:t>
      </w:r>
      <w:r>
        <w:rPr>
          <w:rFonts w:hint="eastAsia"/>
          <w:color w:val="000000"/>
        </w:rPr>
        <w:t>挡烟垂壁的设置应符合下列规定：</w:t>
      </w:r>
    </w:p>
    <w:p w14:paraId="68C113EE">
      <w:pPr>
        <w:spacing w:line="400" w:lineRule="exact"/>
        <w:ind w:firstLine="422" w:firstLineChars="200"/>
        <w:rPr>
          <w:color w:val="000000"/>
        </w:rPr>
      </w:pPr>
      <w:r>
        <w:rPr>
          <w:rFonts w:hint="eastAsia"/>
          <w:b/>
          <w:bCs/>
          <w:color w:val="000000"/>
        </w:rPr>
        <w:t>1</w:t>
      </w:r>
      <w:r>
        <w:rPr>
          <w:rFonts w:hint="eastAsia"/>
          <w:color w:val="000000"/>
        </w:rPr>
        <w:t xml:space="preserve">  设置排烟系统的建筑内，敞开楼梯、自动扶梯穿越楼板的开口部位以及未采用防火隔墙、防火玻璃隔墙、防火卷帘的中庭与周围场所之间应设置挡烟垂壁；</w:t>
      </w:r>
    </w:p>
    <w:p w14:paraId="3E6B14E5">
      <w:pPr>
        <w:spacing w:line="400" w:lineRule="exact"/>
        <w:ind w:firstLine="422" w:firstLineChars="200"/>
        <w:rPr>
          <w:color w:val="000000"/>
        </w:rPr>
      </w:pPr>
      <w:r>
        <w:rPr>
          <w:rFonts w:hint="eastAsia"/>
          <w:b/>
          <w:bCs/>
          <w:color w:val="000000"/>
        </w:rPr>
        <w:t>2</w:t>
      </w:r>
      <w:r>
        <w:rPr>
          <w:rFonts w:hint="eastAsia"/>
          <w:color w:val="000000"/>
        </w:rPr>
        <w:t xml:space="preserve">  挡烟垂壁应采用不燃材料制作，刚性挡烟垂壁的单节宽度不应大于 2</w:t>
      </w:r>
      <w:r>
        <w:rPr>
          <w:rFonts w:hint="eastAsia"/>
          <w:kern w:val="21"/>
        </w:rPr>
        <w:t>000</w:t>
      </w:r>
      <w:r>
        <w:rPr>
          <w:kern w:val="21"/>
        </w:rPr>
        <w:t xml:space="preserve"> </w:t>
      </w:r>
      <w:r>
        <w:rPr>
          <w:rFonts w:hint="eastAsia"/>
          <w:kern w:val="21"/>
        </w:rPr>
        <w:t>m</w:t>
      </w:r>
      <w:r>
        <w:rPr>
          <w:rFonts w:hint="eastAsia"/>
          <w:color w:val="000000"/>
        </w:rPr>
        <w:t>m，柔性挡烟垂壁的单节宽度不应大于 4</w:t>
      </w:r>
      <w:r>
        <w:rPr>
          <w:color w:val="000000"/>
        </w:rPr>
        <w:t>000 m</w:t>
      </w:r>
      <w:r>
        <w:rPr>
          <w:rFonts w:hint="eastAsia"/>
          <w:color w:val="000000"/>
        </w:rPr>
        <w:t>m；</w:t>
      </w:r>
    </w:p>
    <w:p w14:paraId="553DC298">
      <w:pPr>
        <w:spacing w:line="400" w:lineRule="exact"/>
        <w:ind w:firstLine="422" w:firstLineChars="200"/>
        <w:rPr>
          <w:color w:val="000000"/>
        </w:rPr>
      </w:pPr>
      <w:r>
        <w:rPr>
          <w:rFonts w:hint="eastAsia"/>
          <w:b/>
          <w:bCs/>
          <w:color w:val="000000"/>
        </w:rPr>
        <w:t>3</w:t>
      </w:r>
      <w:r>
        <w:rPr>
          <w:rFonts w:hint="eastAsia"/>
          <w:color w:val="000000"/>
        </w:rPr>
        <w:t xml:space="preserve">  活动挡烟垂壁与建筑结构（柱或墙）面的缝隙不应大于60</w:t>
      </w:r>
      <w:r>
        <w:rPr>
          <w:color w:val="000000"/>
        </w:rPr>
        <w:t xml:space="preserve"> </w:t>
      </w:r>
      <w:r>
        <w:rPr>
          <w:rFonts w:hint="eastAsia"/>
          <w:color w:val="000000"/>
        </w:rPr>
        <w:t>mm，由两块或两块以上的挡烟垂帘组成的连续性挡烟垂壁，各块之间不应有缝隙，搭接宽度不应小于100</w:t>
      </w:r>
      <w:r>
        <w:rPr>
          <w:color w:val="000000"/>
        </w:rPr>
        <w:t xml:space="preserve"> </w:t>
      </w:r>
      <w:r>
        <w:rPr>
          <w:rFonts w:hint="eastAsia"/>
          <w:color w:val="000000"/>
        </w:rPr>
        <w:t>mm；手动操作按钮应固定安装在距楼地面1.3</w:t>
      </w:r>
      <w:r>
        <w:rPr>
          <w:color w:val="000000"/>
        </w:rPr>
        <w:t xml:space="preserve"> </w:t>
      </w:r>
      <w:r>
        <w:rPr>
          <w:rFonts w:hint="eastAsia"/>
          <w:color w:val="000000"/>
        </w:rPr>
        <w:t>m～1.5</w:t>
      </w:r>
      <w:r>
        <w:rPr>
          <w:color w:val="000000"/>
        </w:rPr>
        <w:t xml:space="preserve"> </w:t>
      </w:r>
      <w:r>
        <w:rPr>
          <w:rFonts w:hint="eastAsia"/>
          <w:color w:val="000000"/>
        </w:rPr>
        <w:t>m之间便于操作、明显可见处；</w:t>
      </w:r>
    </w:p>
    <w:p w14:paraId="7355AF94">
      <w:pPr>
        <w:spacing w:line="400" w:lineRule="exact"/>
        <w:ind w:firstLine="422" w:firstLineChars="200"/>
        <w:rPr>
          <w:color w:val="000000"/>
        </w:rPr>
      </w:pPr>
      <w:r>
        <w:rPr>
          <w:rFonts w:hint="eastAsia"/>
          <w:b/>
          <w:bCs/>
          <w:color w:val="000000"/>
        </w:rPr>
        <w:t>4</w:t>
      </w:r>
      <w:r>
        <w:rPr>
          <w:rFonts w:hint="eastAsia"/>
          <w:color w:val="000000"/>
        </w:rPr>
        <w:t xml:space="preserve">  有吊顶时，挡烟垂壁下垂高度为吊顶下大于或等于500</w:t>
      </w:r>
      <w:r>
        <w:rPr>
          <w:color w:val="000000"/>
        </w:rPr>
        <w:t xml:space="preserve"> </w:t>
      </w:r>
      <w:r>
        <w:rPr>
          <w:rFonts w:hint="eastAsia"/>
          <w:color w:val="000000"/>
        </w:rPr>
        <w:t>mm，吊顶以上用挡烟材料做封堵。无吊顶时，下垂高度为梁下或板下大于或等于500</w:t>
      </w:r>
      <w:r>
        <w:rPr>
          <w:color w:val="000000"/>
        </w:rPr>
        <w:t xml:space="preserve"> </w:t>
      </w:r>
      <w:r>
        <w:rPr>
          <w:rFonts w:hint="eastAsia"/>
          <w:color w:val="000000"/>
        </w:rPr>
        <w:t>mm，同时要满足下垂高度大于排烟风机口所处高度；</w:t>
      </w:r>
    </w:p>
    <w:p w14:paraId="2196AC01">
      <w:pPr>
        <w:spacing w:line="400" w:lineRule="exact"/>
        <w:ind w:firstLine="422" w:firstLineChars="200"/>
        <w:rPr>
          <w:color w:val="000000"/>
        </w:rPr>
      </w:pPr>
      <w:r>
        <w:rPr>
          <w:rFonts w:hint="eastAsia"/>
          <w:b/>
          <w:bCs/>
          <w:color w:val="000000"/>
        </w:rPr>
        <w:t>5</w:t>
      </w:r>
      <w:r>
        <w:rPr>
          <w:rFonts w:hint="eastAsia"/>
          <w:color w:val="000000"/>
        </w:rPr>
        <w:t xml:space="preserve">  挡烟垂壁的深度不应小于储烟仓厚度。储烟仓厚度不应小于空间净高的10</w:t>
      </w:r>
      <w:r>
        <w:rPr>
          <w:color w:val="000000"/>
        </w:rPr>
        <w:t xml:space="preserve"> </w:t>
      </w:r>
      <w:r>
        <w:rPr>
          <w:rFonts w:hint="eastAsia"/>
          <w:color w:val="000000"/>
        </w:rPr>
        <w:t>%，且不应小于500</w:t>
      </w:r>
      <w:r>
        <w:rPr>
          <w:color w:val="000000"/>
        </w:rPr>
        <w:t xml:space="preserve"> </w:t>
      </w:r>
      <w:r>
        <w:rPr>
          <w:rFonts w:hint="eastAsia"/>
          <w:color w:val="000000"/>
        </w:rPr>
        <w:t>mm，储烟仓底部距地面的高度应大于安全疏散所需的最小清晰高度。且应符合下列规定：</w:t>
      </w:r>
    </w:p>
    <w:p w14:paraId="01EC59A5">
      <w:pPr>
        <w:spacing w:line="400" w:lineRule="exact"/>
        <w:ind w:firstLine="422" w:firstLineChars="200"/>
        <w:rPr>
          <w:color w:val="000000"/>
        </w:rPr>
      </w:pPr>
      <w:r>
        <w:rPr>
          <w:rFonts w:hint="eastAsia"/>
          <w:b/>
          <w:bCs/>
          <w:color w:val="000000"/>
        </w:rPr>
        <w:t xml:space="preserve"> </w:t>
      </w:r>
      <w:r>
        <w:rPr>
          <w:b/>
          <w:bCs/>
          <w:color w:val="000000"/>
        </w:rPr>
        <w:t>1</w:t>
      </w:r>
      <w:r>
        <w:rPr>
          <w:rFonts w:hint="eastAsia"/>
          <w:b/>
          <w:bCs/>
          <w:color w:val="000000"/>
        </w:rPr>
        <w:t xml:space="preserve">） </w:t>
      </w:r>
      <w:r>
        <w:rPr>
          <w:rFonts w:hint="eastAsia"/>
          <w:color w:val="000000"/>
        </w:rPr>
        <w:t>民用机场航站楼公共区内未采取防火分隔措施的中庭、自动扶梯和敞开楼梯等上、下层连通的开口部位周围挡烟垂壁距离楼地面不应小于2.2</w:t>
      </w:r>
      <w:r>
        <w:rPr>
          <w:color w:val="000000"/>
        </w:rPr>
        <w:t xml:space="preserve"> </w:t>
      </w:r>
      <w:r>
        <w:rPr>
          <w:rFonts w:hint="eastAsia"/>
          <w:color w:val="000000"/>
        </w:rPr>
        <w:t>m；</w:t>
      </w:r>
    </w:p>
    <w:p w14:paraId="2BB9CB9C">
      <w:pPr>
        <w:spacing w:line="400" w:lineRule="exact"/>
        <w:ind w:firstLine="422" w:firstLineChars="200"/>
        <w:rPr>
          <w:b/>
          <w:bCs/>
          <w:color w:val="000000"/>
        </w:rPr>
      </w:pPr>
      <w:r>
        <w:rPr>
          <w:rFonts w:hint="eastAsia"/>
          <w:b/>
          <w:bCs/>
          <w:color w:val="000000"/>
        </w:rPr>
        <w:t xml:space="preserve"> </w:t>
      </w:r>
      <w:r>
        <w:rPr>
          <w:b/>
          <w:bCs/>
          <w:color w:val="000000"/>
        </w:rPr>
        <w:t>2</w:t>
      </w:r>
      <w:r>
        <w:rPr>
          <w:rFonts w:hint="eastAsia"/>
          <w:b/>
          <w:bCs/>
          <w:color w:val="000000"/>
        </w:rPr>
        <w:t>）</w:t>
      </w:r>
      <w:r>
        <w:rPr>
          <w:rFonts w:hint="eastAsia"/>
          <w:color w:val="000000"/>
        </w:rPr>
        <w:t xml:space="preserve"> 地铁挡烟垂壁的下缘至地面、楼梯或扶梯踏步面的垂直距离不应小于2.3</w:t>
      </w:r>
      <w:r>
        <w:rPr>
          <w:color w:val="000000"/>
        </w:rPr>
        <w:t xml:space="preserve"> </w:t>
      </w:r>
      <w:r>
        <w:rPr>
          <w:rFonts w:hint="eastAsia"/>
          <w:color w:val="000000"/>
        </w:rPr>
        <w:t>m。</w:t>
      </w:r>
    </w:p>
    <w:p w14:paraId="3C0B7A07">
      <w:pPr>
        <w:spacing w:line="400" w:lineRule="exact"/>
        <w:jc w:val="left"/>
        <w:rPr>
          <w:color w:val="000000"/>
          <w:szCs w:val="21"/>
        </w:rPr>
      </w:pPr>
      <w:r>
        <w:rPr>
          <w:rFonts w:hint="eastAsia"/>
          <w:b/>
          <w:bCs/>
          <w:color w:val="000000"/>
          <w:szCs w:val="21"/>
        </w:rPr>
        <w:t xml:space="preserve">7.15.5  </w:t>
      </w:r>
      <w:r>
        <w:rPr>
          <w:rFonts w:hint="eastAsia"/>
          <w:color w:val="000000"/>
          <w:szCs w:val="21"/>
        </w:rPr>
        <w:t>幕墙层间封堵与外墙防火隔离带的设置应符合下列规定：</w:t>
      </w:r>
    </w:p>
    <w:p w14:paraId="6F69F812">
      <w:pPr>
        <w:spacing w:line="400" w:lineRule="exact"/>
        <w:ind w:firstLine="422" w:firstLineChars="200"/>
        <w:rPr>
          <w:color w:val="000000"/>
        </w:rPr>
      </w:pPr>
      <w:r>
        <w:rPr>
          <w:rFonts w:hint="eastAsia"/>
          <w:b/>
          <w:bCs/>
          <w:color w:val="000000"/>
        </w:rPr>
        <w:t>1</w:t>
      </w:r>
      <w:r>
        <w:rPr>
          <w:rFonts w:hint="eastAsia"/>
          <w:color w:val="000000"/>
        </w:rPr>
        <w:t xml:space="preserve">  建筑幕墙应在每层楼板外沿处采取防止火灾通过幕墙空腔等构造竖向蔓延的措施；</w:t>
      </w:r>
    </w:p>
    <w:p w14:paraId="4BCFF4AE">
      <w:pPr>
        <w:spacing w:line="400" w:lineRule="exact"/>
        <w:ind w:firstLine="422" w:firstLineChars="200"/>
        <w:rPr>
          <w:color w:val="000000"/>
        </w:rPr>
      </w:pPr>
      <w:r>
        <w:rPr>
          <w:rFonts w:hint="eastAsia"/>
          <w:b/>
          <w:bCs/>
          <w:color w:val="000000"/>
        </w:rPr>
        <w:t>2</w:t>
      </w:r>
      <w:r>
        <w:rPr>
          <w:rFonts w:hint="eastAsia"/>
          <w:color w:val="000000"/>
        </w:rPr>
        <w:t xml:space="preserve">  幕墙与建筑窗槛墙之间的空腔应在建筑缝隙上、下沿处分别采用矿物棉等背衬材料填塞，填塞高度均不应小于200</w:t>
      </w:r>
      <w:r>
        <w:rPr>
          <w:color w:val="000000"/>
        </w:rPr>
        <w:t xml:space="preserve"> </w:t>
      </w:r>
      <w:r>
        <w:rPr>
          <w:rFonts w:hint="eastAsia"/>
          <w:color w:val="000000"/>
        </w:rPr>
        <w:t>mm，上面应覆盖弹性的防火封堵材料，下面应设置钢质承托板，厚度不应小于1.5</w:t>
      </w:r>
      <w:r>
        <w:rPr>
          <w:color w:val="000000"/>
        </w:rPr>
        <w:t xml:space="preserve"> </w:t>
      </w:r>
      <w:r>
        <w:rPr>
          <w:rFonts w:hint="eastAsia"/>
          <w:color w:val="000000"/>
        </w:rPr>
        <w:t>mm，缝宽大于250</w:t>
      </w:r>
      <w:r>
        <w:rPr>
          <w:color w:val="000000"/>
        </w:rPr>
        <w:t xml:space="preserve"> </w:t>
      </w:r>
      <w:r>
        <w:rPr>
          <w:rFonts w:hint="eastAsia"/>
          <w:color w:val="000000"/>
        </w:rPr>
        <w:t>mm时，可增设角钢或紧固件；</w:t>
      </w:r>
    </w:p>
    <w:p w14:paraId="36D11BE1">
      <w:pPr>
        <w:spacing w:line="400" w:lineRule="exact"/>
        <w:ind w:firstLine="422" w:firstLineChars="200"/>
        <w:rPr>
          <w:color w:val="000000"/>
        </w:rPr>
      </w:pPr>
      <w:r>
        <w:rPr>
          <w:rFonts w:hint="eastAsia"/>
          <w:b/>
          <w:bCs/>
          <w:color w:val="000000"/>
        </w:rPr>
        <w:t>3</w:t>
      </w:r>
      <w:r>
        <w:rPr>
          <w:rFonts w:hint="eastAsia"/>
          <w:color w:val="000000"/>
        </w:rPr>
        <w:t xml:space="preserve">  当建筑的外墙外保温系统采用燃烧性能为B1、B2级的保温材料时，应在每层设置燃烧性能为A级的水平防火隔离带，高度不应小于300</w:t>
      </w:r>
      <w:r>
        <w:rPr>
          <w:color w:val="000000"/>
        </w:rPr>
        <w:t xml:space="preserve"> </w:t>
      </w:r>
      <w:r>
        <w:rPr>
          <w:rFonts w:hint="eastAsia"/>
          <w:color w:val="000000"/>
        </w:rPr>
        <w:t>mm，厚度宜与外墙外保温系统厚度相同；</w:t>
      </w:r>
    </w:p>
    <w:p w14:paraId="2EECC12F">
      <w:pPr>
        <w:spacing w:line="400" w:lineRule="exact"/>
        <w:ind w:firstLine="420" w:firstLineChars="200"/>
        <w:rPr>
          <w:color w:val="000000"/>
        </w:rPr>
      </w:pPr>
      <w:r>
        <w:rPr>
          <w:rFonts w:hint="eastAsia"/>
          <w:color w:val="000000"/>
        </w:rPr>
        <w:t>4  当建筑的屋面和外墙外保温系统均采用B1、B2级保温材料时，屋面与外墙之间应采用宽度不小于500</w:t>
      </w:r>
      <w:r>
        <w:rPr>
          <w:color w:val="000000"/>
        </w:rPr>
        <w:t xml:space="preserve"> </w:t>
      </w:r>
      <w:r>
        <w:rPr>
          <w:rFonts w:hint="eastAsia"/>
          <w:color w:val="000000"/>
        </w:rPr>
        <w:t>mm的防火隔离带进行分隔。</w:t>
      </w:r>
    </w:p>
    <w:p w14:paraId="5E509693">
      <w:pPr>
        <w:pStyle w:val="4"/>
        <w:numPr>
          <w:ilvl w:val="1"/>
          <w:numId w:val="0"/>
        </w:numPr>
        <w:spacing w:before="312" w:beforeLines="100" w:line="400" w:lineRule="exact"/>
        <w:jc w:val="center"/>
        <w:rPr>
          <w:rFonts w:ascii="Times New Roman" w:hAnsi="Times New Roman" w:eastAsia="黑体"/>
          <w:sz w:val="24"/>
          <w:szCs w:val="24"/>
          <w:lang w:val="en-US"/>
        </w:rPr>
      </w:pPr>
      <w:bookmarkStart w:id="415" w:name="_Toc12107"/>
      <w:bookmarkStart w:id="416" w:name="_Toc1015"/>
      <w:bookmarkStart w:id="417" w:name="_Toc20705"/>
      <w:bookmarkStart w:id="418" w:name="_Toc4169"/>
      <w:r>
        <w:rPr>
          <w:rFonts w:ascii="Times New Roman" w:hAnsi="Times New Roman" w:eastAsia="黑体"/>
          <w:b/>
          <w:bCs/>
          <w:sz w:val="24"/>
          <w:szCs w:val="24"/>
        </w:rPr>
        <w:t>7.1</w:t>
      </w:r>
      <w:r>
        <w:rPr>
          <w:rFonts w:hint="eastAsia" w:ascii="Times New Roman" w:hAnsi="Times New Roman" w:eastAsia="黑体"/>
          <w:b/>
          <w:bCs/>
          <w:sz w:val="24"/>
          <w:szCs w:val="24"/>
          <w:lang w:val="en-US"/>
        </w:rPr>
        <w:t>6</w:t>
      </w:r>
      <w:r>
        <w:rPr>
          <w:rFonts w:ascii="Times New Roman" w:hAnsi="Times New Roman" w:eastAsia="黑体"/>
          <w:sz w:val="24"/>
          <w:szCs w:val="24"/>
          <w:lang w:val="en-US"/>
        </w:rPr>
        <w:t xml:space="preserve">  </w:t>
      </w:r>
      <w:r>
        <w:rPr>
          <w:rFonts w:ascii="Times New Roman" w:hAnsi="Times New Roman" w:eastAsia="黑体"/>
          <w:sz w:val="24"/>
          <w:szCs w:val="24"/>
        </w:rPr>
        <w:t>装配式装修</w:t>
      </w:r>
      <w:r>
        <w:rPr>
          <w:rFonts w:ascii="Times New Roman" w:hAnsi="Times New Roman" w:eastAsia="黑体"/>
          <w:sz w:val="24"/>
          <w:szCs w:val="24"/>
          <w:lang w:val="en-US"/>
        </w:rPr>
        <w:t>工程</w:t>
      </w:r>
      <w:bookmarkEnd w:id="415"/>
      <w:bookmarkEnd w:id="416"/>
      <w:bookmarkEnd w:id="417"/>
      <w:bookmarkEnd w:id="418"/>
    </w:p>
    <w:p w14:paraId="4B931038">
      <w:pPr>
        <w:spacing w:line="400" w:lineRule="exact"/>
        <w:rPr>
          <w:color w:val="000000"/>
          <w:szCs w:val="21"/>
        </w:rPr>
      </w:pPr>
      <w:r>
        <w:rPr>
          <w:b/>
          <w:bCs/>
          <w:color w:val="000000"/>
          <w:szCs w:val="21"/>
        </w:rPr>
        <w:t>7.1</w:t>
      </w:r>
      <w:r>
        <w:rPr>
          <w:rFonts w:hint="eastAsia"/>
          <w:b/>
          <w:bCs/>
          <w:color w:val="000000"/>
          <w:szCs w:val="21"/>
        </w:rPr>
        <w:t>6</w:t>
      </w:r>
      <w:r>
        <w:rPr>
          <w:b/>
          <w:bCs/>
          <w:color w:val="000000"/>
          <w:szCs w:val="21"/>
        </w:rPr>
        <w:t>.1</w:t>
      </w:r>
      <w:r>
        <w:rPr>
          <w:color w:val="000000"/>
          <w:szCs w:val="21"/>
        </w:rPr>
        <w:t xml:space="preserve">  </w:t>
      </w:r>
      <w:r>
        <w:rPr>
          <w:rFonts w:hint="eastAsia" w:ascii="宋体" w:hAnsi="宋体" w:cs="宋体"/>
          <w:bCs/>
          <w:color w:val="000000"/>
          <w:szCs w:val="21"/>
        </w:rPr>
        <w:t>装配式内装修</w:t>
      </w:r>
      <w:r>
        <w:rPr>
          <w:color w:val="000000"/>
          <w:szCs w:val="21"/>
        </w:rPr>
        <w:t>应符合下列基本规定：</w:t>
      </w:r>
    </w:p>
    <w:p w14:paraId="5DC7BE99">
      <w:pPr>
        <w:spacing w:line="400" w:lineRule="exact"/>
        <w:ind w:firstLine="422" w:firstLineChars="200"/>
        <w:rPr>
          <w:color w:val="000000"/>
          <w:szCs w:val="21"/>
        </w:rPr>
      </w:pPr>
      <w:r>
        <w:rPr>
          <w:b/>
          <w:bCs/>
          <w:color w:val="000000"/>
          <w:szCs w:val="21"/>
        </w:rPr>
        <w:t>1</w:t>
      </w:r>
      <w:r>
        <w:rPr>
          <w:color w:val="000000"/>
          <w:szCs w:val="21"/>
        </w:rPr>
        <w:t xml:space="preserve">  </w:t>
      </w:r>
      <w:r>
        <w:rPr>
          <w:rFonts w:hint="eastAsia" w:ascii="宋体" w:hAnsi="宋体" w:cs="宋体"/>
          <w:bCs/>
          <w:color w:val="000000"/>
          <w:szCs w:val="21"/>
        </w:rPr>
        <w:t>所用材料、部品</w:t>
      </w:r>
      <w:r>
        <w:rPr>
          <w:color w:val="000000"/>
          <w:szCs w:val="21"/>
        </w:rPr>
        <w:t>的品种、规格、性能、外观、燃烧等级、甲醛释放量等应符合设计要求和国家现行有关标准的规定</w:t>
      </w:r>
      <w:r>
        <w:rPr>
          <w:rFonts w:hint="eastAsia"/>
          <w:color w:val="000000"/>
          <w:szCs w:val="21"/>
        </w:rPr>
        <w:t>，</w:t>
      </w:r>
      <w:r>
        <w:rPr>
          <w:color w:val="000000"/>
          <w:szCs w:val="21"/>
        </w:rPr>
        <w:t>对于用量较大的辅料产品也应提供相应检测报告，涉及安全、节能、环境保护和主要使用功能的重要材料和部品，应进行复验</w:t>
      </w:r>
      <w:r>
        <w:rPr>
          <w:rFonts w:hint="eastAsia"/>
          <w:color w:val="000000"/>
          <w:szCs w:val="21"/>
        </w:rPr>
        <w:t>；</w:t>
      </w:r>
    </w:p>
    <w:p w14:paraId="4BEB2AE2">
      <w:pPr>
        <w:spacing w:line="400" w:lineRule="exact"/>
        <w:ind w:firstLine="422" w:firstLineChars="200"/>
        <w:rPr>
          <w:rFonts w:eastAsia="微软雅黑"/>
          <w:color w:val="000000"/>
          <w:szCs w:val="21"/>
          <w:shd w:val="clear" w:color="auto" w:fill="FFFFFF"/>
        </w:rPr>
      </w:pPr>
      <w:r>
        <w:rPr>
          <w:b/>
          <w:bCs/>
          <w:color w:val="000000"/>
          <w:szCs w:val="21"/>
        </w:rPr>
        <w:t>2</w:t>
      </w:r>
      <w:r>
        <w:rPr>
          <w:color w:val="000000"/>
          <w:szCs w:val="21"/>
        </w:rPr>
        <w:t xml:space="preserve">  应先对样板间进行室内环境污染物浓度检测，检测结果合格后再进行批量工程的施工，装配式内装修工程应在工程完工</w:t>
      </w:r>
      <w:r>
        <w:rPr>
          <w:rFonts w:hint="eastAsia"/>
          <w:color w:val="000000"/>
          <w:szCs w:val="21"/>
        </w:rPr>
        <w:t xml:space="preserve"> </w:t>
      </w:r>
      <w:r>
        <w:rPr>
          <w:color w:val="000000"/>
          <w:szCs w:val="21"/>
        </w:rPr>
        <w:t>7 d后、工程交付使用前进行室内环境质量验收。</w:t>
      </w:r>
    </w:p>
    <w:p w14:paraId="0513045D">
      <w:pPr>
        <w:spacing w:line="400" w:lineRule="exact"/>
        <w:rPr>
          <w:color w:val="000000"/>
          <w:szCs w:val="21"/>
        </w:rPr>
      </w:pPr>
      <w:r>
        <w:rPr>
          <w:b/>
          <w:bCs/>
          <w:color w:val="000000"/>
          <w:szCs w:val="21"/>
        </w:rPr>
        <w:t>7.1</w:t>
      </w:r>
      <w:r>
        <w:rPr>
          <w:rFonts w:hint="eastAsia"/>
          <w:b/>
          <w:bCs/>
          <w:color w:val="000000"/>
          <w:szCs w:val="21"/>
        </w:rPr>
        <w:t>6</w:t>
      </w:r>
      <w:r>
        <w:rPr>
          <w:b/>
          <w:bCs/>
          <w:color w:val="000000"/>
          <w:szCs w:val="21"/>
        </w:rPr>
        <w:t>.2</w:t>
      </w:r>
      <w:r>
        <w:rPr>
          <w:color w:val="000000"/>
          <w:szCs w:val="21"/>
        </w:rPr>
        <w:t> </w:t>
      </w:r>
      <w:r>
        <w:rPr>
          <w:rFonts w:hint="eastAsia" w:ascii="宋体" w:hAnsi="宋体" w:cs="宋体"/>
          <w:bCs/>
          <w:color w:val="000000"/>
          <w:szCs w:val="21"/>
        </w:rPr>
        <w:t>装配式隔墙与墙面工程</w:t>
      </w:r>
      <w:r>
        <w:rPr>
          <w:color w:val="000000"/>
          <w:szCs w:val="21"/>
        </w:rPr>
        <w:t>应符合下列规定：</w:t>
      </w:r>
    </w:p>
    <w:p w14:paraId="5384BDA8">
      <w:pPr>
        <w:spacing w:line="400" w:lineRule="exact"/>
        <w:ind w:firstLine="422" w:firstLineChars="200"/>
        <w:rPr>
          <w:color w:val="000000"/>
          <w:szCs w:val="21"/>
        </w:rPr>
      </w:pPr>
      <w:r>
        <w:rPr>
          <w:b/>
          <w:bCs/>
          <w:color w:val="000000"/>
          <w:szCs w:val="21"/>
        </w:rPr>
        <w:t>1</w:t>
      </w:r>
      <w:r>
        <w:rPr>
          <w:color w:val="000000"/>
          <w:szCs w:val="21"/>
        </w:rPr>
        <w:t>  装配式条板隔墙的预埋件、连接件的位置、规格、</w:t>
      </w:r>
      <w:r>
        <w:rPr>
          <w:rFonts w:hint="eastAsia" w:ascii="宋体" w:hAnsi="宋体" w:cs="宋体"/>
          <w:bCs/>
          <w:color w:val="000000"/>
          <w:szCs w:val="21"/>
        </w:rPr>
        <w:t>数量和连接方法应符合设计要求</w:t>
      </w:r>
      <w:r>
        <w:rPr>
          <w:rFonts w:hint="eastAsia"/>
          <w:color w:val="000000"/>
          <w:szCs w:val="21"/>
        </w:rPr>
        <w:t>，</w:t>
      </w:r>
      <w:r>
        <w:rPr>
          <w:rFonts w:hint="eastAsia" w:ascii="宋体" w:hAnsi="宋体" w:cs="宋体"/>
          <w:bCs/>
          <w:color w:val="000000"/>
          <w:szCs w:val="21"/>
        </w:rPr>
        <w:t>条板隔墙的条板之间、条板与建筑主体结构的结合应牢固、稳定，连接方法应符合设计要求</w:t>
      </w:r>
      <w:r>
        <w:rPr>
          <w:rFonts w:hint="eastAsia"/>
          <w:color w:val="000000"/>
          <w:szCs w:val="21"/>
        </w:rPr>
        <w:t>；</w:t>
      </w:r>
    </w:p>
    <w:p w14:paraId="30677ABE">
      <w:pPr>
        <w:spacing w:line="400" w:lineRule="exact"/>
        <w:rPr>
          <w:color w:val="000000"/>
          <w:szCs w:val="21"/>
        </w:rPr>
      </w:pPr>
      <w:r>
        <w:rPr>
          <w:color w:val="000000"/>
          <w:szCs w:val="21"/>
        </w:rPr>
        <w:t>    </w:t>
      </w:r>
      <w:r>
        <w:rPr>
          <w:b/>
          <w:bCs/>
          <w:color w:val="000000"/>
          <w:szCs w:val="21"/>
        </w:rPr>
        <w:t>2</w:t>
      </w:r>
      <w:r>
        <w:rPr>
          <w:color w:val="000000"/>
          <w:szCs w:val="21"/>
        </w:rPr>
        <w:t xml:space="preserve">  </w:t>
      </w:r>
      <w:r>
        <w:rPr>
          <w:rFonts w:hint="eastAsia" w:ascii="宋体" w:hAnsi="宋体" w:cs="宋体"/>
          <w:bCs/>
          <w:color w:val="000000"/>
          <w:szCs w:val="21"/>
        </w:rPr>
        <w:t>有防水、防潮要求的房间，龙骨隔墙应采取相关措施，墙面板宜采用</w:t>
      </w:r>
      <w:r>
        <w:rPr>
          <w:color w:val="000000"/>
          <w:szCs w:val="21"/>
        </w:rPr>
        <w:t>耐水饰面一体化集成板，门与板交界处、板缝之间应做防水处理，</w:t>
      </w:r>
      <w:r>
        <w:rPr>
          <w:rFonts w:hint="eastAsia" w:ascii="宋体" w:hAnsi="宋体" w:cs="宋体"/>
          <w:bCs/>
          <w:color w:val="000000"/>
          <w:szCs w:val="21"/>
        </w:rPr>
        <w:t>墙面饰面板的接缝应嵌填密实</w:t>
      </w:r>
      <w:r>
        <w:rPr>
          <w:color w:val="000000"/>
          <w:szCs w:val="21"/>
        </w:rPr>
        <w:t>、平直，宽度和深度应符合设计要求，嵌填材料色泽应一致</w:t>
      </w:r>
      <w:r>
        <w:rPr>
          <w:rFonts w:hint="eastAsia"/>
          <w:color w:val="000000"/>
          <w:szCs w:val="21"/>
        </w:rPr>
        <w:t>；</w:t>
      </w:r>
    </w:p>
    <w:p w14:paraId="15230416">
      <w:pPr>
        <w:spacing w:line="400" w:lineRule="exact"/>
        <w:rPr>
          <w:color w:val="000000"/>
          <w:szCs w:val="21"/>
        </w:rPr>
      </w:pPr>
      <w:r>
        <w:rPr>
          <w:color w:val="000000"/>
          <w:szCs w:val="21"/>
        </w:rPr>
        <w:t>    </w:t>
      </w:r>
      <w:r>
        <w:rPr>
          <w:b/>
          <w:bCs/>
          <w:color w:val="000000"/>
          <w:szCs w:val="21"/>
        </w:rPr>
        <w:t xml:space="preserve">3  </w:t>
      </w:r>
      <w:r>
        <w:rPr>
          <w:color w:val="000000"/>
          <w:szCs w:val="21"/>
        </w:rPr>
        <w:t>隔墙上需固定或吊挂重物时，应采用可靠的加固措施；</w:t>
      </w:r>
    </w:p>
    <w:p w14:paraId="200FC864">
      <w:pPr>
        <w:spacing w:line="400" w:lineRule="exact"/>
        <w:rPr>
          <w:color w:val="000000"/>
          <w:szCs w:val="21"/>
        </w:rPr>
      </w:pPr>
      <w:r>
        <w:rPr>
          <w:color w:val="000000"/>
          <w:szCs w:val="21"/>
        </w:rPr>
        <w:t>    </w:t>
      </w:r>
      <w:r>
        <w:rPr>
          <w:b/>
          <w:bCs/>
          <w:color w:val="000000"/>
          <w:szCs w:val="21"/>
        </w:rPr>
        <w:t>4</w:t>
      </w:r>
      <w:r>
        <w:rPr>
          <w:color w:val="000000"/>
          <w:szCs w:val="21"/>
        </w:rPr>
        <w:t xml:space="preserve">  门窗洞口、墙体转角连接处等部位的龙骨应进行加强处理，龙骨隔墙上的孔洞、槽、盒应位置正确、套割方正、边缘整齐</w:t>
      </w:r>
      <w:r>
        <w:rPr>
          <w:rFonts w:hint="eastAsia"/>
          <w:color w:val="000000"/>
          <w:szCs w:val="21"/>
        </w:rPr>
        <w:t>；</w:t>
      </w:r>
    </w:p>
    <w:p w14:paraId="2DBFAB67">
      <w:pPr>
        <w:spacing w:line="400" w:lineRule="exact"/>
        <w:ind w:firstLine="422" w:firstLineChars="200"/>
        <w:rPr>
          <w:color w:val="000000"/>
          <w:szCs w:val="21"/>
        </w:rPr>
      </w:pPr>
      <w:r>
        <w:rPr>
          <w:b/>
          <w:bCs/>
          <w:color w:val="000000"/>
          <w:szCs w:val="21"/>
        </w:rPr>
        <w:t>5</w:t>
      </w:r>
      <w:r>
        <w:rPr>
          <w:color w:val="000000"/>
          <w:szCs w:val="21"/>
        </w:rPr>
        <w:t xml:space="preserve">  装配式墙面表面应平整、洁净、色泽均匀，带纹理饰面板朝向应一致，不应有裂痕、磨痕、翘曲、裂缝和缺损，墙面造型、图案颜色、排布形式和外形尺寸应符合设计要求</w:t>
      </w:r>
      <w:r>
        <w:rPr>
          <w:rFonts w:hint="eastAsia"/>
          <w:color w:val="000000"/>
          <w:szCs w:val="21"/>
        </w:rPr>
        <w:t>；</w:t>
      </w:r>
    </w:p>
    <w:p w14:paraId="37E3C55A">
      <w:pPr>
        <w:pStyle w:val="2"/>
        <w:spacing w:line="400" w:lineRule="exact"/>
        <w:ind w:left="0" w:leftChars="0" w:firstLine="422" w:firstLineChars="200"/>
        <w:rPr>
          <w:color w:val="000000" w:themeColor="text1"/>
          <w:kern w:val="0"/>
          <w:szCs w:val="21"/>
          <w:lang w:bidi="ar"/>
          <w14:textFill>
            <w14:solidFill>
              <w14:schemeClr w14:val="tx1"/>
            </w14:solidFill>
          </w14:textFill>
        </w:rPr>
      </w:pPr>
      <w:r>
        <w:rPr>
          <w:rFonts w:hint="eastAsia"/>
          <w:b/>
          <w:bCs/>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 xml:space="preserve">  内外条板墙安装</w:t>
      </w:r>
      <w:r>
        <w:rPr>
          <w:rFonts w:ascii="Arial" w:hAnsi="Arial" w:cs="Arial"/>
          <w:color w:val="000000" w:themeColor="text1"/>
          <w:kern w:val="0"/>
          <w:szCs w:val="21"/>
          <w:lang w:bidi="ar"/>
          <w14:textFill>
            <w14:solidFill>
              <w14:schemeClr w14:val="tx1"/>
            </w14:solidFill>
          </w14:textFill>
        </w:rPr>
        <w:t>应满足结构设计要求</w:t>
      </w:r>
      <w:r>
        <w:rPr>
          <w:rFonts w:hint="eastAsia" w:ascii="Arial" w:hAnsi="Arial" w:cs="Arial"/>
          <w:color w:val="000000" w:themeColor="text1"/>
          <w:kern w:val="0"/>
          <w:szCs w:val="21"/>
          <w:lang w:bidi="ar"/>
          <w14:textFill>
            <w14:solidFill>
              <w14:schemeClr w14:val="tx1"/>
            </w14:solidFill>
          </w14:textFill>
        </w:rPr>
        <w:t>。</w:t>
      </w:r>
      <w:r>
        <w:rPr>
          <w:rFonts w:ascii="Arial" w:hAnsi="Arial" w:cs="Arial"/>
          <w:color w:val="000000" w:themeColor="text1"/>
          <w:kern w:val="0"/>
          <w:szCs w:val="21"/>
          <w:lang w:bidi="ar"/>
          <w14:textFill>
            <w14:solidFill>
              <w14:schemeClr w14:val="tx1"/>
            </w14:solidFill>
          </w14:textFill>
        </w:rPr>
        <w:t>板材和主体结构之间应预留缝隙，采用柔性连接，外墙板应设温度缝，</w:t>
      </w:r>
      <w:r>
        <w:rPr>
          <w:rFonts w:hint="eastAsia" w:ascii="Arial" w:hAnsi="Arial" w:cs="Arial"/>
          <w:color w:val="000000" w:themeColor="text1"/>
          <w:kern w:val="0"/>
          <w:szCs w:val="21"/>
          <w:lang w:bidi="ar"/>
          <w14:textFill>
            <w14:solidFill>
              <w14:schemeClr w14:val="tx1"/>
            </w14:solidFill>
          </w14:textFill>
        </w:rPr>
        <w:t>宜</w:t>
      </w:r>
      <w:r>
        <w:rPr>
          <w:rFonts w:ascii="Arial" w:hAnsi="Arial" w:cs="Arial"/>
          <w:color w:val="000000" w:themeColor="text1"/>
          <w:kern w:val="0"/>
          <w:szCs w:val="21"/>
          <w:lang w:bidi="ar"/>
          <w14:textFill>
            <w14:solidFill>
              <w14:schemeClr w14:val="tx1"/>
            </w14:solidFill>
          </w14:textFill>
        </w:rPr>
        <w:t>设在板材与梁柱交接处</w:t>
      </w:r>
      <w:r>
        <w:rPr>
          <w:rFonts w:hint="eastAsia" w:ascii="Arial" w:hAnsi="Arial" w:cs="Arial"/>
          <w:color w:val="000000" w:themeColor="text1"/>
          <w:kern w:val="0"/>
          <w:szCs w:val="21"/>
          <w:lang w:bidi="ar"/>
          <w14:textFill>
            <w14:solidFill>
              <w14:schemeClr w14:val="tx1"/>
            </w14:solidFill>
          </w14:textFill>
        </w:rPr>
        <w:t>。</w:t>
      </w:r>
      <w:r>
        <w:rPr>
          <w:rFonts w:ascii="Arial" w:hAnsi="Arial" w:cs="Arial"/>
          <w:color w:val="000000" w:themeColor="text1"/>
          <w:kern w:val="0"/>
          <w:szCs w:val="21"/>
          <w:lang w:bidi="ar"/>
          <w14:textFill>
            <w14:solidFill>
              <w14:schemeClr w14:val="tx1"/>
            </w14:solidFill>
          </w14:textFill>
        </w:rPr>
        <w:t>板材在涂抹粘接剂前先将基层清理干净，粘接剂灰缝饱满，厚度不应</w:t>
      </w:r>
      <w:r>
        <w:rPr>
          <w:color w:val="000000" w:themeColor="text1"/>
          <w:kern w:val="0"/>
          <w:szCs w:val="21"/>
          <w:lang w:bidi="ar"/>
          <w14:textFill>
            <w14:solidFill>
              <w14:schemeClr w14:val="tx1"/>
            </w14:solidFill>
          </w14:textFill>
        </w:rPr>
        <w:t>大于5 mm，饱满度大于80 %</w:t>
      </w:r>
      <w:r>
        <w:rPr>
          <w:rFonts w:hint="eastAsia"/>
          <w:color w:val="000000" w:themeColor="text1"/>
          <w:kern w:val="0"/>
          <w:szCs w:val="21"/>
          <w:lang w:bidi="ar"/>
          <w14:textFill>
            <w14:solidFill>
              <w14:schemeClr w14:val="tx1"/>
            </w14:solidFill>
          </w14:textFill>
        </w:rPr>
        <w:t>；</w:t>
      </w:r>
      <w:r>
        <w:rPr>
          <w:rFonts w:ascii="Arial" w:hAnsi="Arial" w:cs="Arial"/>
          <w:color w:val="000000" w:themeColor="text1"/>
          <w:kern w:val="0"/>
          <w:szCs w:val="21"/>
          <w:lang w:bidi="ar"/>
          <w14:textFill>
            <w14:solidFill>
              <w14:schemeClr w14:val="tx1"/>
            </w14:solidFill>
          </w14:textFill>
        </w:rPr>
        <w:br w:type="textWrapping"/>
      </w:r>
      <w:r>
        <w:rPr>
          <w:rFonts w:hint="eastAsia" w:ascii="Arial" w:hAnsi="Arial" w:cs="Arial"/>
          <w:color w:val="000000" w:themeColor="text1"/>
          <w:kern w:val="0"/>
          <w:szCs w:val="21"/>
          <w:lang w:bidi="ar"/>
          <w14:textFill>
            <w14:solidFill>
              <w14:schemeClr w14:val="tx1"/>
            </w14:solidFill>
          </w14:textFill>
        </w:rPr>
        <w:t xml:space="preserve">   </w:t>
      </w:r>
      <w:r>
        <w:rPr>
          <w:b/>
          <w:bCs/>
          <w:color w:val="000000" w:themeColor="text1"/>
          <w:kern w:val="0"/>
          <w:szCs w:val="21"/>
          <w:lang w:bidi="ar"/>
          <w14:textFill>
            <w14:solidFill>
              <w14:schemeClr w14:val="tx1"/>
            </w14:solidFill>
          </w14:textFill>
        </w:rPr>
        <w:t xml:space="preserve"> 7</w:t>
      </w:r>
      <w:r>
        <w:rPr>
          <w:color w:val="000000" w:themeColor="text1"/>
          <w:kern w:val="0"/>
          <w:szCs w:val="21"/>
          <w:lang w:bidi="ar"/>
          <w14:textFill>
            <w14:solidFill>
              <w14:schemeClr w14:val="tx1"/>
            </w14:solidFill>
          </w14:textFill>
        </w:rPr>
        <w:t xml:space="preserve">  内外条板墙装饰装修做法应符合下列规定：</w:t>
      </w:r>
    </w:p>
    <w:p w14:paraId="4140BA77">
      <w:pPr>
        <w:pStyle w:val="2"/>
        <w:spacing w:line="400" w:lineRule="exact"/>
        <w:ind w:left="0" w:leftChars="0" w:firstLine="420" w:firstLineChars="200"/>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1）在装修前，应确认板材的安装位置，并应对板材表面进行清洗、涂刷防水涂料等；</w:t>
      </w:r>
    </w:p>
    <w:p w14:paraId="747CCA50">
      <w:pPr>
        <w:pStyle w:val="2"/>
        <w:spacing w:line="400" w:lineRule="exact"/>
        <w:ind w:left="0" w:leftChars="0" w:firstLine="420" w:firstLineChars="200"/>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2）条板安装后应检查安装是否平整、结实、无明显缺陷；</w:t>
      </w:r>
    </w:p>
    <w:p w14:paraId="51E742F5">
      <w:pPr>
        <w:pStyle w:val="2"/>
        <w:spacing w:line="400" w:lineRule="exact"/>
        <w:ind w:left="0" w:leftChars="0" w:firstLine="420" w:firstLineChars="200"/>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3）当</w:t>
      </w:r>
      <w:r>
        <w:rPr>
          <w:color w:val="000000" w:themeColor="text1"/>
          <w:szCs w:val="21"/>
          <w14:textFill>
            <w14:solidFill>
              <w14:schemeClr w14:val="tx1"/>
            </w14:solidFill>
          </w14:textFill>
        </w:rPr>
        <w:t>外墙面不做保温时，应在刮腻子前满涂聚合物砂浆，在采用防水腻子、喷涂料。内墙面可直接刮腻子、喷涂料</w:t>
      </w:r>
      <w:r>
        <w:rPr>
          <w:rFonts w:hint="eastAsia"/>
          <w:color w:val="000000" w:themeColor="text1"/>
          <w:szCs w:val="21"/>
          <w14:textFill>
            <w14:solidFill>
              <w14:schemeClr w14:val="tx1"/>
            </w14:solidFill>
          </w14:textFill>
        </w:rPr>
        <w:t>；</w:t>
      </w:r>
    </w:p>
    <w:p w14:paraId="3C69005C">
      <w:pPr>
        <w:pStyle w:val="2"/>
        <w:spacing w:line="400" w:lineRule="exact"/>
        <w:ind w:left="0" w:leftChars="0"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 xml:space="preserve"> </w:t>
      </w:r>
      <w:r>
        <w:rPr>
          <w:color w:val="000000" w:themeColor="text1"/>
          <w:kern w:val="0"/>
          <w:szCs w:val="21"/>
          <w:lang w:bidi="ar"/>
          <w14:textFill>
            <w14:solidFill>
              <w14:schemeClr w14:val="tx1"/>
            </w14:solidFill>
          </w14:textFill>
        </w:rPr>
        <w:t>当</w:t>
      </w:r>
      <w:r>
        <w:rPr>
          <w:color w:val="000000" w:themeColor="text1"/>
          <w:szCs w:val="21"/>
          <w14:textFill>
            <w14:solidFill>
              <w14:schemeClr w14:val="tx1"/>
            </w14:solidFill>
          </w14:textFill>
        </w:rPr>
        <w:t>外墙面采用水性涂料且内墙有恒温要求时，应在接触面采用水性涂料。</w:t>
      </w:r>
    </w:p>
    <w:p w14:paraId="72319570">
      <w:pPr>
        <w:pStyle w:val="2"/>
        <w:spacing w:line="400" w:lineRule="exact"/>
        <w:ind w:left="0" w:leftChars="0" w:firstLine="422" w:firstLineChars="200"/>
        <w:rPr>
          <w:color w:val="000000" w:themeColor="text1"/>
          <w:kern w:val="0"/>
          <w:szCs w:val="21"/>
          <w:lang w:bidi="ar"/>
          <w14:textFill>
            <w14:solidFill>
              <w14:schemeClr w14:val="tx1"/>
            </w14:solidFill>
          </w14:textFill>
        </w:rPr>
      </w:pPr>
      <w:r>
        <w:rPr>
          <w:b/>
          <w:bCs/>
          <w:color w:val="000000" w:themeColor="text1"/>
          <w:kern w:val="0"/>
          <w:szCs w:val="21"/>
          <w:lang w:bidi="ar"/>
          <w14:textFill>
            <w14:solidFill>
              <w14:schemeClr w14:val="tx1"/>
            </w14:solidFill>
          </w14:textFill>
        </w:rPr>
        <w:t>8</w:t>
      </w:r>
      <w:r>
        <w:rPr>
          <w:color w:val="000000" w:themeColor="text1"/>
          <w:kern w:val="0"/>
          <w:szCs w:val="21"/>
          <w:lang w:bidi="ar"/>
          <w14:textFill>
            <w14:solidFill>
              <w14:schemeClr w14:val="tx1"/>
            </w14:solidFill>
          </w14:textFill>
        </w:rPr>
        <w:t xml:space="preserve">  内外条板墙接缝装饰装修构造做法应符合下列规定：</w:t>
      </w:r>
    </w:p>
    <w:p w14:paraId="7D29B9E6">
      <w:pPr>
        <w:pStyle w:val="2"/>
        <w:spacing w:line="400" w:lineRule="exact"/>
        <w:ind w:left="0" w:leftChars="0" w:firstLine="422" w:firstLineChars="200"/>
        <w:rPr>
          <w:color w:val="000000" w:themeColor="text1"/>
          <w:kern w:val="0"/>
          <w:szCs w:val="21"/>
          <w:lang w:bidi="ar"/>
          <w14:textFill>
            <w14:solidFill>
              <w14:schemeClr w14:val="tx1"/>
            </w14:solidFill>
          </w14:textFill>
        </w:rPr>
      </w:pPr>
      <w:r>
        <w:rPr>
          <w:rFonts w:hint="eastAsia"/>
          <w:b/>
          <w:bCs/>
          <w:color w:val="000000" w:themeColor="text1"/>
          <w:kern w:val="0"/>
          <w:szCs w:val="21"/>
          <w:lang w:bidi="ar"/>
          <w14:textFill>
            <w14:solidFill>
              <w14:schemeClr w14:val="tx1"/>
            </w14:solidFill>
          </w14:textFill>
        </w:rPr>
        <w:t>1）</w:t>
      </w:r>
      <w:r>
        <w:rPr>
          <w:color w:val="000000" w:themeColor="text1"/>
          <w:kern w:val="0"/>
          <w:szCs w:val="21"/>
          <w:lang w:bidi="ar"/>
          <w14:textFill>
            <w14:solidFill>
              <w14:schemeClr w14:val="tx1"/>
            </w14:solidFill>
          </w14:textFill>
        </w:rPr>
        <w:t>缝内处理应在板材之间和板材与墙体之间的缝隙处填充密封材料，板缝内应先灌水湿润，再灌聚合物水泥砂浆</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并应及时将板拼缝斜口上的砂浆清理干净</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在板缝内的填充砂浆未全硬化以前，不应使板受到振动和冲击，以防止水、气体等渗透；</w:t>
      </w:r>
    </w:p>
    <w:p w14:paraId="68798D76">
      <w:pPr>
        <w:pStyle w:val="2"/>
        <w:spacing w:line="400" w:lineRule="exact"/>
        <w:ind w:left="0" w:leftChars="0" w:firstLine="422" w:firstLineChars="200"/>
        <w:rPr>
          <w:color w:val="000000" w:themeColor="text1"/>
          <w:szCs w:val="21"/>
          <w14:textFill>
            <w14:solidFill>
              <w14:schemeClr w14:val="tx1"/>
            </w14:solidFill>
          </w14:textFill>
        </w:rPr>
      </w:pPr>
      <w:r>
        <w:rPr>
          <w:rFonts w:hint="eastAsia"/>
          <w:b/>
          <w:bCs/>
          <w:color w:val="000000" w:themeColor="text1"/>
          <w:kern w:val="0"/>
          <w:szCs w:val="21"/>
          <w:lang w:bidi="ar"/>
          <w14:textFill>
            <w14:solidFill>
              <w14:schemeClr w14:val="tx1"/>
            </w14:solidFill>
          </w14:textFill>
        </w:rPr>
        <w:t>2</w:t>
      </w:r>
      <w:r>
        <w:rPr>
          <w:b/>
          <w:bCs/>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接缝表面处理</w:t>
      </w:r>
      <w:r>
        <w:rPr>
          <w:rFonts w:hint="eastAsia"/>
          <w:color w:val="000000" w:themeColor="text1"/>
          <w:kern w:val="0"/>
          <w:szCs w:val="21"/>
          <w:lang w:bidi="ar"/>
          <w14:textFill>
            <w14:solidFill>
              <w14:schemeClr w14:val="tx1"/>
            </w14:solidFill>
          </w14:textFill>
        </w:rPr>
        <w:t>应</w:t>
      </w:r>
      <w:r>
        <w:rPr>
          <w:color w:val="000000" w:themeColor="text1"/>
          <w:kern w:val="0"/>
          <w:szCs w:val="21"/>
          <w:lang w:bidi="ar"/>
          <w14:textFill>
            <w14:solidFill>
              <w14:schemeClr w14:val="tx1"/>
            </w14:solidFill>
          </w14:textFill>
        </w:rPr>
        <w:t>采用切割机在结构间交接部位切割20 mm深的“V”型槽，槽内应采用条板专用粘接砂浆填实、抹平，并采用白乳胶粘贴200 mm宽抗裂绷带；</w:t>
      </w:r>
      <w:r>
        <w:rPr>
          <w:color w:val="000000" w:themeColor="text1"/>
          <w:szCs w:val="21"/>
          <w14:textFill>
            <w14:solidFill>
              <w14:schemeClr w14:val="tx1"/>
            </w14:solidFill>
          </w14:textFill>
        </w:rPr>
        <w:t>墙体基层满刷一遍界面剂</w:t>
      </w:r>
      <w:r>
        <w:rPr>
          <w:rFonts w:hint="eastAsia"/>
          <w:color w:val="000000" w:themeColor="text1"/>
          <w:szCs w:val="21"/>
          <w14:textFill>
            <w14:solidFill>
              <w14:schemeClr w14:val="tx1"/>
            </w14:solidFill>
          </w14:textFill>
        </w:rPr>
        <w:t>，满足</w:t>
      </w:r>
      <w:r>
        <w:rPr>
          <w:color w:val="000000" w:themeColor="text1"/>
          <w:szCs w:val="21"/>
          <w14:textFill>
            <w14:solidFill>
              <w14:schemeClr w14:val="tx1"/>
            </w14:solidFill>
          </w14:textFill>
        </w:rPr>
        <w:t>160 g/m</w:t>
      </w:r>
      <w:r>
        <w:rPr>
          <w:color w:val="000000" w:themeColor="text1"/>
          <w:szCs w:val="21"/>
          <w:vertAlign w:val="superscript"/>
          <w14:textFill>
            <w14:solidFill>
              <w14:schemeClr w14:val="tx1"/>
            </w14:solidFill>
          </w14:textFill>
        </w:rPr>
        <w:t>2</w:t>
      </w:r>
      <w:r>
        <w:rPr>
          <w:rFonts w:hint="eastAsia"/>
          <w:color w:val="000000" w:themeColor="text1"/>
          <w:kern w:val="0"/>
          <w:szCs w:val="21"/>
          <w:lang w:bidi="ar"/>
          <w14:textFill>
            <w14:solidFill>
              <w14:schemeClr w14:val="tx1"/>
            </w14:solidFill>
          </w14:textFill>
        </w:rPr>
        <w:t>的</w:t>
      </w:r>
      <w:r>
        <w:rPr>
          <w:rFonts w:hint="eastAsia"/>
          <w:color w:val="000000" w:themeColor="text1"/>
          <w:szCs w:val="21"/>
          <w14:textFill>
            <w14:solidFill>
              <w14:schemeClr w14:val="tx1"/>
            </w14:solidFill>
          </w14:textFill>
        </w:rPr>
        <w:t>要求</w:t>
      </w:r>
      <w:r>
        <w:rPr>
          <w:color w:val="000000" w:themeColor="text1"/>
          <w:szCs w:val="21"/>
          <w14:textFill>
            <w14:solidFill>
              <w14:schemeClr w14:val="tx1"/>
            </w14:solidFill>
          </w14:textFill>
        </w:rPr>
        <w:t>，满刮腻子前表面</w:t>
      </w:r>
      <w:r>
        <w:rPr>
          <w:rFonts w:hint="eastAsia"/>
          <w:color w:val="000000" w:themeColor="text1"/>
          <w:szCs w:val="21"/>
          <w14:textFill>
            <w14:solidFill>
              <w14:schemeClr w14:val="tx1"/>
            </w14:solidFill>
          </w14:textFill>
        </w:rPr>
        <w:t>应</w:t>
      </w:r>
      <w:r>
        <w:rPr>
          <w:color w:val="000000" w:themeColor="text1"/>
          <w:szCs w:val="21"/>
          <w14:textFill>
            <w14:solidFill>
              <w14:schemeClr w14:val="tx1"/>
            </w14:solidFill>
          </w14:textFill>
        </w:rPr>
        <w:t>压入一道耐碱玻纤网。</w:t>
      </w:r>
    </w:p>
    <w:p w14:paraId="3606B6FB">
      <w:pPr>
        <w:spacing w:line="400" w:lineRule="exact"/>
        <w:rPr>
          <w:color w:val="000000"/>
          <w:szCs w:val="21"/>
          <w:shd w:val="clear" w:color="auto" w:fill="FFFFFF"/>
        </w:rPr>
      </w:pPr>
      <w:r>
        <w:rPr>
          <w:b/>
          <w:bCs/>
          <w:color w:val="000000"/>
          <w:szCs w:val="21"/>
          <w:shd w:val="clear" w:color="auto" w:fill="FFFFFF"/>
        </w:rPr>
        <w:t>7.1</w:t>
      </w:r>
      <w:r>
        <w:rPr>
          <w:rFonts w:hint="eastAsia"/>
          <w:b/>
          <w:bCs/>
          <w:color w:val="000000"/>
          <w:szCs w:val="21"/>
          <w:shd w:val="clear" w:color="auto" w:fill="FFFFFF"/>
        </w:rPr>
        <w:t>6</w:t>
      </w:r>
      <w:r>
        <w:rPr>
          <w:b/>
          <w:bCs/>
          <w:color w:val="000000"/>
          <w:szCs w:val="21"/>
          <w:shd w:val="clear" w:color="auto" w:fill="FFFFFF"/>
        </w:rPr>
        <w:t>.3</w:t>
      </w:r>
      <w:r>
        <w:rPr>
          <w:rFonts w:hint="eastAsia"/>
          <w:b/>
          <w:bCs/>
          <w:color w:val="000000"/>
          <w:szCs w:val="21"/>
          <w:shd w:val="clear" w:color="auto" w:fill="FFFFFF"/>
        </w:rPr>
        <w:t xml:space="preserve">  </w:t>
      </w:r>
      <w:r>
        <w:rPr>
          <w:color w:val="000000"/>
          <w:szCs w:val="21"/>
          <w:shd w:val="clear" w:color="auto" w:fill="FFFFFF"/>
        </w:rPr>
        <w:t>装配式吊顶板</w:t>
      </w:r>
      <w:r>
        <w:rPr>
          <w:color w:val="000000"/>
          <w:szCs w:val="21"/>
        </w:rPr>
        <w:t>应符合下列规定：</w:t>
      </w:r>
    </w:p>
    <w:p w14:paraId="1E6D0388">
      <w:pPr>
        <w:spacing w:line="400" w:lineRule="exact"/>
        <w:ind w:firstLine="422" w:firstLineChars="200"/>
        <w:rPr>
          <w:color w:val="000000"/>
          <w:szCs w:val="21"/>
        </w:rPr>
      </w:pPr>
      <w:r>
        <w:rPr>
          <w:b/>
          <w:bCs/>
          <w:color w:val="000000"/>
          <w:szCs w:val="21"/>
        </w:rPr>
        <w:t xml:space="preserve">1 </w:t>
      </w:r>
      <w:r>
        <w:rPr>
          <w:color w:val="000000"/>
          <w:szCs w:val="21"/>
        </w:rPr>
        <w:t> 装配式吊顶</w:t>
      </w:r>
      <w:r>
        <w:rPr>
          <w:color w:val="000000"/>
          <w:szCs w:val="21"/>
          <w:shd w:val="clear" w:color="auto" w:fill="FFFFFF"/>
        </w:rPr>
        <w:t>所用吊杆、龙骨、连接件的质量、规格、安装间距、连接方式及加强处理应符合设计要求，材料应相互兼容，防止电化学腐蚀，</w:t>
      </w:r>
      <w:r>
        <w:rPr>
          <w:color w:val="000000"/>
          <w:szCs w:val="21"/>
        </w:rPr>
        <w:t>主龙骨不应被设备管线、风口、灯具、检修口等切断</w:t>
      </w:r>
      <w:r>
        <w:rPr>
          <w:rFonts w:hint="eastAsia"/>
          <w:color w:val="000000"/>
          <w:szCs w:val="21"/>
        </w:rPr>
        <w:t>；</w:t>
      </w:r>
      <w:r>
        <w:rPr>
          <w:color w:val="000000"/>
          <w:szCs w:val="21"/>
        </w:rPr>
        <w:t> </w:t>
      </w:r>
    </w:p>
    <w:p w14:paraId="3659D20C">
      <w:pPr>
        <w:spacing w:line="400" w:lineRule="exact"/>
        <w:ind w:firstLine="422" w:firstLineChars="200"/>
        <w:rPr>
          <w:color w:val="000000"/>
          <w:szCs w:val="21"/>
          <w:shd w:val="clear" w:color="auto" w:fill="FFFFFF"/>
        </w:rPr>
      </w:pPr>
      <w:r>
        <w:rPr>
          <w:b/>
          <w:bCs/>
          <w:color w:val="000000"/>
          <w:szCs w:val="21"/>
        </w:rPr>
        <w:t>2</w:t>
      </w:r>
      <w:r>
        <w:rPr>
          <w:color w:val="000000"/>
          <w:szCs w:val="21"/>
        </w:rPr>
        <w:t>  吊顶饰面板的安装应稳固严密，当饰面板为易碎或重型部品时应有可靠的安全措施，饰面板上的灯具、烟感、温感、喷淋头、风口箅子等相关设备的位置应符合设计要求，与饰面板的交接处应严密</w:t>
      </w:r>
      <w:r>
        <w:rPr>
          <w:rFonts w:hint="eastAsia"/>
          <w:color w:val="000000"/>
          <w:szCs w:val="21"/>
        </w:rPr>
        <w:t>；</w:t>
      </w:r>
    </w:p>
    <w:p w14:paraId="6F14A5F9">
      <w:pPr>
        <w:spacing w:line="400" w:lineRule="exact"/>
        <w:ind w:firstLine="422" w:firstLineChars="200"/>
        <w:rPr>
          <w:color w:val="000000"/>
          <w:szCs w:val="21"/>
        </w:rPr>
      </w:pPr>
      <w:r>
        <w:rPr>
          <w:b/>
          <w:bCs/>
          <w:color w:val="000000"/>
          <w:szCs w:val="21"/>
        </w:rPr>
        <w:t>3</w:t>
      </w:r>
      <w:r>
        <w:rPr>
          <w:color w:val="000000"/>
          <w:szCs w:val="21"/>
        </w:rPr>
        <w:t xml:space="preserve">  </w:t>
      </w:r>
      <w:r>
        <w:rPr>
          <w:rFonts w:hint="eastAsia" w:ascii="宋体" w:hAnsi="宋体" w:cs="宋体"/>
          <w:bCs/>
          <w:color w:val="000000"/>
          <w:szCs w:val="21"/>
        </w:rPr>
        <w:t>吊顶系统与设备管线应各自设置吊件，并应满足荷载计算要求。重量较大的灯具应安装在楼板或承重结构构件上，不得直接安装在吊顶上，并应满足荷载计算要求。吊顶系统内敷设设备管线时，应在管线密集和接口集中的位置设置检修口</w:t>
      </w:r>
      <w:r>
        <w:rPr>
          <w:rFonts w:hint="eastAsia"/>
          <w:color w:val="000000"/>
          <w:szCs w:val="21"/>
        </w:rPr>
        <w:t>；</w:t>
      </w:r>
    </w:p>
    <w:p w14:paraId="79DA30F9">
      <w:pPr>
        <w:spacing w:line="400" w:lineRule="exact"/>
        <w:ind w:firstLine="422" w:firstLineChars="200"/>
        <w:rPr>
          <w:color w:val="000000"/>
          <w:szCs w:val="21"/>
        </w:rPr>
      </w:pPr>
      <w:r>
        <w:rPr>
          <w:b/>
          <w:bCs/>
          <w:color w:val="000000"/>
          <w:szCs w:val="21"/>
        </w:rPr>
        <w:t>4  </w:t>
      </w:r>
      <w:r>
        <w:rPr>
          <w:rFonts w:hint="eastAsia" w:ascii="宋体" w:hAnsi="宋体" w:cs="宋体"/>
          <w:bCs/>
          <w:color w:val="000000"/>
          <w:szCs w:val="21"/>
        </w:rPr>
        <w:t>饰面板表面应洁净，边缘应平整、色泽一致，不得有翘曲、裂缝及缺损。饰面板与连接构造应平整、吻合，压条应平直、宽窄一致</w:t>
      </w:r>
      <w:r>
        <w:rPr>
          <w:color w:val="000000"/>
          <w:szCs w:val="21"/>
        </w:rPr>
        <w:t>。装配式吊顶的允许偏差和检验方法应符合现行国家标准《建筑装饰装修工程质量验收标准》GB 50210的有关规定。</w:t>
      </w:r>
    </w:p>
    <w:p w14:paraId="0B9D5016">
      <w:pPr>
        <w:spacing w:line="400" w:lineRule="exact"/>
        <w:rPr>
          <w:color w:val="000000"/>
          <w:szCs w:val="21"/>
        </w:rPr>
      </w:pPr>
      <w:r>
        <w:rPr>
          <w:b/>
          <w:bCs/>
          <w:color w:val="000000"/>
          <w:szCs w:val="21"/>
        </w:rPr>
        <w:t>7.1</w:t>
      </w:r>
      <w:r>
        <w:rPr>
          <w:rFonts w:hint="eastAsia"/>
          <w:b/>
          <w:bCs/>
          <w:color w:val="000000"/>
          <w:szCs w:val="21"/>
        </w:rPr>
        <w:t>6</w:t>
      </w:r>
      <w:r>
        <w:rPr>
          <w:b/>
          <w:bCs/>
          <w:color w:val="000000"/>
          <w:szCs w:val="21"/>
        </w:rPr>
        <w:t>.4</w:t>
      </w:r>
      <w:r>
        <w:rPr>
          <w:color w:val="000000"/>
          <w:szCs w:val="21"/>
        </w:rPr>
        <w:t xml:space="preserve">  装配式架空地面应符合下列规定：</w:t>
      </w:r>
    </w:p>
    <w:p w14:paraId="3A1ADEEF">
      <w:pPr>
        <w:spacing w:line="400" w:lineRule="exact"/>
        <w:ind w:firstLine="422" w:firstLineChars="200"/>
        <w:rPr>
          <w:color w:val="000000"/>
          <w:szCs w:val="21"/>
        </w:rPr>
      </w:pPr>
      <w:r>
        <w:rPr>
          <w:b/>
          <w:bCs/>
          <w:color w:val="000000"/>
          <w:szCs w:val="21"/>
        </w:rPr>
        <w:t xml:space="preserve">1  </w:t>
      </w:r>
      <w:r>
        <w:rPr>
          <w:color w:val="000000"/>
          <w:szCs w:val="21"/>
        </w:rPr>
        <w:t>装配式架空楼地面系统所用可调节支撑、基层衬板、面层材料的品种、规格、性能应符合设计要求</w:t>
      </w:r>
      <w:r>
        <w:rPr>
          <w:rFonts w:hint="eastAsia"/>
          <w:color w:val="000000"/>
          <w:szCs w:val="21"/>
        </w:rPr>
        <w:t>；</w:t>
      </w:r>
      <w:r>
        <w:rPr>
          <w:color w:val="000000"/>
          <w:szCs w:val="21"/>
        </w:rPr>
        <w:t> </w:t>
      </w:r>
    </w:p>
    <w:p w14:paraId="39F1A837">
      <w:pPr>
        <w:spacing w:line="400" w:lineRule="exact"/>
        <w:ind w:firstLine="422" w:firstLineChars="200"/>
        <w:rPr>
          <w:color w:val="000000"/>
          <w:szCs w:val="21"/>
        </w:rPr>
      </w:pPr>
      <w:r>
        <w:rPr>
          <w:b/>
          <w:bCs/>
          <w:color w:val="000000"/>
          <w:szCs w:val="21"/>
        </w:rPr>
        <w:t xml:space="preserve">2  </w:t>
      </w:r>
      <w:r>
        <w:rPr>
          <w:color w:val="000000"/>
          <w:szCs w:val="21"/>
        </w:rPr>
        <w:t>装配式楼地面系统可调节支撑的防腐性能和支撑强度，面层材料应满足房间使用的承载、防水、防滑、隔声、耐磨、防潮、阻燃、耐污染及耐腐蚀等性能，应符合设计要求及现行国家标准《建筑地面工程施工质量验收规范》GB 50209的相关规定</w:t>
      </w:r>
      <w:r>
        <w:rPr>
          <w:rFonts w:hint="eastAsia"/>
          <w:color w:val="000000"/>
          <w:szCs w:val="21"/>
        </w:rPr>
        <w:t>；</w:t>
      </w:r>
    </w:p>
    <w:p w14:paraId="6C62C337">
      <w:pPr>
        <w:spacing w:line="400" w:lineRule="exact"/>
        <w:ind w:firstLine="422" w:firstLineChars="200"/>
        <w:rPr>
          <w:color w:val="000000"/>
          <w:szCs w:val="21"/>
        </w:rPr>
      </w:pPr>
      <w:r>
        <w:rPr>
          <w:b/>
          <w:bCs/>
          <w:color w:val="000000"/>
          <w:szCs w:val="21"/>
        </w:rPr>
        <w:t xml:space="preserve">3  </w:t>
      </w:r>
      <w:r>
        <w:rPr>
          <w:color w:val="000000"/>
          <w:szCs w:val="21"/>
        </w:rPr>
        <w:t>装配式楼地面系统宜与地面供暖、电气、给水排水、新风等系统的管线进行集成设计</w:t>
      </w:r>
      <w:r>
        <w:rPr>
          <w:rFonts w:hint="eastAsia"/>
          <w:color w:val="000000"/>
          <w:szCs w:val="21"/>
        </w:rPr>
        <w:t>；</w:t>
      </w:r>
    </w:p>
    <w:p w14:paraId="325ABC70">
      <w:pPr>
        <w:spacing w:line="400" w:lineRule="exact"/>
        <w:ind w:firstLine="422" w:firstLineChars="200"/>
        <w:rPr>
          <w:color w:val="000000"/>
          <w:szCs w:val="21"/>
        </w:rPr>
      </w:pPr>
      <w:r>
        <w:rPr>
          <w:b/>
          <w:bCs/>
          <w:color w:val="000000"/>
          <w:szCs w:val="21"/>
        </w:rPr>
        <w:t>4</w:t>
      </w:r>
      <w:r>
        <w:rPr>
          <w:color w:val="000000"/>
          <w:szCs w:val="21"/>
        </w:rPr>
        <w:t>  装配式楼地面系统应与主体结构有可靠连接，且施工安装时不应破坏主体结构，装配式地面系统面层应安装牢固，无裂纹、划痕、磨痕、掉角、缺棱等现象</w:t>
      </w:r>
      <w:r>
        <w:rPr>
          <w:rFonts w:hint="eastAsia"/>
          <w:color w:val="000000"/>
          <w:szCs w:val="21"/>
        </w:rPr>
        <w:t>；</w:t>
      </w:r>
    </w:p>
    <w:p w14:paraId="0A235B43">
      <w:pPr>
        <w:spacing w:line="400" w:lineRule="exact"/>
        <w:ind w:firstLine="422" w:firstLineChars="200"/>
        <w:rPr>
          <w:color w:val="000000"/>
          <w:szCs w:val="21"/>
        </w:rPr>
      </w:pPr>
      <w:r>
        <w:rPr>
          <w:b/>
          <w:bCs/>
          <w:color w:val="000000"/>
          <w:szCs w:val="21"/>
        </w:rPr>
        <w:t>5</w:t>
      </w:r>
      <w:r>
        <w:rPr>
          <w:color w:val="000000"/>
          <w:szCs w:val="21"/>
        </w:rPr>
        <w:t>  装配式楼地面系统与地面辐射供暖、供冷系统结合设置时，宜选用模块式集成部品。</w:t>
      </w:r>
    </w:p>
    <w:p w14:paraId="297102BF">
      <w:pPr>
        <w:spacing w:line="400" w:lineRule="exact"/>
        <w:ind w:firstLine="422" w:firstLineChars="200"/>
        <w:rPr>
          <w:color w:val="000000"/>
          <w:szCs w:val="21"/>
        </w:rPr>
      </w:pPr>
      <w:r>
        <w:rPr>
          <w:b/>
          <w:bCs/>
          <w:color w:val="000000"/>
          <w:szCs w:val="21"/>
        </w:rPr>
        <w:t>6</w:t>
      </w:r>
      <w:r>
        <w:rPr>
          <w:color w:val="000000"/>
          <w:szCs w:val="21"/>
        </w:rPr>
        <w:t>  架空楼地面内敷设管线时，架空层高度应满足管线排布的需求，并应设置检修口或采用便于拆装的构造</w:t>
      </w:r>
      <w:r>
        <w:rPr>
          <w:rFonts w:hint="eastAsia"/>
          <w:color w:val="000000"/>
          <w:szCs w:val="21"/>
        </w:rPr>
        <w:t>；</w:t>
      </w:r>
    </w:p>
    <w:p w14:paraId="4DC34C6E">
      <w:pPr>
        <w:spacing w:line="400" w:lineRule="exact"/>
        <w:ind w:firstLine="422" w:firstLineChars="200"/>
        <w:rPr>
          <w:color w:val="000000"/>
          <w:szCs w:val="21"/>
        </w:rPr>
      </w:pPr>
      <w:r>
        <w:rPr>
          <w:b/>
          <w:bCs/>
          <w:color w:val="000000"/>
          <w:szCs w:val="21"/>
        </w:rPr>
        <w:t xml:space="preserve">7 </w:t>
      </w:r>
      <w:r>
        <w:rPr>
          <w:color w:val="000000"/>
          <w:szCs w:val="21"/>
        </w:rPr>
        <w:t> 架空楼地面设计应符合下列规定：</w:t>
      </w:r>
    </w:p>
    <w:p w14:paraId="11F584AF">
      <w:pPr>
        <w:spacing w:line="400" w:lineRule="exact"/>
        <w:ind w:firstLine="422" w:firstLineChars="200"/>
        <w:rPr>
          <w:color w:val="000000"/>
          <w:szCs w:val="21"/>
        </w:rPr>
      </w:pPr>
      <w:r>
        <w:rPr>
          <w:b/>
          <w:bCs/>
          <w:color w:val="000000"/>
          <w:szCs w:val="21"/>
        </w:rPr>
        <w:t>1）</w:t>
      </w:r>
      <w:r>
        <w:rPr>
          <w:color w:val="000000"/>
          <w:szCs w:val="21"/>
        </w:rPr>
        <w:t> 架空楼地面与墙体交界处应设置伸缩缝，并宜采取美化遮盖措施；</w:t>
      </w:r>
    </w:p>
    <w:p w14:paraId="6D426BF3">
      <w:pPr>
        <w:spacing w:line="400" w:lineRule="exact"/>
        <w:ind w:firstLine="422" w:firstLineChars="200"/>
        <w:rPr>
          <w:color w:val="000000"/>
          <w:szCs w:val="21"/>
        </w:rPr>
      </w:pPr>
      <w:r>
        <w:rPr>
          <w:b/>
          <w:bCs/>
          <w:color w:val="000000"/>
          <w:szCs w:val="21"/>
        </w:rPr>
        <w:t>2）</w:t>
      </w:r>
      <w:r>
        <w:rPr>
          <w:color w:val="000000"/>
          <w:szCs w:val="21"/>
        </w:rPr>
        <w:t> 宜在架空空间内分舱设置防水、防虫构造，并应采取防潮、防霉、易清扫、易维护的措施。</w:t>
      </w:r>
    </w:p>
    <w:p w14:paraId="0ADF7003">
      <w:pPr>
        <w:spacing w:line="400" w:lineRule="exact"/>
        <w:ind w:firstLine="422" w:firstLineChars="200"/>
        <w:rPr>
          <w:color w:val="000000"/>
          <w:szCs w:val="21"/>
        </w:rPr>
      </w:pPr>
      <w:r>
        <w:rPr>
          <w:b/>
          <w:bCs/>
          <w:color w:val="000000"/>
          <w:szCs w:val="21"/>
        </w:rPr>
        <w:t>8</w:t>
      </w:r>
      <w:r>
        <w:rPr>
          <w:color w:val="000000"/>
          <w:szCs w:val="21"/>
        </w:rPr>
        <w:t xml:space="preserve">  架空地板系统的铺设、安装应符合现行国家标准《建筑地面工程施工质量验收规范》GB 50209的相关规定。</w:t>
      </w:r>
    </w:p>
    <w:p w14:paraId="0127EB9A">
      <w:pPr>
        <w:spacing w:line="400" w:lineRule="exact"/>
        <w:rPr>
          <w:b/>
          <w:bCs/>
          <w:color w:val="000000"/>
          <w:szCs w:val="21"/>
        </w:rPr>
      </w:pPr>
      <w:r>
        <w:rPr>
          <w:b/>
          <w:bCs/>
          <w:color w:val="000000"/>
          <w:szCs w:val="21"/>
        </w:rPr>
        <w:t>7.1</w:t>
      </w:r>
      <w:r>
        <w:rPr>
          <w:rFonts w:hint="eastAsia"/>
          <w:b/>
          <w:bCs/>
          <w:color w:val="000000"/>
          <w:szCs w:val="21"/>
        </w:rPr>
        <w:t>6</w:t>
      </w:r>
      <w:r>
        <w:rPr>
          <w:b/>
          <w:bCs/>
          <w:color w:val="000000"/>
          <w:szCs w:val="21"/>
        </w:rPr>
        <w:t xml:space="preserve">.5  </w:t>
      </w:r>
      <w:r>
        <w:rPr>
          <w:color w:val="000000"/>
          <w:szCs w:val="21"/>
        </w:rPr>
        <w:t>装配式非架空地面应符合下列规定：</w:t>
      </w:r>
    </w:p>
    <w:p w14:paraId="42B26C0B">
      <w:pPr>
        <w:spacing w:line="400" w:lineRule="exact"/>
        <w:ind w:firstLine="422" w:firstLineChars="200"/>
        <w:rPr>
          <w:color w:val="000000"/>
          <w:szCs w:val="21"/>
        </w:rPr>
      </w:pPr>
      <w:r>
        <w:rPr>
          <w:b/>
          <w:bCs/>
          <w:color w:val="000000"/>
          <w:szCs w:val="21"/>
        </w:rPr>
        <w:t xml:space="preserve">1  </w:t>
      </w:r>
      <w:r>
        <w:rPr>
          <w:color w:val="000000"/>
          <w:szCs w:val="21"/>
        </w:rPr>
        <w:t>地面辐射供暖的安装应在辐射区与非辐射区、建筑物墙体、地面等结构交界部位设置侧面绝热层，防止热量散失。地面辐射供暖管线的安装应符合现行行业标准《辐射供暖供冷技术规程》JGJ 142的相关规定</w:t>
      </w:r>
      <w:r>
        <w:rPr>
          <w:rFonts w:hint="eastAsia"/>
          <w:color w:val="000000"/>
          <w:szCs w:val="21"/>
        </w:rPr>
        <w:t>；</w:t>
      </w:r>
    </w:p>
    <w:p w14:paraId="0B65BA74">
      <w:pPr>
        <w:spacing w:line="400" w:lineRule="exact"/>
        <w:ind w:firstLine="422" w:firstLineChars="200"/>
        <w:rPr>
          <w:color w:val="000000"/>
          <w:szCs w:val="21"/>
        </w:rPr>
      </w:pPr>
      <w:r>
        <w:rPr>
          <w:b/>
          <w:bCs/>
          <w:color w:val="000000"/>
          <w:szCs w:val="21"/>
        </w:rPr>
        <w:t xml:space="preserve">2  </w:t>
      </w:r>
      <w:r>
        <w:rPr>
          <w:color w:val="000000"/>
          <w:szCs w:val="21"/>
        </w:rPr>
        <w:t>非架空干铺楼地面的面层和填充构造层强度应满足设计要求，当填充层采用压缩变形的材料时，易产生局部受压凹陷，应采取加强措施</w:t>
      </w:r>
      <w:r>
        <w:rPr>
          <w:rFonts w:hint="eastAsia"/>
          <w:color w:val="000000"/>
          <w:szCs w:val="21"/>
        </w:rPr>
        <w:t>；</w:t>
      </w:r>
    </w:p>
    <w:p w14:paraId="1C065452">
      <w:pPr>
        <w:spacing w:line="400" w:lineRule="exact"/>
        <w:ind w:firstLine="422" w:firstLineChars="200"/>
        <w:rPr>
          <w:color w:val="000000"/>
          <w:szCs w:val="21"/>
        </w:rPr>
      </w:pPr>
      <w:r>
        <w:rPr>
          <w:b/>
          <w:bCs/>
          <w:color w:val="000000"/>
          <w:szCs w:val="21"/>
        </w:rPr>
        <w:t xml:space="preserve">3  </w:t>
      </w:r>
      <w:r>
        <w:rPr>
          <w:color w:val="000000"/>
          <w:szCs w:val="21"/>
        </w:rPr>
        <w:t>装配式楼地面系统的地面基层和构造层之间、分层施工的各层之间，应结合牢固、无裂缝，找平层表面应平整、光洁、不起灰，抗压强度应符合现行国家标准《建筑地面工程施工质量验收规范》GB 50209的相关规定</w:t>
      </w:r>
      <w:r>
        <w:rPr>
          <w:rFonts w:hint="eastAsia"/>
          <w:color w:val="000000"/>
          <w:szCs w:val="21"/>
        </w:rPr>
        <w:t>；</w:t>
      </w:r>
    </w:p>
    <w:p w14:paraId="72A9FCB5">
      <w:pPr>
        <w:spacing w:line="400" w:lineRule="exact"/>
        <w:ind w:firstLine="422" w:firstLineChars="200"/>
        <w:rPr>
          <w:color w:val="000000"/>
          <w:szCs w:val="21"/>
        </w:rPr>
      </w:pPr>
      <w:r>
        <w:rPr>
          <w:b/>
          <w:bCs/>
          <w:color w:val="000000"/>
          <w:szCs w:val="21"/>
        </w:rPr>
        <w:t>4</w:t>
      </w:r>
      <w:r>
        <w:rPr>
          <w:color w:val="000000"/>
          <w:szCs w:val="21"/>
        </w:rPr>
        <w:t>  装配式楼地面面层的排列应符合设计要求，表面洁净、接缝均匀、缝格顺直，楼地面与其他面层连接处、收口处和墙边、柱子周围应顺直、压紧，地面面层与墙面或地面突出物周围套割应吻合，边缘应整齐。与踢脚板交接应紧密，缝隙应顺直。</w:t>
      </w:r>
    </w:p>
    <w:p w14:paraId="544986BB">
      <w:pPr>
        <w:spacing w:line="400" w:lineRule="exact"/>
        <w:rPr>
          <w:b/>
          <w:bCs/>
          <w:color w:val="000000"/>
          <w:szCs w:val="21"/>
        </w:rPr>
      </w:pPr>
      <w:r>
        <w:rPr>
          <w:b/>
          <w:bCs/>
          <w:color w:val="000000"/>
          <w:szCs w:val="21"/>
        </w:rPr>
        <w:t>7.1</w:t>
      </w:r>
      <w:r>
        <w:rPr>
          <w:rFonts w:hint="eastAsia"/>
          <w:b/>
          <w:bCs/>
          <w:color w:val="000000"/>
          <w:szCs w:val="21"/>
        </w:rPr>
        <w:t>6</w:t>
      </w:r>
      <w:r>
        <w:rPr>
          <w:b/>
          <w:bCs/>
          <w:color w:val="000000"/>
          <w:szCs w:val="21"/>
        </w:rPr>
        <w:t xml:space="preserve">.6  </w:t>
      </w:r>
      <w:r>
        <w:rPr>
          <w:color w:val="000000"/>
          <w:szCs w:val="21"/>
        </w:rPr>
        <w:t>集成式厨房应符合下列规定：</w:t>
      </w:r>
    </w:p>
    <w:p w14:paraId="78964DD8">
      <w:pPr>
        <w:spacing w:line="400" w:lineRule="exact"/>
        <w:ind w:firstLine="422" w:firstLineChars="200"/>
        <w:rPr>
          <w:color w:val="000000"/>
          <w:szCs w:val="21"/>
        </w:rPr>
      </w:pPr>
      <w:r>
        <w:rPr>
          <w:b/>
          <w:bCs/>
          <w:color w:val="000000"/>
          <w:szCs w:val="21"/>
        </w:rPr>
        <w:t xml:space="preserve">1  </w:t>
      </w:r>
      <w:r>
        <w:rPr>
          <w:color w:val="000000"/>
          <w:szCs w:val="21"/>
        </w:rPr>
        <w:t>集成式厨房所用部品部件、橱柜、设施设备等的规格、型号、外观、颜色、性能、使用功能应符合设计要求和国家现行有关标准的规定</w:t>
      </w:r>
      <w:r>
        <w:rPr>
          <w:rFonts w:hint="eastAsia"/>
          <w:color w:val="000000"/>
          <w:szCs w:val="21"/>
        </w:rPr>
        <w:t>；</w:t>
      </w:r>
    </w:p>
    <w:p w14:paraId="38B1AA05">
      <w:pPr>
        <w:spacing w:line="400" w:lineRule="exact"/>
        <w:ind w:firstLine="422" w:firstLineChars="200"/>
        <w:rPr>
          <w:color w:val="000000"/>
          <w:szCs w:val="21"/>
        </w:rPr>
      </w:pPr>
      <w:r>
        <w:rPr>
          <w:b/>
          <w:bCs/>
          <w:color w:val="000000"/>
          <w:szCs w:val="21"/>
        </w:rPr>
        <w:t xml:space="preserve">2  </w:t>
      </w:r>
      <w:r>
        <w:rPr>
          <w:color w:val="000000"/>
          <w:szCs w:val="21"/>
        </w:rPr>
        <w:t>墙面和吊顶应选用耐热和易清洁的材料，地面应选择防滑耐磨、低吸水率和易清洁的材料；吊顶、墙面、地面材料应为燃烧性能A级的材料</w:t>
      </w:r>
      <w:r>
        <w:rPr>
          <w:rFonts w:hint="eastAsia"/>
          <w:color w:val="000000"/>
          <w:szCs w:val="21"/>
        </w:rPr>
        <w:t>；</w:t>
      </w:r>
    </w:p>
    <w:p w14:paraId="2097D3E2">
      <w:pPr>
        <w:spacing w:line="400" w:lineRule="exact"/>
        <w:ind w:firstLine="422" w:firstLineChars="200"/>
        <w:rPr>
          <w:color w:val="000000"/>
          <w:szCs w:val="21"/>
        </w:rPr>
      </w:pPr>
      <w:r>
        <w:rPr>
          <w:b/>
          <w:bCs/>
          <w:color w:val="000000"/>
          <w:szCs w:val="21"/>
        </w:rPr>
        <w:t xml:space="preserve">3  </w:t>
      </w:r>
      <w:r>
        <w:rPr>
          <w:color w:val="000000"/>
          <w:szCs w:val="21"/>
        </w:rPr>
        <w:t>集成式厨房的安装应牢固严密，不得松动，与轻质隔墙连接时应采取加强措施，满足厨房设施设备固定的荷载要求，吊柜、厨房电器等应与主体结构有可靠连接，当悬挂在轻质隔墙上时，应采取加强措施</w:t>
      </w:r>
      <w:r>
        <w:rPr>
          <w:rFonts w:hint="eastAsia"/>
          <w:color w:val="000000"/>
          <w:szCs w:val="21"/>
        </w:rPr>
        <w:t>；</w:t>
      </w:r>
    </w:p>
    <w:p w14:paraId="42E7DC63">
      <w:pPr>
        <w:spacing w:line="400" w:lineRule="exact"/>
        <w:ind w:firstLine="422" w:firstLineChars="200"/>
        <w:rPr>
          <w:color w:val="000000"/>
          <w:szCs w:val="21"/>
        </w:rPr>
      </w:pPr>
      <w:r>
        <w:rPr>
          <w:b/>
          <w:bCs/>
          <w:color w:val="000000"/>
          <w:szCs w:val="21"/>
        </w:rPr>
        <w:t xml:space="preserve">4  </w:t>
      </w:r>
      <w:r>
        <w:rPr>
          <w:color w:val="000000"/>
          <w:szCs w:val="21"/>
        </w:rPr>
        <w:t>集成式厨房的表面应平整、洁净，无变形、鼓包、毛刺、裂纹、划痕、锐角、污渍或损伤，厨房柜体的排列应合理、美观，橱柜、台面、抽油烟机等部品、设备与墙面、顶面、地面处的交接、嵌合应严密，交接线应顺直、清晰、美观。</w:t>
      </w:r>
    </w:p>
    <w:p w14:paraId="368F0106">
      <w:pPr>
        <w:spacing w:line="400" w:lineRule="exact"/>
        <w:rPr>
          <w:b/>
          <w:bCs/>
          <w:color w:val="000000"/>
          <w:szCs w:val="21"/>
        </w:rPr>
      </w:pPr>
      <w:r>
        <w:rPr>
          <w:b/>
          <w:bCs/>
          <w:color w:val="000000"/>
          <w:szCs w:val="21"/>
        </w:rPr>
        <w:t>7.1</w:t>
      </w:r>
      <w:r>
        <w:rPr>
          <w:rFonts w:hint="eastAsia"/>
          <w:b/>
          <w:bCs/>
          <w:color w:val="000000"/>
          <w:szCs w:val="21"/>
        </w:rPr>
        <w:t>6</w:t>
      </w:r>
      <w:r>
        <w:rPr>
          <w:b/>
          <w:bCs/>
          <w:color w:val="000000"/>
          <w:szCs w:val="21"/>
        </w:rPr>
        <w:t xml:space="preserve">.7  </w:t>
      </w:r>
      <w:r>
        <w:rPr>
          <w:color w:val="000000"/>
          <w:szCs w:val="21"/>
        </w:rPr>
        <w:t>集成式卫生间应符合下列规定：</w:t>
      </w:r>
    </w:p>
    <w:p w14:paraId="6D0C5B7B">
      <w:pPr>
        <w:spacing w:line="400" w:lineRule="exact"/>
        <w:ind w:firstLine="422" w:firstLineChars="200"/>
        <w:rPr>
          <w:color w:val="000000"/>
          <w:szCs w:val="21"/>
        </w:rPr>
      </w:pPr>
      <w:r>
        <w:rPr>
          <w:b/>
          <w:bCs/>
          <w:color w:val="000000"/>
          <w:szCs w:val="21"/>
        </w:rPr>
        <w:t>1 </w:t>
      </w:r>
      <w:r>
        <w:rPr>
          <w:color w:val="000000"/>
          <w:szCs w:val="21"/>
        </w:rPr>
        <w:t>工程所选用部品部件、洁具、设施设备等的规格、型号、外观、颜色、性能等应符合设计要求和国家现行有关标准的规定</w:t>
      </w:r>
      <w:r>
        <w:rPr>
          <w:rFonts w:hint="eastAsia"/>
          <w:color w:val="000000"/>
          <w:szCs w:val="21"/>
        </w:rPr>
        <w:t>；</w:t>
      </w:r>
    </w:p>
    <w:p w14:paraId="3BEB1438">
      <w:pPr>
        <w:spacing w:line="400" w:lineRule="exact"/>
        <w:ind w:firstLine="422" w:firstLineChars="200"/>
        <w:rPr>
          <w:color w:val="000000"/>
          <w:szCs w:val="21"/>
        </w:rPr>
      </w:pPr>
      <w:r>
        <w:rPr>
          <w:b/>
          <w:bCs/>
          <w:color w:val="000000"/>
          <w:szCs w:val="21"/>
        </w:rPr>
        <w:t>2 </w:t>
      </w:r>
      <w:r>
        <w:rPr>
          <w:color w:val="000000"/>
          <w:szCs w:val="21"/>
        </w:rPr>
        <w:t> 集成式卫生间的防水底盘安装位置应准确，与地漏孔、排污孔等预留孔洞，连接良好，板材拼缝处应有密封防水处理</w:t>
      </w:r>
      <w:r>
        <w:rPr>
          <w:rFonts w:hint="eastAsia"/>
          <w:color w:val="000000"/>
          <w:szCs w:val="21"/>
        </w:rPr>
        <w:t>；</w:t>
      </w:r>
    </w:p>
    <w:p w14:paraId="65663037">
      <w:pPr>
        <w:spacing w:line="400" w:lineRule="exact"/>
        <w:ind w:firstLine="422" w:firstLineChars="200"/>
        <w:rPr>
          <w:color w:val="000000"/>
          <w:szCs w:val="21"/>
        </w:rPr>
      </w:pPr>
      <w:r>
        <w:rPr>
          <w:b/>
          <w:bCs/>
          <w:color w:val="000000"/>
          <w:szCs w:val="21"/>
        </w:rPr>
        <w:t xml:space="preserve">3  </w:t>
      </w:r>
      <w:r>
        <w:rPr>
          <w:color w:val="000000"/>
          <w:szCs w:val="21"/>
        </w:rPr>
        <w:t>集成式卫生间的安装应牢固严密，不得松动。设备设施与轻质隔墙连接时应采取加强措施，满足荷载要求，给水排水、电气、通风等预留接口、孔洞的数量、位置、尺寸应符合设计要求，不偏位错位，不得现场开凿，卫生器具排水配件应设存水弯，不得重叠存水</w:t>
      </w:r>
      <w:r>
        <w:rPr>
          <w:rFonts w:hint="eastAsia"/>
          <w:color w:val="000000"/>
          <w:szCs w:val="21"/>
        </w:rPr>
        <w:t>；</w:t>
      </w:r>
    </w:p>
    <w:p w14:paraId="00793C34">
      <w:pPr>
        <w:spacing w:line="400" w:lineRule="exact"/>
        <w:ind w:firstLine="422" w:firstLineChars="200"/>
        <w:rPr>
          <w:color w:val="000000"/>
          <w:szCs w:val="21"/>
        </w:rPr>
      </w:pPr>
      <w:r>
        <w:rPr>
          <w:b/>
          <w:bCs/>
          <w:color w:val="000000"/>
          <w:szCs w:val="21"/>
        </w:rPr>
        <w:t xml:space="preserve">4  </w:t>
      </w:r>
      <w:r>
        <w:rPr>
          <w:color w:val="000000"/>
          <w:szCs w:val="21"/>
        </w:rPr>
        <w:t>集成式卫生间安装完成后应做满水和通水试验，满水后各连接件不渗不漏，通水试</w:t>
      </w:r>
      <w:r>
        <w:rPr>
          <w:b/>
          <w:bCs/>
          <w:color w:val="000000"/>
          <w:szCs w:val="21"/>
        </w:rPr>
        <w:t>验</w:t>
      </w:r>
      <w:r>
        <w:rPr>
          <w:color w:val="000000"/>
          <w:szCs w:val="21"/>
        </w:rPr>
        <w:t>给水排水畅通；各涉水部位连接处的密封应符合设计要求，不得有渗漏现象；地面坡向、坡度应正确，无积水</w:t>
      </w:r>
      <w:r>
        <w:rPr>
          <w:rFonts w:hint="eastAsia"/>
          <w:color w:val="000000"/>
          <w:szCs w:val="21"/>
        </w:rPr>
        <w:t>；</w:t>
      </w:r>
    </w:p>
    <w:p w14:paraId="300D4C44">
      <w:pPr>
        <w:spacing w:line="400" w:lineRule="exact"/>
        <w:ind w:firstLine="422" w:firstLineChars="200"/>
        <w:rPr>
          <w:color w:val="000000"/>
          <w:szCs w:val="21"/>
        </w:rPr>
      </w:pPr>
      <w:r>
        <w:rPr>
          <w:b/>
          <w:bCs/>
          <w:color w:val="000000"/>
          <w:szCs w:val="21"/>
        </w:rPr>
        <w:t>5</w:t>
      </w:r>
      <w:r>
        <w:rPr>
          <w:color w:val="000000"/>
          <w:szCs w:val="21"/>
        </w:rPr>
        <w:t>  集成式卫生间的部品部件、设施设备表面应平整、光洁，无变形、毛刺、裂纹、划痕、锐角、污渍；金属的防腐措施和木器的防水措施到位。洁具、灯具、风口等部件、设备安装位置应合理，与面板处的交接应严密、吻合，交接线应顺直、清晰、美观。</w:t>
      </w:r>
    </w:p>
    <w:p w14:paraId="50025E57">
      <w:pPr>
        <w:spacing w:line="400" w:lineRule="exact"/>
        <w:rPr>
          <w:b/>
          <w:bCs/>
          <w:color w:val="000000"/>
          <w:szCs w:val="21"/>
        </w:rPr>
      </w:pPr>
      <w:r>
        <w:rPr>
          <w:b/>
          <w:bCs/>
          <w:color w:val="000000"/>
          <w:szCs w:val="21"/>
        </w:rPr>
        <w:t>7.1</w:t>
      </w:r>
      <w:r>
        <w:rPr>
          <w:rFonts w:hint="eastAsia"/>
          <w:b/>
          <w:bCs/>
          <w:color w:val="000000"/>
          <w:szCs w:val="21"/>
        </w:rPr>
        <w:t>6</w:t>
      </w:r>
      <w:r>
        <w:rPr>
          <w:b/>
          <w:bCs/>
          <w:color w:val="000000"/>
          <w:szCs w:val="21"/>
        </w:rPr>
        <w:t xml:space="preserve">.8 </w:t>
      </w:r>
      <w:r>
        <w:rPr>
          <w:rFonts w:hint="eastAsia"/>
          <w:b/>
          <w:bCs/>
          <w:color w:val="000000"/>
          <w:szCs w:val="21"/>
        </w:rPr>
        <w:t xml:space="preserve"> </w:t>
      </w:r>
      <w:r>
        <w:rPr>
          <w:color w:val="000000"/>
          <w:szCs w:val="21"/>
        </w:rPr>
        <w:t>收纳系统应符合下列规定：</w:t>
      </w:r>
    </w:p>
    <w:p w14:paraId="1DF121EE">
      <w:pPr>
        <w:spacing w:line="400" w:lineRule="exact"/>
        <w:ind w:firstLine="422" w:firstLineChars="200"/>
        <w:rPr>
          <w:color w:val="000000"/>
          <w:szCs w:val="21"/>
        </w:rPr>
      </w:pPr>
      <w:r>
        <w:rPr>
          <w:b/>
          <w:bCs/>
          <w:color w:val="000000"/>
          <w:szCs w:val="21"/>
        </w:rPr>
        <w:t>1</w:t>
      </w:r>
      <w:r>
        <w:rPr>
          <w:color w:val="000000"/>
          <w:szCs w:val="21"/>
        </w:rPr>
        <w:t xml:space="preserve">  </w:t>
      </w:r>
      <w:r>
        <w:rPr>
          <w:rFonts w:hint="eastAsia" w:ascii="宋体" w:hAnsi="宋体" w:cs="宋体"/>
          <w:bCs/>
          <w:color w:val="000000"/>
          <w:szCs w:val="21"/>
        </w:rPr>
        <w:t>收纳系统宜与建筑隔墙、吊顶等进行一体化设计</w:t>
      </w:r>
      <w:r>
        <w:rPr>
          <w:rFonts w:hint="eastAsia"/>
          <w:color w:val="000000"/>
          <w:szCs w:val="21"/>
        </w:rPr>
        <w:t>；</w:t>
      </w:r>
    </w:p>
    <w:p w14:paraId="59C1034B">
      <w:pPr>
        <w:spacing w:line="400" w:lineRule="exact"/>
        <w:ind w:firstLine="422" w:firstLineChars="200"/>
        <w:rPr>
          <w:color w:val="000000"/>
          <w:szCs w:val="21"/>
        </w:rPr>
      </w:pPr>
      <w:r>
        <w:rPr>
          <w:b/>
          <w:bCs/>
          <w:color w:val="000000"/>
          <w:szCs w:val="21"/>
        </w:rPr>
        <w:t>2</w:t>
      </w:r>
      <w:r>
        <w:rPr>
          <w:color w:val="000000"/>
          <w:szCs w:val="21"/>
        </w:rPr>
        <w:t>  收纳系统内设置有电器、电线等时，收纳系统的板材燃烧性能不应低于B1级</w:t>
      </w:r>
      <w:r>
        <w:rPr>
          <w:rFonts w:hint="eastAsia"/>
          <w:color w:val="000000"/>
          <w:szCs w:val="21"/>
        </w:rPr>
        <w:t>；</w:t>
      </w:r>
    </w:p>
    <w:p w14:paraId="710B8821">
      <w:pPr>
        <w:spacing w:line="400" w:lineRule="exact"/>
        <w:ind w:firstLine="422" w:firstLineChars="200"/>
        <w:rPr>
          <w:color w:val="000000"/>
          <w:szCs w:val="21"/>
        </w:rPr>
      </w:pPr>
      <w:r>
        <w:rPr>
          <w:b/>
          <w:bCs/>
          <w:color w:val="000000"/>
          <w:szCs w:val="21"/>
        </w:rPr>
        <w:t>3 </w:t>
      </w:r>
      <w:r>
        <w:rPr>
          <w:color w:val="000000"/>
          <w:szCs w:val="21"/>
        </w:rPr>
        <w:t> 有水房间的收纳部品应选用合适的材料并采取相应措施，满足防水、防潮、防腐、防蛀的要求。</w:t>
      </w:r>
    </w:p>
    <w:p w14:paraId="3061644D">
      <w:pPr>
        <w:spacing w:line="400" w:lineRule="exact"/>
        <w:rPr>
          <w:b/>
          <w:bCs/>
          <w:color w:val="000000"/>
          <w:szCs w:val="21"/>
        </w:rPr>
      </w:pPr>
      <w:r>
        <w:rPr>
          <w:b/>
          <w:bCs/>
          <w:color w:val="000000"/>
          <w:szCs w:val="21"/>
        </w:rPr>
        <w:t>7.1</w:t>
      </w:r>
      <w:r>
        <w:rPr>
          <w:rFonts w:hint="eastAsia"/>
          <w:b/>
          <w:bCs/>
          <w:color w:val="000000"/>
          <w:szCs w:val="21"/>
        </w:rPr>
        <w:t>6</w:t>
      </w:r>
      <w:r>
        <w:rPr>
          <w:b/>
          <w:bCs/>
          <w:color w:val="000000"/>
          <w:szCs w:val="21"/>
        </w:rPr>
        <w:t xml:space="preserve">.9 </w:t>
      </w:r>
      <w:r>
        <w:rPr>
          <w:rFonts w:hint="eastAsia"/>
          <w:b/>
          <w:bCs/>
          <w:color w:val="000000"/>
          <w:szCs w:val="21"/>
        </w:rPr>
        <w:t xml:space="preserve"> </w:t>
      </w:r>
      <w:r>
        <w:rPr>
          <w:color w:val="000000"/>
          <w:szCs w:val="21"/>
        </w:rPr>
        <w:t>室内门窗宜选用成套供应的门窗的材料、品种、规格等指标以及颜色、开启方向、安装位置、固定方式等要求应符合设计及相关规范的要求。</w:t>
      </w:r>
    </w:p>
    <w:bookmarkEnd w:id="0"/>
    <w:bookmarkEnd w:id="362"/>
    <w:bookmarkEnd w:id="363"/>
    <w:bookmarkEnd w:id="364"/>
    <w:bookmarkEnd w:id="365"/>
    <w:bookmarkEnd w:id="366"/>
    <w:p w14:paraId="4494EB1D">
      <w:pPr>
        <w:spacing w:before="312" w:beforeLines="100" w:after="312" w:afterLines="100" w:line="400" w:lineRule="exact"/>
        <w:ind w:right="-334"/>
        <w:jc w:val="center"/>
        <w:rPr>
          <w:rStyle w:val="32"/>
          <w:rFonts w:ascii="Times New Roman" w:hAnsi="Times New Roman" w:eastAsia="黑体"/>
          <w:sz w:val="28"/>
          <w:szCs w:val="28"/>
          <w:lang w:val="en-US"/>
        </w:rPr>
      </w:pPr>
      <w:bookmarkStart w:id="419" w:name="_Toc6451"/>
      <w:bookmarkStart w:id="420" w:name="_Toc29705"/>
      <w:bookmarkStart w:id="421" w:name="_Toc22295"/>
      <w:bookmarkStart w:id="422" w:name="_Toc1781"/>
      <w:bookmarkStart w:id="423" w:name="_Toc9116"/>
      <w:r>
        <w:rPr>
          <w:rStyle w:val="32"/>
          <w:rFonts w:ascii="Times New Roman" w:hAnsi="Times New Roman" w:eastAsia="黑体"/>
          <w:b/>
          <w:bCs/>
          <w:sz w:val="28"/>
          <w:szCs w:val="28"/>
          <w:lang w:val="en-US"/>
        </w:rPr>
        <w:br w:type="page"/>
      </w:r>
      <w:bookmarkEnd w:id="419"/>
      <w:bookmarkEnd w:id="420"/>
      <w:bookmarkEnd w:id="421"/>
      <w:bookmarkEnd w:id="422"/>
      <w:bookmarkEnd w:id="423"/>
      <w:bookmarkStart w:id="424" w:name="_Toc19397"/>
      <w:bookmarkStart w:id="425" w:name="_Toc3322"/>
      <w:bookmarkStart w:id="426" w:name="_Toc20466"/>
      <w:bookmarkStart w:id="427" w:name="_Toc11780"/>
      <w:bookmarkStart w:id="428" w:name="_Toc19202"/>
      <w:bookmarkStart w:id="429" w:name="_Toc24105"/>
      <w:bookmarkStart w:id="430" w:name="_Toc14941"/>
      <w:bookmarkStart w:id="431" w:name="_Toc23150"/>
      <w:bookmarkStart w:id="432" w:name="_Toc479"/>
      <w:r>
        <w:rPr>
          <w:rStyle w:val="32"/>
          <w:rFonts w:ascii="Times New Roman" w:hAnsi="Times New Roman" w:eastAsia="黑体"/>
          <w:b/>
          <w:bCs/>
          <w:sz w:val="28"/>
          <w:szCs w:val="28"/>
          <w:lang w:val="en-US"/>
        </w:rPr>
        <w:t>8</w:t>
      </w:r>
      <w:r>
        <w:rPr>
          <w:rStyle w:val="32"/>
          <w:rFonts w:ascii="Times New Roman" w:hAnsi="Times New Roman" w:eastAsia="黑体"/>
          <w:sz w:val="28"/>
          <w:szCs w:val="28"/>
          <w:lang w:val="en-US"/>
        </w:rPr>
        <w:t xml:space="preserve">  建筑电气设备安装工程</w:t>
      </w:r>
    </w:p>
    <w:bookmarkEnd w:id="424"/>
    <w:bookmarkEnd w:id="425"/>
    <w:bookmarkEnd w:id="426"/>
    <w:bookmarkEnd w:id="427"/>
    <w:p w14:paraId="2583BD2A">
      <w:pPr>
        <w:pStyle w:val="4"/>
        <w:numPr>
          <w:ilvl w:val="1"/>
          <w:numId w:val="0"/>
        </w:numPr>
        <w:spacing w:before="312" w:beforeLines="100" w:line="400" w:lineRule="exact"/>
        <w:jc w:val="center"/>
        <w:rPr>
          <w:rFonts w:ascii="Times New Roman" w:hAnsi="Times New Roman" w:eastAsia="黑体"/>
          <w:sz w:val="24"/>
          <w:szCs w:val="24"/>
        </w:rPr>
      </w:pPr>
      <w:bookmarkStart w:id="433" w:name="_Toc3255"/>
      <w:bookmarkStart w:id="434" w:name="_Toc11931"/>
      <w:bookmarkStart w:id="435" w:name="_Toc22140"/>
      <w:bookmarkStart w:id="436" w:name="_Toc26266"/>
      <w:bookmarkStart w:id="437" w:name="_Toc13083"/>
      <w:bookmarkStart w:id="438" w:name="_Toc7469"/>
      <w:bookmarkStart w:id="439" w:name="_Toc20668"/>
      <w:bookmarkStart w:id="440" w:name="_Toc8132"/>
      <w:bookmarkStart w:id="441" w:name="_Toc30124"/>
      <w:r>
        <w:rPr>
          <w:rFonts w:ascii="Times New Roman" w:hAnsi="Times New Roman" w:eastAsia="黑体"/>
          <w:b/>
          <w:bCs/>
          <w:sz w:val="24"/>
          <w:szCs w:val="24"/>
        </w:rPr>
        <w:t>8.1</w:t>
      </w:r>
      <w:r>
        <w:rPr>
          <w:rFonts w:ascii="Times New Roman" w:hAnsi="Times New Roman" w:eastAsia="黑体"/>
          <w:sz w:val="24"/>
          <w:szCs w:val="24"/>
        </w:rPr>
        <w:t xml:space="preserve"> </w:t>
      </w:r>
      <w:r>
        <w:rPr>
          <w:rFonts w:ascii="Times New Roman" w:hAnsi="Times New Roman" w:eastAsia="黑体"/>
          <w:sz w:val="24"/>
          <w:szCs w:val="24"/>
          <w:lang w:val="en-US"/>
        </w:rPr>
        <w:t xml:space="preserve"> </w:t>
      </w:r>
      <w:r>
        <w:rPr>
          <w:rFonts w:ascii="Times New Roman" w:hAnsi="Times New Roman" w:eastAsia="黑体"/>
          <w:sz w:val="24"/>
          <w:szCs w:val="24"/>
        </w:rPr>
        <w:t>一般规定</w:t>
      </w:r>
      <w:bookmarkEnd w:id="433"/>
      <w:bookmarkEnd w:id="434"/>
      <w:bookmarkEnd w:id="435"/>
      <w:bookmarkEnd w:id="436"/>
      <w:bookmarkEnd w:id="437"/>
      <w:bookmarkEnd w:id="438"/>
      <w:bookmarkEnd w:id="439"/>
      <w:bookmarkEnd w:id="440"/>
      <w:bookmarkEnd w:id="441"/>
    </w:p>
    <w:p w14:paraId="53E008D4">
      <w:pPr>
        <w:spacing w:line="400" w:lineRule="exact"/>
        <w:rPr>
          <w:rFonts w:eastAsia="黑体"/>
          <w:b/>
          <w:bCs/>
          <w:color w:val="000000"/>
          <w:szCs w:val="21"/>
        </w:rPr>
      </w:pPr>
      <w:r>
        <w:rPr>
          <w:b/>
          <w:color w:val="000000"/>
          <w:szCs w:val="21"/>
        </w:rPr>
        <w:t xml:space="preserve">8.1.1 </w:t>
      </w:r>
      <w:r>
        <w:rPr>
          <w:color w:val="000000"/>
          <w:szCs w:val="21"/>
        </w:rPr>
        <w:t xml:space="preserve"> 电气设备安装工程的施工质量应满足安全和使用功能，且施工节点应处理细致、观感质量好。当安全和使用功能与观感质量发生矛盾时，应确保安全和使用功能。</w:t>
      </w:r>
    </w:p>
    <w:p w14:paraId="5356AD87">
      <w:pPr>
        <w:spacing w:line="400" w:lineRule="exact"/>
        <w:rPr>
          <w:color w:val="000000"/>
          <w:szCs w:val="21"/>
        </w:rPr>
      </w:pPr>
      <w:r>
        <w:rPr>
          <w:b/>
          <w:color w:val="000000"/>
          <w:szCs w:val="21"/>
        </w:rPr>
        <w:t>8.1.2</w:t>
      </w:r>
      <w:r>
        <w:rPr>
          <w:color w:val="000000"/>
          <w:szCs w:val="21"/>
        </w:rPr>
        <w:t xml:space="preserve">  电气设备安装工程中使用材料的燃烧性能应符合设计要求。</w:t>
      </w:r>
    </w:p>
    <w:p w14:paraId="46DC7871">
      <w:pPr>
        <w:spacing w:line="400" w:lineRule="exact"/>
        <w:rPr>
          <w:color w:val="000000"/>
          <w:szCs w:val="21"/>
        </w:rPr>
      </w:pPr>
      <w:r>
        <w:rPr>
          <w:b/>
          <w:color w:val="000000"/>
          <w:szCs w:val="21"/>
        </w:rPr>
        <w:t>8.1.3</w:t>
      </w:r>
      <w:r>
        <w:rPr>
          <w:color w:val="000000"/>
          <w:szCs w:val="21"/>
        </w:rPr>
        <w:t xml:space="preserve">  电缆、电缆桥架、槽盒、封闭母线和套管在穿越防火分区时，其内外空隙处防火封堵应严密，不应有遗漏、脱落、移位现象。</w:t>
      </w:r>
    </w:p>
    <w:p w14:paraId="58F409E5">
      <w:pPr>
        <w:spacing w:line="400" w:lineRule="exact"/>
        <w:rPr>
          <w:color w:val="000000"/>
          <w:szCs w:val="21"/>
        </w:rPr>
      </w:pPr>
      <w:r>
        <w:rPr>
          <w:b/>
          <w:color w:val="000000"/>
          <w:szCs w:val="21"/>
        </w:rPr>
        <w:t>8.1.4</w:t>
      </w:r>
      <w:r>
        <w:rPr>
          <w:color w:val="000000"/>
          <w:szCs w:val="21"/>
        </w:rPr>
        <w:t xml:space="preserve">  电缆、电缆桥架、槽盒、封闭母线在穿越楼板时，穿越洞口四周应设置阻水台，阻水台的高度不宜低于80 mm。电气竖井或电气设备间土建已有挡水措施的穿越洞口，可不设阻水台。</w:t>
      </w:r>
      <w:r>
        <w:rPr>
          <w:rFonts w:hint="eastAsia"/>
          <w:color w:val="000000"/>
          <w:szCs w:val="21"/>
        </w:rPr>
        <w:t>建筑物电气设备用房和智能化设备用房应符合：地面或门槛应高出本层楼地面，其标高差值不应小于0.10</w:t>
      </w:r>
      <w:r>
        <w:rPr>
          <w:color w:val="000000"/>
          <w:szCs w:val="21"/>
        </w:rPr>
        <w:t xml:space="preserve"> </w:t>
      </w:r>
      <w:r>
        <w:rPr>
          <w:rFonts w:hint="eastAsia"/>
          <w:color w:val="000000"/>
          <w:szCs w:val="21"/>
        </w:rPr>
        <w:t>m，设在地下层时不应小于 0.15</w:t>
      </w:r>
      <w:r>
        <w:rPr>
          <w:color w:val="000000"/>
          <w:szCs w:val="21"/>
        </w:rPr>
        <w:t xml:space="preserve"> </w:t>
      </w:r>
      <w:r>
        <w:rPr>
          <w:rFonts w:hint="eastAsia"/>
          <w:color w:val="000000"/>
          <w:szCs w:val="21"/>
        </w:rPr>
        <w:t>m。</w:t>
      </w:r>
    </w:p>
    <w:p w14:paraId="7329EF86">
      <w:pPr>
        <w:spacing w:line="400" w:lineRule="exact"/>
        <w:rPr>
          <w:color w:val="000000"/>
          <w:szCs w:val="21"/>
        </w:rPr>
      </w:pPr>
      <w:r>
        <w:rPr>
          <w:b/>
          <w:color w:val="000000"/>
          <w:szCs w:val="21"/>
        </w:rPr>
        <w:t>8.1.5</w:t>
      </w:r>
      <w:r>
        <w:rPr>
          <w:color w:val="000000"/>
          <w:szCs w:val="21"/>
        </w:rPr>
        <w:t xml:space="preserve">  以下电线、电缆不应敷设在同一金属槽盒内：</w:t>
      </w:r>
    </w:p>
    <w:p w14:paraId="242E50B1">
      <w:pPr>
        <w:spacing w:line="400" w:lineRule="exact"/>
        <w:ind w:firstLine="422" w:firstLineChars="200"/>
        <w:rPr>
          <w:color w:val="000000"/>
          <w:szCs w:val="21"/>
        </w:rPr>
      </w:pPr>
      <w:r>
        <w:rPr>
          <w:b/>
          <w:color w:val="000000"/>
          <w:szCs w:val="21"/>
        </w:rPr>
        <w:t>1</w:t>
      </w:r>
      <w:r>
        <w:rPr>
          <w:color w:val="000000"/>
          <w:szCs w:val="21"/>
        </w:rPr>
        <w:t xml:space="preserve">  两个或两个以上回路，其最高标称电压回路绝缘等级不同；</w:t>
      </w:r>
    </w:p>
    <w:p w14:paraId="75B0FD7C">
      <w:pPr>
        <w:spacing w:line="400" w:lineRule="exact"/>
        <w:ind w:firstLine="422" w:firstLineChars="200"/>
        <w:rPr>
          <w:color w:val="000000"/>
          <w:szCs w:val="21"/>
        </w:rPr>
      </w:pPr>
      <w:r>
        <w:rPr>
          <w:b/>
          <w:color w:val="000000"/>
          <w:szCs w:val="21"/>
        </w:rPr>
        <w:t>2</w:t>
      </w:r>
      <w:r>
        <w:rPr>
          <w:color w:val="000000"/>
          <w:szCs w:val="21"/>
        </w:rPr>
        <w:t xml:space="preserve">  建筑电气的电源线缆与智能建筑的控制线缆；</w:t>
      </w:r>
    </w:p>
    <w:p w14:paraId="3DE06CAC">
      <w:pPr>
        <w:spacing w:line="400" w:lineRule="exact"/>
        <w:ind w:firstLine="422" w:firstLineChars="200"/>
        <w:rPr>
          <w:color w:val="000000"/>
          <w:szCs w:val="21"/>
        </w:rPr>
      </w:pPr>
      <w:r>
        <w:rPr>
          <w:b/>
          <w:color w:val="000000"/>
          <w:szCs w:val="21"/>
        </w:rPr>
        <w:t>3</w:t>
      </w:r>
      <w:r>
        <w:rPr>
          <w:color w:val="000000"/>
          <w:szCs w:val="21"/>
        </w:rPr>
        <w:t xml:space="preserve">  有电磁兼容要求的线路线缆；</w:t>
      </w:r>
    </w:p>
    <w:p w14:paraId="02220FA3">
      <w:pPr>
        <w:spacing w:line="400" w:lineRule="exact"/>
        <w:ind w:firstLine="422" w:firstLineChars="200"/>
        <w:rPr>
          <w:color w:val="000000"/>
          <w:szCs w:val="21"/>
        </w:rPr>
      </w:pPr>
      <w:r>
        <w:rPr>
          <w:b/>
          <w:color w:val="000000"/>
          <w:szCs w:val="21"/>
        </w:rPr>
        <w:t>4</w:t>
      </w:r>
      <w:r>
        <w:rPr>
          <w:color w:val="000000"/>
          <w:szCs w:val="21"/>
        </w:rPr>
        <w:t xml:space="preserve">  正常照明与应急照明的电源线缆；</w:t>
      </w:r>
    </w:p>
    <w:p w14:paraId="48DAA591">
      <w:pPr>
        <w:spacing w:line="400" w:lineRule="exact"/>
        <w:ind w:firstLine="422" w:firstLineChars="200"/>
        <w:rPr>
          <w:color w:val="000000"/>
          <w:szCs w:val="21"/>
        </w:rPr>
      </w:pPr>
      <w:r>
        <w:rPr>
          <w:b/>
          <w:color w:val="000000"/>
          <w:szCs w:val="21"/>
        </w:rPr>
        <w:t>5</w:t>
      </w:r>
      <w:r>
        <w:rPr>
          <w:color w:val="000000"/>
          <w:szCs w:val="21"/>
        </w:rPr>
        <w:t xml:space="preserve">  消防及重要负荷的正常电源与备用电源线缆。</w:t>
      </w:r>
    </w:p>
    <w:p w14:paraId="0F50B408">
      <w:pPr>
        <w:spacing w:line="400" w:lineRule="exact"/>
        <w:rPr>
          <w:color w:val="000000"/>
          <w:szCs w:val="21"/>
        </w:rPr>
      </w:pPr>
      <w:r>
        <w:rPr>
          <w:b/>
          <w:color w:val="000000"/>
          <w:szCs w:val="21"/>
        </w:rPr>
        <w:t>8.1.6</w:t>
      </w:r>
      <w:r>
        <w:rPr>
          <w:color w:val="000000"/>
          <w:szCs w:val="21"/>
        </w:rPr>
        <w:t xml:space="preserve">  工程中使用的导线护套颜色应符合现行国家标准《建筑电气工程施工质量验收</w:t>
      </w:r>
      <w:r>
        <w:rPr>
          <w:rFonts w:hint="eastAsia"/>
          <w:color w:val="000000"/>
          <w:szCs w:val="21"/>
        </w:rPr>
        <w:t>规范</w:t>
      </w:r>
      <w:r>
        <w:rPr>
          <w:color w:val="000000"/>
          <w:szCs w:val="21"/>
        </w:rPr>
        <w:t>》GB 50303的</w:t>
      </w:r>
      <w:r>
        <w:rPr>
          <w:rFonts w:hint="eastAsia"/>
          <w:color w:val="000000"/>
          <w:szCs w:val="21"/>
        </w:rPr>
        <w:t>相</w:t>
      </w:r>
      <w:r>
        <w:rPr>
          <w:color w:val="000000"/>
          <w:szCs w:val="21"/>
        </w:rPr>
        <w:t xml:space="preserve">关规定，在同一工程中功能相同的线缆颜色应一致。                                               </w:t>
      </w:r>
    </w:p>
    <w:p w14:paraId="20E25CBA">
      <w:pPr>
        <w:spacing w:line="400" w:lineRule="exact"/>
        <w:rPr>
          <w:color w:val="000000"/>
          <w:szCs w:val="21"/>
        </w:rPr>
      </w:pPr>
      <w:r>
        <w:rPr>
          <w:b/>
          <w:color w:val="000000"/>
          <w:szCs w:val="21"/>
        </w:rPr>
        <w:t xml:space="preserve">8.1.7 </w:t>
      </w:r>
      <w:r>
        <w:rPr>
          <w:color w:val="000000"/>
          <w:szCs w:val="21"/>
        </w:rPr>
        <w:t xml:space="preserve"> 灯具在吊顶上安装的位置应符合设计要求，并应与吊顶装饰相协调，在保证各自使用功能的前提下，安装在走道吊顶上的灯具、探测器、喷淋头等末端器具，成排安装时应安装在一条中心线上，最大偏差应不大于5 mm。</w:t>
      </w:r>
    </w:p>
    <w:p w14:paraId="333E1C31">
      <w:pPr>
        <w:spacing w:line="400" w:lineRule="exact"/>
        <w:rPr>
          <w:color w:val="000000"/>
          <w:szCs w:val="21"/>
        </w:rPr>
      </w:pPr>
      <w:r>
        <w:rPr>
          <w:b/>
          <w:color w:val="000000"/>
          <w:szCs w:val="21"/>
        </w:rPr>
        <w:t>8.1.8</w:t>
      </w:r>
      <w:r>
        <w:rPr>
          <w:color w:val="000000"/>
          <w:szCs w:val="21"/>
        </w:rPr>
        <w:t xml:space="preserve">  设备的各种钢质固定螺栓应热浸镀锌，平垫、防松垫应齐全，固定应牢固。不应有锈蚀、污染。</w:t>
      </w:r>
    </w:p>
    <w:p w14:paraId="320F8630">
      <w:pPr>
        <w:spacing w:line="400" w:lineRule="exact"/>
        <w:rPr>
          <w:color w:val="000000"/>
          <w:szCs w:val="21"/>
        </w:rPr>
      </w:pPr>
      <w:r>
        <w:rPr>
          <w:b/>
          <w:color w:val="000000"/>
          <w:szCs w:val="21"/>
        </w:rPr>
        <w:t>8.1.9</w:t>
      </w:r>
      <w:r>
        <w:rPr>
          <w:color w:val="000000"/>
          <w:szCs w:val="21"/>
        </w:rPr>
        <w:t xml:space="preserve">  铜质连接端子应涮锡或镀银。当铜和铝、铜和铁、铝和铁等不同材质的物体相互连接时，应按规范要求采取防电化学腐蚀措施。</w:t>
      </w:r>
    </w:p>
    <w:p w14:paraId="095D65FD">
      <w:pPr>
        <w:spacing w:line="400" w:lineRule="exact"/>
        <w:rPr>
          <w:color w:val="000000"/>
          <w:szCs w:val="21"/>
        </w:rPr>
      </w:pPr>
      <w:r>
        <w:rPr>
          <w:b/>
          <w:color w:val="000000"/>
          <w:szCs w:val="21"/>
        </w:rPr>
        <w:t>8.1.10</w:t>
      </w:r>
      <w:r>
        <w:rPr>
          <w:color w:val="000000"/>
          <w:szCs w:val="21"/>
        </w:rPr>
        <w:t xml:space="preserve">  柔性金属软管外保护层不应破损，不应有锈蚀和退绞现象，两端应采用专用连接件固定，观感质量好，接地</w:t>
      </w:r>
      <w:r>
        <w:rPr>
          <w:rFonts w:hint="eastAsia"/>
          <w:color w:val="000000"/>
          <w:szCs w:val="21"/>
        </w:rPr>
        <w:t>牢固</w:t>
      </w:r>
      <w:r>
        <w:rPr>
          <w:color w:val="000000"/>
          <w:szCs w:val="21"/>
        </w:rPr>
        <w:t>。</w:t>
      </w:r>
    </w:p>
    <w:p w14:paraId="0BD0F6E7">
      <w:pPr>
        <w:spacing w:line="400" w:lineRule="exact"/>
        <w:rPr>
          <w:color w:val="000000"/>
          <w:szCs w:val="21"/>
        </w:rPr>
      </w:pPr>
      <w:r>
        <w:rPr>
          <w:b/>
          <w:color w:val="000000"/>
          <w:szCs w:val="21"/>
        </w:rPr>
        <w:t>8.1.11</w:t>
      </w:r>
      <w:r>
        <w:rPr>
          <w:color w:val="000000"/>
          <w:szCs w:val="21"/>
        </w:rPr>
        <w:t xml:space="preserve">  构成回路的电线及电缆芯线应有回路编号，编号应字迹工整、清晰、不易脱色。</w:t>
      </w:r>
    </w:p>
    <w:p w14:paraId="6AD3035D">
      <w:pPr>
        <w:spacing w:line="400" w:lineRule="exact"/>
        <w:rPr>
          <w:color w:val="000000"/>
          <w:szCs w:val="21"/>
        </w:rPr>
      </w:pPr>
      <w:r>
        <w:rPr>
          <w:b/>
          <w:color w:val="000000"/>
          <w:szCs w:val="21"/>
        </w:rPr>
        <w:t>8.1.12</w:t>
      </w:r>
      <w:r>
        <w:rPr>
          <w:color w:val="000000"/>
          <w:szCs w:val="21"/>
        </w:rPr>
        <w:t xml:space="preserve">  电气设备应在土建湿作业完成后安装，各种电气装置不应有外壳损伤、涂层破坏、表面污染的现象。</w:t>
      </w:r>
    </w:p>
    <w:p w14:paraId="568CF897">
      <w:pPr>
        <w:spacing w:line="400" w:lineRule="exact"/>
        <w:rPr>
          <w:color w:val="000000"/>
          <w:szCs w:val="21"/>
        </w:rPr>
      </w:pPr>
      <w:r>
        <w:rPr>
          <w:b/>
          <w:color w:val="000000"/>
          <w:szCs w:val="21"/>
        </w:rPr>
        <w:t xml:space="preserve">8.1.13  </w:t>
      </w:r>
      <w:r>
        <w:rPr>
          <w:color w:val="000000"/>
          <w:szCs w:val="21"/>
        </w:rPr>
        <w:t>变配电室、电气竖井、智能建筑及电梯机房等电气设备间的土建和建筑设备安装，应符合以下要求：</w:t>
      </w:r>
    </w:p>
    <w:p w14:paraId="1058163E">
      <w:pPr>
        <w:spacing w:line="400" w:lineRule="exact"/>
        <w:ind w:firstLine="422" w:firstLineChars="200"/>
        <w:rPr>
          <w:color w:val="000000"/>
          <w:szCs w:val="21"/>
        </w:rPr>
      </w:pPr>
      <w:r>
        <w:rPr>
          <w:b/>
          <w:color w:val="000000"/>
          <w:szCs w:val="21"/>
        </w:rPr>
        <w:t xml:space="preserve">1 </w:t>
      </w:r>
      <w:r>
        <w:rPr>
          <w:color w:val="000000"/>
          <w:szCs w:val="21"/>
        </w:rPr>
        <w:t xml:space="preserve"> 工程装饰到位，不得采用可燃易燃材料装饰。各电气设备间门的防火等级、开启方向，应符合设计要求；</w:t>
      </w:r>
    </w:p>
    <w:p w14:paraId="141A3E29">
      <w:pPr>
        <w:spacing w:line="400" w:lineRule="exact"/>
        <w:ind w:firstLine="422" w:firstLineChars="200"/>
        <w:rPr>
          <w:color w:val="000000"/>
          <w:szCs w:val="21"/>
        </w:rPr>
      </w:pPr>
      <w:r>
        <w:rPr>
          <w:b/>
          <w:color w:val="000000"/>
          <w:szCs w:val="21"/>
        </w:rPr>
        <w:t>2</w:t>
      </w:r>
      <w:r>
        <w:rPr>
          <w:color w:val="000000"/>
          <w:szCs w:val="21"/>
        </w:rPr>
        <w:t xml:space="preserve">  室内清洁、整齐、无杂物；有防止鼠类等小动物进入室内的措施</w:t>
      </w:r>
      <w:r>
        <w:rPr>
          <w:rFonts w:hint="eastAsia"/>
          <w:color w:val="000000"/>
          <w:szCs w:val="21"/>
        </w:rPr>
        <w:t>；</w:t>
      </w:r>
    </w:p>
    <w:p w14:paraId="7E28996E">
      <w:pPr>
        <w:spacing w:line="400" w:lineRule="exact"/>
        <w:ind w:firstLine="422" w:firstLineChars="200"/>
        <w:rPr>
          <w:color w:val="000000"/>
          <w:szCs w:val="21"/>
        </w:rPr>
      </w:pPr>
      <w:r>
        <w:rPr>
          <w:b/>
          <w:color w:val="000000"/>
          <w:szCs w:val="21"/>
        </w:rPr>
        <w:t>3</w:t>
      </w:r>
      <w:r>
        <w:rPr>
          <w:color w:val="000000"/>
          <w:szCs w:val="21"/>
        </w:rPr>
        <w:t xml:space="preserve">  电缆夹层进出口的金属盖板、金属爬梯，应方便维修人员使用，金属爬梯应接地可靠；电缆应固定于支架上，首末端、拐弯处应有标识；</w:t>
      </w:r>
    </w:p>
    <w:p w14:paraId="44855D1F">
      <w:pPr>
        <w:spacing w:line="400" w:lineRule="exact"/>
        <w:ind w:firstLine="422" w:firstLineChars="200"/>
        <w:rPr>
          <w:color w:val="000000"/>
          <w:szCs w:val="21"/>
        </w:rPr>
      </w:pPr>
      <w:r>
        <w:rPr>
          <w:b/>
          <w:color w:val="000000"/>
          <w:szCs w:val="21"/>
        </w:rPr>
        <w:t>4</w:t>
      </w:r>
      <w:r>
        <w:rPr>
          <w:color w:val="000000"/>
          <w:szCs w:val="21"/>
        </w:rPr>
        <w:t xml:space="preserve">  电气设备间、电缆夹层、防静电地板下，应干燥清洁无杂物</w:t>
      </w:r>
      <w:r>
        <w:rPr>
          <w:rFonts w:hint="eastAsia"/>
          <w:color w:val="000000"/>
          <w:szCs w:val="21"/>
        </w:rPr>
        <w:t>，</w:t>
      </w:r>
      <w:r>
        <w:rPr>
          <w:color w:val="000000"/>
          <w:szCs w:val="21"/>
        </w:rPr>
        <w:t>对外孔洞应封堵严密；</w:t>
      </w:r>
    </w:p>
    <w:p w14:paraId="60B42364">
      <w:pPr>
        <w:spacing w:line="400" w:lineRule="exact"/>
        <w:ind w:firstLine="422" w:firstLineChars="200"/>
        <w:rPr>
          <w:color w:val="000000"/>
          <w:szCs w:val="21"/>
        </w:rPr>
      </w:pPr>
      <w:r>
        <w:rPr>
          <w:b/>
          <w:color w:val="000000"/>
          <w:szCs w:val="21"/>
        </w:rPr>
        <w:t>5</w:t>
      </w:r>
      <w:r>
        <w:rPr>
          <w:color w:val="000000"/>
          <w:szCs w:val="21"/>
        </w:rPr>
        <w:t xml:space="preserve">  电气设备间应有防止进水的措施，设在建筑物最底层的电缆夹层或电缆沟应有防水</w:t>
      </w:r>
      <w:r>
        <w:rPr>
          <w:rFonts w:hint="eastAsia"/>
          <w:color w:val="000000"/>
          <w:szCs w:val="21"/>
        </w:rPr>
        <w:t>、</w:t>
      </w:r>
      <w:r>
        <w:rPr>
          <w:color w:val="000000"/>
          <w:szCs w:val="21"/>
        </w:rPr>
        <w:t>集水、排水措施；</w:t>
      </w:r>
    </w:p>
    <w:p w14:paraId="48F54D89">
      <w:pPr>
        <w:spacing w:line="400" w:lineRule="exact"/>
        <w:ind w:firstLine="422" w:firstLineChars="200"/>
        <w:rPr>
          <w:color w:val="000000"/>
          <w:szCs w:val="21"/>
        </w:rPr>
      </w:pPr>
      <w:r>
        <w:rPr>
          <w:b/>
          <w:color w:val="000000"/>
          <w:szCs w:val="21"/>
        </w:rPr>
        <w:t>6</w:t>
      </w:r>
      <w:r>
        <w:rPr>
          <w:color w:val="000000"/>
          <w:szCs w:val="21"/>
        </w:rPr>
        <w:t xml:space="preserve">  电气设备间内不应有其</w:t>
      </w:r>
      <w:r>
        <w:rPr>
          <w:rFonts w:hint="eastAsia"/>
          <w:color w:val="000000"/>
          <w:szCs w:val="21"/>
        </w:rPr>
        <w:t>他</w:t>
      </w:r>
      <w:r>
        <w:rPr>
          <w:color w:val="000000"/>
          <w:szCs w:val="21"/>
        </w:rPr>
        <w:t>无关的管道和设施；</w:t>
      </w:r>
    </w:p>
    <w:p w14:paraId="084CDFE0">
      <w:pPr>
        <w:spacing w:line="400" w:lineRule="exact"/>
        <w:ind w:firstLine="422" w:firstLineChars="200"/>
        <w:rPr>
          <w:color w:val="000000"/>
          <w:szCs w:val="21"/>
        </w:rPr>
      </w:pPr>
      <w:r>
        <w:rPr>
          <w:b/>
          <w:color w:val="000000"/>
          <w:szCs w:val="21"/>
        </w:rPr>
        <w:t xml:space="preserve">7  </w:t>
      </w:r>
      <w:r>
        <w:rPr>
          <w:color w:val="000000"/>
          <w:szCs w:val="21"/>
        </w:rPr>
        <w:t>槽盒与成排设备管道平行安装时，应进行综合规划排布，应留有各自的检修空间。任何场所的电缆槽盒、桥架、电源箱、柜上方，不应有易渗水、漏水的管道。</w:t>
      </w:r>
    </w:p>
    <w:p w14:paraId="78C291BC">
      <w:pPr>
        <w:pStyle w:val="4"/>
        <w:numPr>
          <w:ilvl w:val="1"/>
          <w:numId w:val="0"/>
        </w:numPr>
        <w:spacing w:before="312" w:beforeLines="100" w:line="400" w:lineRule="exact"/>
        <w:jc w:val="center"/>
        <w:rPr>
          <w:rFonts w:ascii="Times New Roman" w:hAnsi="Times New Roman" w:eastAsia="黑体"/>
          <w:sz w:val="24"/>
          <w:szCs w:val="24"/>
        </w:rPr>
      </w:pPr>
      <w:bookmarkStart w:id="442" w:name="_Toc7960"/>
      <w:bookmarkStart w:id="443" w:name="_Toc13191"/>
      <w:bookmarkStart w:id="444" w:name="_Toc25171"/>
      <w:bookmarkStart w:id="445" w:name="_Toc30199"/>
      <w:bookmarkStart w:id="446" w:name="_Toc20235"/>
      <w:bookmarkStart w:id="447" w:name="_Toc12023"/>
      <w:bookmarkStart w:id="448" w:name="_Toc1220"/>
      <w:bookmarkStart w:id="449" w:name="_Toc26331"/>
      <w:bookmarkStart w:id="450" w:name="_Toc1579"/>
      <w:r>
        <w:rPr>
          <w:rFonts w:ascii="Times New Roman" w:hAnsi="Times New Roman" w:eastAsia="黑体"/>
          <w:b/>
          <w:bCs/>
          <w:sz w:val="24"/>
          <w:szCs w:val="24"/>
        </w:rPr>
        <w:t>8.2</w:t>
      </w:r>
      <w:r>
        <w:rPr>
          <w:rFonts w:ascii="Times New Roman" w:hAnsi="Times New Roman" w:eastAsia="黑体"/>
          <w:sz w:val="24"/>
          <w:szCs w:val="24"/>
        </w:rPr>
        <w:t xml:space="preserve">  建筑电气工程</w:t>
      </w:r>
      <w:bookmarkEnd w:id="442"/>
      <w:bookmarkEnd w:id="443"/>
      <w:bookmarkEnd w:id="444"/>
      <w:bookmarkEnd w:id="445"/>
      <w:bookmarkEnd w:id="446"/>
      <w:bookmarkEnd w:id="447"/>
      <w:bookmarkEnd w:id="448"/>
      <w:bookmarkEnd w:id="449"/>
      <w:bookmarkEnd w:id="450"/>
    </w:p>
    <w:p w14:paraId="61A5CD05">
      <w:pPr>
        <w:spacing w:line="400" w:lineRule="exact"/>
        <w:rPr>
          <w:color w:val="000000"/>
          <w:szCs w:val="21"/>
        </w:rPr>
      </w:pPr>
      <w:r>
        <w:rPr>
          <w:b/>
          <w:color w:val="000000"/>
          <w:szCs w:val="21"/>
        </w:rPr>
        <w:t xml:space="preserve">8.2.1  </w:t>
      </w:r>
      <w:r>
        <w:rPr>
          <w:color w:val="000000"/>
          <w:szCs w:val="21"/>
        </w:rPr>
        <w:t xml:space="preserve">变配电室10 kV及以下配电装置安装的高压部分，主要检查以下内容：  </w:t>
      </w:r>
    </w:p>
    <w:p w14:paraId="1766AC76">
      <w:pPr>
        <w:spacing w:line="400" w:lineRule="exact"/>
        <w:ind w:firstLine="422" w:firstLineChars="200"/>
        <w:rPr>
          <w:color w:val="000000"/>
          <w:szCs w:val="21"/>
        </w:rPr>
      </w:pPr>
      <w:r>
        <w:rPr>
          <w:b/>
          <w:color w:val="000000"/>
          <w:szCs w:val="21"/>
        </w:rPr>
        <w:t>1</w:t>
      </w:r>
      <w:r>
        <w:rPr>
          <w:color w:val="000000"/>
          <w:szCs w:val="21"/>
        </w:rPr>
        <w:t xml:space="preserve">  变压器的安装应符合设计要求；</w:t>
      </w:r>
    </w:p>
    <w:p w14:paraId="53652401">
      <w:pPr>
        <w:spacing w:line="400" w:lineRule="exact"/>
        <w:ind w:firstLine="422" w:firstLineChars="200"/>
        <w:rPr>
          <w:color w:val="000000"/>
          <w:szCs w:val="21"/>
        </w:rPr>
      </w:pPr>
      <w:r>
        <w:rPr>
          <w:b/>
          <w:color w:val="000000"/>
          <w:szCs w:val="21"/>
        </w:rPr>
        <w:t>2</w:t>
      </w:r>
      <w:r>
        <w:rPr>
          <w:color w:val="000000"/>
          <w:szCs w:val="21"/>
        </w:rPr>
        <w:t xml:space="preserve">  变压器中性点应与接地装置引出的干线直接连接，接地点应有两根与接地装置不同地点连接的接地干线。中性点接地线的材质、规格应符合设计要求；</w:t>
      </w:r>
    </w:p>
    <w:p w14:paraId="43DCED43">
      <w:pPr>
        <w:spacing w:line="400" w:lineRule="exact"/>
        <w:ind w:firstLine="422" w:firstLineChars="200"/>
        <w:rPr>
          <w:color w:val="000000"/>
          <w:szCs w:val="21"/>
        </w:rPr>
      </w:pPr>
      <w:r>
        <w:rPr>
          <w:b/>
          <w:color w:val="000000"/>
          <w:szCs w:val="21"/>
        </w:rPr>
        <w:t>3</w:t>
      </w:r>
      <w:r>
        <w:rPr>
          <w:color w:val="000000"/>
          <w:szCs w:val="21"/>
        </w:rPr>
        <w:t xml:space="preserve">  变压器金属外壳及底座应接地可靠；</w:t>
      </w:r>
    </w:p>
    <w:p w14:paraId="21850630">
      <w:pPr>
        <w:spacing w:line="400" w:lineRule="exact"/>
        <w:ind w:firstLine="422" w:firstLineChars="200"/>
        <w:rPr>
          <w:color w:val="000000"/>
          <w:szCs w:val="21"/>
        </w:rPr>
      </w:pPr>
      <w:r>
        <w:rPr>
          <w:b/>
          <w:color w:val="000000"/>
          <w:szCs w:val="21"/>
        </w:rPr>
        <w:t>4</w:t>
      </w:r>
      <w:r>
        <w:rPr>
          <w:color w:val="000000"/>
          <w:szCs w:val="21"/>
        </w:rPr>
        <w:t xml:space="preserve">  成套高压配电柜应有铭牌，安装垂直度、平整度应符合现行国家标准《建筑电气工程施工质量验收</w:t>
      </w:r>
      <w:r>
        <w:rPr>
          <w:rFonts w:hint="eastAsia"/>
          <w:color w:val="000000"/>
          <w:szCs w:val="21"/>
        </w:rPr>
        <w:t>规范</w:t>
      </w:r>
      <w:r>
        <w:rPr>
          <w:color w:val="000000"/>
          <w:szCs w:val="21"/>
        </w:rPr>
        <w:t xml:space="preserve">》GB 50303的有关规定，配电柜金属外壳和基础槽钢应接地明显、可靠； </w:t>
      </w:r>
    </w:p>
    <w:p w14:paraId="259B6051">
      <w:pPr>
        <w:spacing w:line="400" w:lineRule="exact"/>
        <w:ind w:firstLine="422" w:firstLineChars="200"/>
        <w:rPr>
          <w:color w:val="000000"/>
          <w:szCs w:val="21"/>
        </w:rPr>
      </w:pPr>
      <w:r>
        <w:rPr>
          <w:b/>
          <w:bCs/>
          <w:color w:val="000000"/>
          <w:szCs w:val="21"/>
        </w:rPr>
        <w:t>5</w:t>
      </w:r>
      <w:r>
        <w:rPr>
          <w:color w:val="000000"/>
          <w:szCs w:val="21"/>
        </w:rPr>
        <w:t xml:space="preserve">  户外安装的配电装置应有防雨、水、小动物、人员侵害的防护措施。</w:t>
      </w:r>
    </w:p>
    <w:p w14:paraId="288A0AFB">
      <w:pPr>
        <w:spacing w:line="400" w:lineRule="exact"/>
        <w:rPr>
          <w:color w:val="000000"/>
          <w:szCs w:val="21"/>
        </w:rPr>
      </w:pPr>
      <w:r>
        <w:rPr>
          <w:b/>
          <w:color w:val="000000"/>
          <w:szCs w:val="21"/>
        </w:rPr>
        <w:t>8.2.2</w:t>
      </w:r>
      <w:r>
        <w:rPr>
          <w:color w:val="000000"/>
          <w:szCs w:val="21"/>
        </w:rPr>
        <w:t xml:space="preserve"> 35 kV及以下低压配电装置的安装应符合以下要求：</w:t>
      </w:r>
    </w:p>
    <w:p w14:paraId="7874571E">
      <w:pPr>
        <w:spacing w:line="400" w:lineRule="exact"/>
        <w:ind w:firstLine="422" w:firstLineChars="200"/>
        <w:rPr>
          <w:color w:val="000000"/>
          <w:szCs w:val="21"/>
        </w:rPr>
      </w:pPr>
      <w:r>
        <w:rPr>
          <w:b/>
          <w:bCs/>
          <w:color w:val="000000"/>
          <w:szCs w:val="21"/>
        </w:rPr>
        <w:t xml:space="preserve">1  </w:t>
      </w:r>
      <w:r>
        <w:rPr>
          <w:color w:val="000000"/>
          <w:szCs w:val="21"/>
        </w:rPr>
        <w:t>无特殊要求时，低压供电系统必须为TN-S系统；</w:t>
      </w:r>
    </w:p>
    <w:p w14:paraId="2F45D2B5">
      <w:pPr>
        <w:spacing w:line="400" w:lineRule="exact"/>
        <w:ind w:firstLine="422" w:firstLineChars="200"/>
        <w:rPr>
          <w:color w:val="000000"/>
          <w:szCs w:val="21"/>
        </w:rPr>
      </w:pPr>
      <w:r>
        <w:rPr>
          <w:b/>
          <w:bCs/>
          <w:color w:val="000000"/>
          <w:szCs w:val="21"/>
        </w:rPr>
        <w:t>2</w:t>
      </w:r>
      <w:r>
        <w:rPr>
          <w:color w:val="000000"/>
          <w:szCs w:val="21"/>
        </w:rPr>
        <w:t xml:space="preserve">  成套配电箱、柜的型号、规格、 安装位置，应符合设计要求，铭牌应齐全； </w:t>
      </w:r>
    </w:p>
    <w:p w14:paraId="4B90DB50">
      <w:pPr>
        <w:spacing w:line="400" w:lineRule="exact"/>
        <w:ind w:firstLine="422" w:firstLineChars="200"/>
        <w:rPr>
          <w:color w:val="000000"/>
          <w:szCs w:val="21"/>
        </w:rPr>
      </w:pPr>
      <w:r>
        <w:rPr>
          <w:b/>
          <w:color w:val="000000"/>
          <w:szCs w:val="21"/>
        </w:rPr>
        <w:t>3</w:t>
      </w:r>
      <w:r>
        <w:rPr>
          <w:color w:val="000000"/>
          <w:szCs w:val="21"/>
        </w:rPr>
        <w:t xml:space="preserve">  成套配电箱、柜的金属框架及基础槽钢应接地可靠。安装有电器、仪表等装置可开启的金属门，应采用</w:t>
      </w:r>
      <w:r>
        <w:rPr>
          <w:rFonts w:hint="eastAsia"/>
          <w:color w:val="000000"/>
          <w:szCs w:val="21"/>
        </w:rPr>
        <w:t>截面积不小于4</w:t>
      </w:r>
      <w:r>
        <w:rPr>
          <w:color w:val="000000"/>
          <w:szCs w:val="21"/>
        </w:rPr>
        <w:t xml:space="preserve"> </w:t>
      </w:r>
      <w:r>
        <w:rPr>
          <w:rFonts w:hint="eastAsia"/>
          <w:color w:val="000000"/>
          <w:szCs w:val="21"/>
        </w:rPr>
        <w:t>mm</w:t>
      </w:r>
      <w:r>
        <w:rPr>
          <w:rFonts w:hint="eastAsia"/>
          <w:color w:val="000000"/>
          <w:kern w:val="21"/>
          <w:szCs w:val="21"/>
          <w:vertAlign w:val="superscript"/>
        </w:rPr>
        <w:t>2</w:t>
      </w:r>
      <w:r>
        <w:rPr>
          <w:color w:val="000000"/>
          <w:szCs w:val="21"/>
        </w:rPr>
        <w:t>的绿黄双色绝缘铜芯软导线与接地汇流排可靠连接。配电柜的金属结构及装有电器的框架有涂层的安装部位，应采取有效措施保证接地可靠；</w:t>
      </w:r>
    </w:p>
    <w:p w14:paraId="75424956">
      <w:pPr>
        <w:spacing w:line="400" w:lineRule="exact"/>
        <w:ind w:firstLine="422" w:firstLineChars="200"/>
        <w:rPr>
          <w:color w:val="000000"/>
          <w:szCs w:val="21"/>
        </w:rPr>
      </w:pPr>
      <w:r>
        <w:rPr>
          <w:b/>
          <w:bCs/>
          <w:color w:val="000000"/>
          <w:szCs w:val="21"/>
        </w:rPr>
        <w:t>4</w:t>
      </w:r>
      <w:r>
        <w:rPr>
          <w:color w:val="000000"/>
          <w:szCs w:val="21"/>
        </w:rPr>
        <w:t xml:space="preserve">  成套照明、动力配电箱、柜内的母排型号、规格，应符合设计要求；</w:t>
      </w:r>
    </w:p>
    <w:p w14:paraId="7B6049D7">
      <w:pPr>
        <w:spacing w:line="400" w:lineRule="exact"/>
        <w:ind w:firstLine="422" w:firstLineChars="200"/>
        <w:rPr>
          <w:color w:val="000000"/>
          <w:szCs w:val="21"/>
        </w:rPr>
      </w:pPr>
      <w:r>
        <w:rPr>
          <w:b/>
          <w:color w:val="000000"/>
          <w:szCs w:val="21"/>
        </w:rPr>
        <w:t>5</w:t>
      </w:r>
      <w:r>
        <w:rPr>
          <w:color w:val="000000"/>
          <w:szCs w:val="21"/>
        </w:rPr>
        <w:t xml:space="preserve">  成套配电箱、柜内安装的电器，其型号、规格、整定参数应符合设计要求，应安装平直、固定牢固，开关标识应齐全、清晰、正确、牢固。强电、弱电的接线端子排应有明显区别，并应安装牢固，端子规格与导线芯线截面应适配；</w:t>
      </w:r>
    </w:p>
    <w:p w14:paraId="03A26DE4">
      <w:pPr>
        <w:spacing w:line="400" w:lineRule="exact"/>
        <w:ind w:firstLine="422" w:firstLineChars="200"/>
        <w:rPr>
          <w:color w:val="000000"/>
          <w:szCs w:val="21"/>
        </w:rPr>
      </w:pPr>
      <w:r>
        <w:rPr>
          <w:b/>
          <w:color w:val="000000"/>
          <w:szCs w:val="21"/>
        </w:rPr>
        <w:t>6</w:t>
      </w:r>
      <w:r>
        <w:rPr>
          <w:color w:val="000000"/>
          <w:szCs w:val="21"/>
        </w:rPr>
        <w:t xml:space="preserve">  配电箱、柜二次回路的继电保护装置及电气测量仪表等设备的安装、调试应符合设计要求；</w:t>
      </w:r>
    </w:p>
    <w:p w14:paraId="079445D7">
      <w:pPr>
        <w:spacing w:line="400" w:lineRule="exact"/>
        <w:ind w:firstLine="422" w:firstLineChars="200"/>
        <w:rPr>
          <w:color w:val="000000"/>
          <w:szCs w:val="21"/>
        </w:rPr>
      </w:pPr>
      <w:r>
        <w:rPr>
          <w:b/>
          <w:color w:val="000000"/>
          <w:szCs w:val="21"/>
        </w:rPr>
        <w:t xml:space="preserve">7  </w:t>
      </w:r>
      <w:r>
        <w:rPr>
          <w:color w:val="000000"/>
          <w:szCs w:val="21"/>
        </w:rPr>
        <w:t>配电箱、柜内配线相色正确，排布整齐，压接牢固，接点无伤芯线和断股现象；</w:t>
      </w:r>
    </w:p>
    <w:p w14:paraId="13E72087">
      <w:pPr>
        <w:spacing w:line="400" w:lineRule="exact"/>
        <w:ind w:firstLine="422" w:firstLineChars="200"/>
        <w:rPr>
          <w:color w:val="000000"/>
          <w:szCs w:val="21"/>
        </w:rPr>
      </w:pPr>
      <w:r>
        <w:rPr>
          <w:b/>
          <w:bCs/>
          <w:color w:val="000000"/>
          <w:szCs w:val="21"/>
        </w:rPr>
        <w:t>8</w:t>
      </w:r>
      <w:r>
        <w:rPr>
          <w:color w:val="000000"/>
          <w:szCs w:val="21"/>
        </w:rPr>
        <w:t xml:space="preserve">  配电箱、柜内的开关配件应齐全。箱、柜内裸露导体距固定安装的金属箱体的最小距离应不小于50 mm，距可开启的金属柜门最小距离应不小于100 mm。达不到距离时应做防护，防护材料应阻燃；</w:t>
      </w:r>
    </w:p>
    <w:p w14:paraId="510EF6A8">
      <w:pPr>
        <w:spacing w:line="400" w:lineRule="exact"/>
        <w:ind w:firstLine="422" w:firstLineChars="200"/>
        <w:rPr>
          <w:color w:val="000000"/>
          <w:szCs w:val="21"/>
        </w:rPr>
      </w:pPr>
      <w:r>
        <w:rPr>
          <w:b/>
          <w:bCs/>
          <w:color w:val="000000"/>
          <w:szCs w:val="21"/>
        </w:rPr>
        <w:t>9</w:t>
      </w:r>
      <w:r>
        <w:rPr>
          <w:color w:val="000000"/>
          <w:szCs w:val="21"/>
        </w:rPr>
        <w:t xml:space="preserve">  箱、柜的电线、电缆进出口周边应有护口，防火封堵严密；线缆长度留有裕量，标识清晰；电缆芯线宜加相应颜色的热缩套管。导线与电器的接线应牢固，并应分回路绑扎，接线后开关的接线端子不应受到额外应力。电线、电缆芯线与开关接线端子的规格应适配；</w:t>
      </w:r>
    </w:p>
    <w:p w14:paraId="69604247">
      <w:pPr>
        <w:spacing w:line="400" w:lineRule="exact"/>
        <w:ind w:firstLine="422" w:firstLineChars="200"/>
        <w:rPr>
          <w:color w:val="000000"/>
          <w:szCs w:val="21"/>
        </w:rPr>
      </w:pPr>
      <w:r>
        <w:rPr>
          <w:b/>
          <w:bCs/>
          <w:color w:val="000000"/>
          <w:szCs w:val="21"/>
        </w:rPr>
        <w:t>10</w:t>
      </w:r>
      <w:r>
        <w:rPr>
          <w:color w:val="000000"/>
          <w:szCs w:val="21"/>
          <w:lang w:val="zh-CN"/>
        </w:rPr>
        <w:t xml:space="preserve"> </w:t>
      </w:r>
      <w:r>
        <w:rPr>
          <w:color w:val="000000"/>
          <w:szCs w:val="21"/>
        </w:rPr>
        <w:t xml:space="preserve"> 配电柜的基础型钢安装的</w:t>
      </w:r>
      <w:r>
        <w:rPr>
          <w:rFonts w:hint="eastAsia"/>
          <w:color w:val="000000"/>
          <w:szCs w:val="21"/>
        </w:rPr>
        <w:t>垂直</w:t>
      </w:r>
      <w:r>
        <w:rPr>
          <w:color w:val="000000"/>
          <w:szCs w:val="21"/>
        </w:rPr>
        <w:t>度、水平度</w:t>
      </w:r>
      <w:r>
        <w:rPr>
          <w:rFonts w:hint="eastAsia"/>
          <w:color w:val="000000"/>
          <w:szCs w:val="21"/>
        </w:rPr>
        <w:t>的</w:t>
      </w:r>
      <w:r>
        <w:rPr>
          <w:color w:val="000000"/>
          <w:szCs w:val="21"/>
        </w:rPr>
        <w:t>偏差不应大于</w:t>
      </w:r>
      <w:r>
        <w:rPr>
          <w:rFonts w:hint="eastAsia"/>
          <w:color w:val="000000"/>
          <w:szCs w:val="21"/>
          <w:lang w:val="en-US" w:eastAsia="zh-CN"/>
        </w:rPr>
        <w:t>现行国家标准</w:t>
      </w:r>
      <w:r>
        <w:rPr>
          <w:color w:val="000000"/>
          <w:szCs w:val="21"/>
        </w:rPr>
        <w:t>《建筑电气工程施工质量验收</w:t>
      </w:r>
      <w:r>
        <w:rPr>
          <w:rFonts w:hint="eastAsia"/>
          <w:color w:val="000000"/>
          <w:szCs w:val="21"/>
        </w:rPr>
        <w:t>规范</w:t>
      </w:r>
      <w:r>
        <w:rPr>
          <w:color w:val="000000"/>
          <w:szCs w:val="21"/>
        </w:rPr>
        <w:t>》GB 50303的规定。配电柜应与基础型钢固定牢固，用于固定配电柜的螺栓、螺母、平垫、防松垫应齐全，固定孔径的大小应与固定螺栓匹配；</w:t>
      </w:r>
    </w:p>
    <w:p w14:paraId="78D15052">
      <w:pPr>
        <w:spacing w:line="400" w:lineRule="exact"/>
        <w:ind w:firstLine="422" w:firstLineChars="200"/>
        <w:rPr>
          <w:color w:val="000000"/>
          <w:szCs w:val="21"/>
        </w:rPr>
      </w:pPr>
      <w:r>
        <w:rPr>
          <w:b/>
          <w:color w:val="000000"/>
          <w:szCs w:val="21"/>
        </w:rPr>
        <w:t>11</w:t>
      </w:r>
      <w:r>
        <w:rPr>
          <w:color w:val="000000"/>
          <w:szCs w:val="21"/>
        </w:rPr>
        <w:t xml:space="preserve">  配电箱、柜的垂直度、平整度、相互间的接缝、成列盘面的允许偏差，不应大于</w:t>
      </w:r>
      <w:r>
        <w:rPr>
          <w:rFonts w:hint="eastAsia"/>
          <w:color w:val="000000"/>
          <w:szCs w:val="21"/>
          <w:lang w:val="en-US" w:eastAsia="zh-CN"/>
        </w:rPr>
        <w:t>现行国家标准</w:t>
      </w:r>
      <w:r>
        <w:rPr>
          <w:color w:val="000000"/>
          <w:szCs w:val="21"/>
        </w:rPr>
        <w:t>《建筑电气工程施工质量验收</w:t>
      </w:r>
      <w:r>
        <w:rPr>
          <w:rFonts w:hint="eastAsia"/>
          <w:color w:val="000000"/>
          <w:szCs w:val="21"/>
        </w:rPr>
        <w:t>规范</w:t>
      </w:r>
      <w:r>
        <w:rPr>
          <w:color w:val="000000"/>
          <w:szCs w:val="21"/>
        </w:rPr>
        <w:t>》GB 50303的规定。嵌入安装的配电箱的箱体应与墙面平齐。配电箱、柜内应保持干燥、清洁、无杂物；</w:t>
      </w:r>
    </w:p>
    <w:p w14:paraId="33E0F4AC">
      <w:pPr>
        <w:spacing w:line="400" w:lineRule="exact"/>
        <w:ind w:firstLine="422" w:firstLineChars="200"/>
        <w:rPr>
          <w:color w:val="000000"/>
          <w:szCs w:val="21"/>
        </w:rPr>
      </w:pPr>
      <w:r>
        <w:rPr>
          <w:b/>
          <w:bCs/>
          <w:color w:val="000000"/>
          <w:szCs w:val="21"/>
        </w:rPr>
        <w:t>12</w:t>
      </w:r>
      <w:r>
        <w:rPr>
          <w:color w:val="000000"/>
          <w:szCs w:val="21"/>
        </w:rPr>
        <w:t xml:space="preserve">  配电箱、柜门的钢板厚度应不小于</w:t>
      </w:r>
      <w:r>
        <w:rPr>
          <w:rFonts w:hint="eastAsia"/>
          <w:color w:val="000000"/>
          <w:szCs w:val="21"/>
        </w:rPr>
        <w:t xml:space="preserve"> </w:t>
      </w:r>
      <w:r>
        <w:rPr>
          <w:color w:val="000000"/>
          <w:szCs w:val="21"/>
        </w:rPr>
        <w:t>2 mm，门应开闭灵活，不应有变形、异响。配电箱、柜表面涂层应完整，不应有损伤、污染；</w:t>
      </w:r>
    </w:p>
    <w:p w14:paraId="3E364DFC">
      <w:pPr>
        <w:spacing w:line="400" w:lineRule="exact"/>
        <w:ind w:firstLine="422" w:firstLineChars="200"/>
        <w:rPr>
          <w:color w:val="000000"/>
          <w:szCs w:val="21"/>
        </w:rPr>
      </w:pPr>
      <w:r>
        <w:rPr>
          <w:b/>
          <w:color w:val="000000"/>
          <w:szCs w:val="21"/>
        </w:rPr>
        <w:t>13</w:t>
      </w:r>
      <w:r>
        <w:rPr>
          <w:color w:val="000000"/>
          <w:szCs w:val="21"/>
        </w:rPr>
        <w:t xml:space="preserve">  导线与母排、母排与母排的连接必须牢固可靠，母排或母线的相序排列及色标应符合规范规定。母排安装应平直、固定牢固、表面涂层均匀，不应有麻点、凹坑、变形、扭曲现象。采用螺栓连接时，母排连接孔数量、孔径及压接螺栓规格</w:t>
      </w:r>
      <w:r>
        <w:rPr>
          <w:rFonts w:hint="eastAsia"/>
          <w:color w:val="000000"/>
          <w:szCs w:val="21"/>
        </w:rPr>
        <w:t>、</w:t>
      </w:r>
      <w:r>
        <w:rPr>
          <w:color w:val="000000"/>
          <w:szCs w:val="21"/>
        </w:rPr>
        <w:t>力矩扳手的力矩应符合</w:t>
      </w:r>
      <w:r>
        <w:rPr>
          <w:rFonts w:hint="eastAsia"/>
          <w:color w:val="000000"/>
          <w:szCs w:val="21"/>
          <w:lang w:val="en-US" w:eastAsia="zh-CN"/>
        </w:rPr>
        <w:t>现行国家标准</w:t>
      </w:r>
      <w:r>
        <w:rPr>
          <w:color w:val="000000"/>
          <w:szCs w:val="21"/>
        </w:rPr>
        <w:t>《建筑电气工程施工质量验收</w:t>
      </w:r>
      <w:r>
        <w:rPr>
          <w:rFonts w:hint="eastAsia"/>
          <w:color w:val="000000"/>
          <w:szCs w:val="21"/>
        </w:rPr>
        <w:t>规范</w:t>
      </w:r>
      <w:r>
        <w:rPr>
          <w:color w:val="000000"/>
          <w:szCs w:val="21"/>
        </w:rPr>
        <w:t>》GB 50303</w:t>
      </w:r>
      <w:r>
        <w:rPr>
          <w:rFonts w:hint="eastAsia"/>
          <w:color w:val="000000"/>
          <w:szCs w:val="21"/>
        </w:rPr>
        <w:t>的</w:t>
      </w:r>
      <w:r>
        <w:rPr>
          <w:color w:val="000000"/>
          <w:szCs w:val="21"/>
        </w:rPr>
        <w:t>规定。</w:t>
      </w:r>
    </w:p>
    <w:p w14:paraId="3F4F7F53">
      <w:pPr>
        <w:spacing w:line="400" w:lineRule="exact"/>
        <w:rPr>
          <w:color w:val="000000"/>
          <w:szCs w:val="21"/>
        </w:rPr>
      </w:pPr>
      <w:r>
        <w:rPr>
          <w:b/>
          <w:color w:val="000000"/>
          <w:szCs w:val="21"/>
        </w:rPr>
        <w:t>8.2.3</w:t>
      </w:r>
      <w:r>
        <w:rPr>
          <w:color w:val="000000"/>
          <w:szCs w:val="21"/>
        </w:rPr>
        <w:t xml:space="preserve">  金属导管的安装应符合以下要求：</w:t>
      </w:r>
    </w:p>
    <w:p w14:paraId="24D06FE6">
      <w:pPr>
        <w:spacing w:line="400" w:lineRule="exact"/>
        <w:ind w:firstLine="420" w:firstLineChars="200"/>
        <w:rPr>
          <w:color w:val="000000"/>
          <w:szCs w:val="21"/>
        </w:rPr>
      </w:pPr>
      <w:r>
        <w:rPr>
          <w:color w:val="000000"/>
          <w:szCs w:val="21"/>
        </w:rPr>
        <w:t>1  型号、规格和防腐处理，应符合设计要求；</w:t>
      </w:r>
    </w:p>
    <w:p w14:paraId="078B883F">
      <w:pPr>
        <w:spacing w:line="400" w:lineRule="exact"/>
        <w:ind w:firstLine="422" w:firstLineChars="200"/>
        <w:rPr>
          <w:color w:val="000000"/>
          <w:szCs w:val="21"/>
        </w:rPr>
      </w:pPr>
      <w:r>
        <w:rPr>
          <w:b/>
          <w:color w:val="000000"/>
          <w:szCs w:val="21"/>
        </w:rPr>
        <w:t xml:space="preserve">2  </w:t>
      </w:r>
      <w:r>
        <w:rPr>
          <w:color w:val="000000"/>
          <w:szCs w:val="21"/>
        </w:rPr>
        <w:t>严禁对口熔焊连接。镀锌管和壁厚不大于2 mm的钢导管，不得用套管熔焊连接；</w:t>
      </w:r>
    </w:p>
    <w:p w14:paraId="2C97AFCA">
      <w:pPr>
        <w:spacing w:line="400" w:lineRule="exact"/>
        <w:ind w:firstLine="422" w:firstLineChars="200"/>
        <w:rPr>
          <w:color w:val="000000"/>
          <w:szCs w:val="21"/>
        </w:rPr>
      </w:pPr>
      <w:r>
        <w:rPr>
          <w:b/>
          <w:color w:val="000000"/>
          <w:szCs w:val="21"/>
        </w:rPr>
        <w:t xml:space="preserve">3  </w:t>
      </w:r>
      <w:r>
        <w:rPr>
          <w:color w:val="000000"/>
          <w:szCs w:val="21"/>
        </w:rPr>
        <w:t>连接及其接地应符合</w:t>
      </w:r>
      <w:r>
        <w:rPr>
          <w:rFonts w:hint="eastAsia"/>
          <w:color w:val="000000"/>
          <w:szCs w:val="21"/>
          <w:lang w:val="en-US" w:eastAsia="zh-CN"/>
        </w:rPr>
        <w:t>现行国家标准</w:t>
      </w:r>
      <w:r>
        <w:rPr>
          <w:color w:val="000000"/>
          <w:szCs w:val="21"/>
        </w:rPr>
        <w:t>《建筑电气工程施工质量验收</w:t>
      </w:r>
      <w:r>
        <w:rPr>
          <w:rFonts w:hint="eastAsia"/>
          <w:color w:val="000000"/>
          <w:szCs w:val="21"/>
        </w:rPr>
        <w:t>规范</w:t>
      </w:r>
      <w:r>
        <w:rPr>
          <w:color w:val="000000"/>
          <w:szCs w:val="21"/>
        </w:rPr>
        <w:t>》GB 50303</w:t>
      </w:r>
      <w:r>
        <w:rPr>
          <w:rFonts w:hint="eastAsia"/>
          <w:color w:val="000000"/>
          <w:szCs w:val="21"/>
        </w:rPr>
        <w:t>的</w:t>
      </w:r>
      <w:r>
        <w:rPr>
          <w:color w:val="000000"/>
          <w:szCs w:val="21"/>
        </w:rPr>
        <w:t>规定。当镀锌钢管采用专用接地卡接跨接地线时，接地卡的材质厚度应不小于1 mm，宽度应不小于</w:t>
      </w:r>
      <w:r>
        <w:rPr>
          <w:rFonts w:hint="eastAsia"/>
          <w:color w:val="000000"/>
          <w:szCs w:val="21"/>
        </w:rPr>
        <w:t xml:space="preserve"> </w:t>
      </w:r>
      <w:r>
        <w:rPr>
          <w:color w:val="000000"/>
          <w:szCs w:val="21"/>
        </w:rPr>
        <w:t>10mm。钢管应全线形成电气通路并接地可靠。金属导管在与配电箱、柜连接或进入柜内时，应采用多股绝缘铜导线与箱、柜的PE排可靠连接；</w:t>
      </w:r>
    </w:p>
    <w:p w14:paraId="7873073A">
      <w:pPr>
        <w:spacing w:line="400" w:lineRule="exact"/>
        <w:ind w:firstLine="422" w:firstLineChars="200"/>
        <w:rPr>
          <w:color w:val="000000"/>
          <w:szCs w:val="21"/>
        </w:rPr>
      </w:pPr>
      <w:r>
        <w:rPr>
          <w:b/>
          <w:color w:val="000000"/>
          <w:szCs w:val="21"/>
        </w:rPr>
        <w:t xml:space="preserve">4  </w:t>
      </w:r>
      <w:r>
        <w:rPr>
          <w:color w:val="000000"/>
          <w:szCs w:val="21"/>
        </w:rPr>
        <w:t>弯曲半径不应小于</w:t>
      </w:r>
      <w:r>
        <w:rPr>
          <w:rFonts w:hint="eastAsia"/>
          <w:color w:val="000000"/>
          <w:szCs w:val="21"/>
          <w:lang w:val="en-US" w:eastAsia="zh-CN"/>
        </w:rPr>
        <w:t>现行国家标准</w:t>
      </w:r>
      <w:r>
        <w:rPr>
          <w:color w:val="000000"/>
          <w:szCs w:val="21"/>
        </w:rPr>
        <w:t>《建筑电气工程施工质量验收</w:t>
      </w:r>
      <w:r>
        <w:rPr>
          <w:rFonts w:hint="eastAsia"/>
          <w:color w:val="000000"/>
          <w:szCs w:val="21"/>
        </w:rPr>
        <w:t>规范</w:t>
      </w:r>
      <w:r>
        <w:rPr>
          <w:color w:val="000000"/>
          <w:szCs w:val="21"/>
        </w:rPr>
        <w:t>》GB 50303的规定，导管弯曲的弧度应均匀，不应有褶皱、凹陷、裂纹、死弯等缺陷；</w:t>
      </w:r>
    </w:p>
    <w:p w14:paraId="5FD0A128">
      <w:pPr>
        <w:spacing w:line="400" w:lineRule="exact"/>
        <w:ind w:firstLine="422" w:firstLineChars="200"/>
        <w:rPr>
          <w:color w:val="000000"/>
          <w:szCs w:val="21"/>
        </w:rPr>
      </w:pPr>
      <w:r>
        <w:rPr>
          <w:b/>
          <w:color w:val="000000"/>
          <w:szCs w:val="21"/>
        </w:rPr>
        <w:t xml:space="preserve">5 </w:t>
      </w:r>
      <w:r>
        <w:rPr>
          <w:color w:val="000000"/>
          <w:szCs w:val="21"/>
        </w:rPr>
        <w:t xml:space="preserve"> 接线盒或拉线盒</w:t>
      </w:r>
      <w:r>
        <w:rPr>
          <w:rFonts w:hint="eastAsia"/>
          <w:color w:val="000000"/>
          <w:szCs w:val="21"/>
        </w:rPr>
        <w:t>的</w:t>
      </w:r>
      <w:r>
        <w:rPr>
          <w:color w:val="000000"/>
          <w:szCs w:val="21"/>
        </w:rPr>
        <w:t>增设</w:t>
      </w:r>
      <w:r>
        <w:rPr>
          <w:rFonts w:hint="eastAsia"/>
          <w:color w:val="000000"/>
          <w:szCs w:val="21"/>
        </w:rPr>
        <w:t>、</w:t>
      </w:r>
      <w:r>
        <w:rPr>
          <w:color w:val="000000"/>
          <w:szCs w:val="21"/>
        </w:rPr>
        <w:t>暗配钢导管的保护层厚度应符合</w:t>
      </w:r>
      <w:r>
        <w:rPr>
          <w:rFonts w:hint="eastAsia"/>
          <w:color w:val="000000"/>
          <w:szCs w:val="21"/>
          <w:lang w:val="en-US" w:eastAsia="zh-CN"/>
        </w:rPr>
        <w:t>现行国家标准</w:t>
      </w:r>
      <w:r>
        <w:rPr>
          <w:color w:val="000000"/>
          <w:szCs w:val="21"/>
        </w:rPr>
        <w:t>《建筑电气工程施工质量验收</w:t>
      </w:r>
      <w:r>
        <w:rPr>
          <w:rFonts w:hint="eastAsia"/>
          <w:color w:val="000000"/>
          <w:szCs w:val="21"/>
        </w:rPr>
        <w:t>规范</w:t>
      </w:r>
      <w:r>
        <w:rPr>
          <w:color w:val="000000"/>
          <w:szCs w:val="21"/>
        </w:rPr>
        <w:t>》GB 50303</w:t>
      </w:r>
      <w:r>
        <w:rPr>
          <w:rFonts w:hint="eastAsia"/>
          <w:color w:val="000000"/>
          <w:szCs w:val="21"/>
        </w:rPr>
        <w:t>的</w:t>
      </w:r>
      <w:r>
        <w:rPr>
          <w:color w:val="000000"/>
          <w:szCs w:val="21"/>
        </w:rPr>
        <w:t>规定；</w:t>
      </w:r>
    </w:p>
    <w:p w14:paraId="1B26246A">
      <w:pPr>
        <w:spacing w:line="400" w:lineRule="exact"/>
        <w:ind w:firstLine="422" w:firstLineChars="200"/>
        <w:rPr>
          <w:color w:val="000000"/>
          <w:szCs w:val="21"/>
        </w:rPr>
      </w:pPr>
      <w:r>
        <w:rPr>
          <w:b/>
          <w:color w:val="000000"/>
          <w:szCs w:val="21"/>
        </w:rPr>
        <w:t xml:space="preserve">6  </w:t>
      </w:r>
      <w:r>
        <w:rPr>
          <w:color w:val="000000"/>
          <w:szCs w:val="21"/>
        </w:rPr>
        <w:t>穿过变形缝时，应设补偿装置。补偿装置两端应跨接接地线，两端电气应可靠连通；</w:t>
      </w:r>
    </w:p>
    <w:p w14:paraId="5D4865D2">
      <w:pPr>
        <w:spacing w:line="400" w:lineRule="exact"/>
        <w:ind w:firstLine="422" w:firstLineChars="200"/>
        <w:rPr>
          <w:color w:val="000000"/>
          <w:szCs w:val="21"/>
        </w:rPr>
      </w:pPr>
      <w:r>
        <w:rPr>
          <w:b/>
          <w:color w:val="000000"/>
          <w:szCs w:val="21"/>
        </w:rPr>
        <w:t>7</w:t>
      </w:r>
      <w:r>
        <w:rPr>
          <w:color w:val="000000"/>
          <w:szCs w:val="21"/>
        </w:rPr>
        <w:t xml:space="preserve">  明配钢导管应采用明装接线盒及相应的明装配件。安装应排列整齐、横平竖直，</w:t>
      </w:r>
      <w:r>
        <w:rPr>
          <w:rFonts w:hint="eastAsia"/>
          <w:color w:val="000000"/>
          <w:szCs w:val="21"/>
        </w:rPr>
        <w:t>无明显视觉偏差</w:t>
      </w:r>
      <w:r>
        <w:rPr>
          <w:color w:val="000000"/>
          <w:szCs w:val="21"/>
        </w:rPr>
        <w:t>；</w:t>
      </w:r>
      <w:r>
        <w:rPr>
          <w:rFonts w:hint="eastAsia"/>
          <w:color w:val="000000"/>
          <w:szCs w:val="21"/>
        </w:rPr>
        <w:t>并按设计要求采取防火保护措施；</w:t>
      </w:r>
    </w:p>
    <w:p w14:paraId="4CED08F7">
      <w:pPr>
        <w:spacing w:line="400" w:lineRule="exact"/>
        <w:ind w:firstLine="422" w:firstLineChars="200"/>
        <w:rPr>
          <w:color w:val="000000"/>
          <w:szCs w:val="21"/>
        </w:rPr>
      </w:pPr>
      <w:r>
        <w:rPr>
          <w:b/>
          <w:color w:val="000000"/>
          <w:szCs w:val="21"/>
        </w:rPr>
        <w:t>8</w:t>
      </w:r>
      <w:r>
        <w:rPr>
          <w:color w:val="000000"/>
          <w:szCs w:val="21"/>
        </w:rPr>
        <w:t xml:space="preserve">  多根明敷钢导管并排敷设时，应采用共用定型产品的支、吊架固定。支、吊架应安装平直、固定牢固，并应有防晃措施。支、吊架最大间距和固定位置</w:t>
      </w:r>
      <w:r>
        <w:rPr>
          <w:rFonts w:hint="eastAsia"/>
          <w:color w:val="000000"/>
          <w:szCs w:val="21"/>
        </w:rPr>
        <w:t>正确</w:t>
      </w:r>
      <w:r>
        <w:rPr>
          <w:color w:val="000000"/>
          <w:szCs w:val="21"/>
        </w:rPr>
        <w:t>，导管及支吊架应表面清洁、涂层完整、无污染；</w:t>
      </w:r>
    </w:p>
    <w:p w14:paraId="3EF15EDA">
      <w:pPr>
        <w:spacing w:line="400" w:lineRule="exact"/>
        <w:ind w:firstLine="422" w:firstLineChars="200"/>
        <w:rPr>
          <w:color w:val="000000"/>
          <w:szCs w:val="21"/>
        </w:rPr>
      </w:pPr>
      <w:r>
        <w:rPr>
          <w:b/>
          <w:color w:val="000000"/>
          <w:szCs w:val="21"/>
        </w:rPr>
        <w:t>9</w:t>
      </w:r>
      <w:r>
        <w:rPr>
          <w:color w:val="000000"/>
          <w:szCs w:val="21"/>
        </w:rPr>
        <w:t xml:space="preserve">  室外金属导管的管口应设置在箱、盒内，未入箱、盒的管口应设防水弯头或防水连接头，并应采用防水接线盒。室外及室内潮湿或多尘场所，金属导管管口及连接处应密封；</w:t>
      </w:r>
    </w:p>
    <w:p w14:paraId="3EE289BD">
      <w:pPr>
        <w:spacing w:line="400" w:lineRule="exact"/>
        <w:ind w:firstLine="422" w:firstLineChars="200"/>
        <w:rPr>
          <w:color w:val="000000"/>
          <w:szCs w:val="21"/>
        </w:rPr>
      </w:pPr>
      <w:r>
        <w:rPr>
          <w:b/>
          <w:color w:val="000000"/>
          <w:szCs w:val="21"/>
        </w:rPr>
        <w:t xml:space="preserve">10  </w:t>
      </w:r>
      <w:r>
        <w:rPr>
          <w:color w:val="000000"/>
          <w:szCs w:val="21"/>
        </w:rPr>
        <w:t>进入配电箱、柜时，应一管一孔，孔径与管径应适配，并应用根母、锁母与柜体固定牢固，外露丝扣2扣～3扣。严禁使用电、气焊开孔。当落地安装的配电柜无底挡板时，导管管口应高出基础面50 mm～80 mm。配管应排列整齐，管口高度一致。当配电柜底部有挡板时，管口宜穿过</w:t>
      </w:r>
      <w:r>
        <w:rPr>
          <w:rFonts w:hint="eastAsia"/>
          <w:color w:val="000000"/>
          <w:szCs w:val="21"/>
        </w:rPr>
        <w:t>挡</w:t>
      </w:r>
      <w:r>
        <w:rPr>
          <w:color w:val="000000"/>
          <w:szCs w:val="21"/>
        </w:rPr>
        <w:t>板进入柜内，采用根母、锁母与底板固定牢固；</w:t>
      </w:r>
    </w:p>
    <w:p w14:paraId="65BB8D40">
      <w:pPr>
        <w:spacing w:line="400" w:lineRule="exact"/>
        <w:ind w:firstLine="422" w:firstLineChars="200"/>
        <w:rPr>
          <w:color w:val="000000"/>
          <w:szCs w:val="21"/>
        </w:rPr>
      </w:pPr>
      <w:r>
        <w:rPr>
          <w:b/>
          <w:color w:val="000000"/>
          <w:szCs w:val="21"/>
        </w:rPr>
        <w:t xml:space="preserve">11  </w:t>
      </w:r>
      <w:r>
        <w:rPr>
          <w:color w:val="000000"/>
          <w:szCs w:val="21"/>
        </w:rPr>
        <w:t>在吊顶内敷设，其导线接线盒盖应朝向检修方向，接线盒的位置应方便检修。吊顶内敷设的配电金属导管应可靠接地。</w:t>
      </w:r>
    </w:p>
    <w:p w14:paraId="69C22011">
      <w:pPr>
        <w:spacing w:line="400" w:lineRule="exact"/>
        <w:rPr>
          <w:color w:val="000000"/>
          <w:szCs w:val="21"/>
        </w:rPr>
      </w:pPr>
      <w:r>
        <w:rPr>
          <w:b/>
          <w:color w:val="000000"/>
          <w:szCs w:val="21"/>
        </w:rPr>
        <w:t>8.2.4</w:t>
      </w:r>
      <w:r>
        <w:rPr>
          <w:color w:val="000000"/>
          <w:szCs w:val="21"/>
        </w:rPr>
        <w:t xml:space="preserve">  套接紧定式钢导管的安装除应符合本标准</w:t>
      </w:r>
      <w:r>
        <w:rPr>
          <w:rFonts w:hint="eastAsia"/>
          <w:color w:val="000000"/>
          <w:szCs w:val="21"/>
          <w:lang w:val="en-US" w:eastAsia="zh-CN"/>
        </w:rPr>
        <w:t>第</w:t>
      </w:r>
      <w:r>
        <w:rPr>
          <w:color w:val="000000"/>
          <w:szCs w:val="21"/>
        </w:rPr>
        <w:t xml:space="preserve">8.2.3条的要求外，还应符合以下要求： </w:t>
      </w:r>
    </w:p>
    <w:p w14:paraId="0A50C5B1">
      <w:pPr>
        <w:spacing w:line="400" w:lineRule="exact"/>
        <w:ind w:firstLine="422" w:firstLineChars="200"/>
        <w:rPr>
          <w:strike/>
          <w:color w:val="000000"/>
          <w:szCs w:val="21"/>
        </w:rPr>
      </w:pPr>
      <w:r>
        <w:rPr>
          <w:b/>
          <w:color w:val="000000"/>
          <w:szCs w:val="21"/>
        </w:rPr>
        <w:t xml:space="preserve">1  </w:t>
      </w:r>
      <w:r>
        <w:rPr>
          <w:color w:val="000000"/>
          <w:szCs w:val="21"/>
        </w:rPr>
        <w:t>管材和附件质量及施工应符合</w:t>
      </w:r>
      <w:r>
        <w:rPr>
          <w:rFonts w:hint="eastAsia"/>
          <w:color w:val="000000"/>
          <w:szCs w:val="21"/>
        </w:rPr>
        <w:t>《</w:t>
      </w:r>
      <w:r>
        <w:rPr>
          <w:color w:val="000000"/>
          <w:szCs w:val="21"/>
        </w:rPr>
        <w:t>套接紧定式钢导管</w:t>
      </w:r>
      <w:r>
        <w:rPr>
          <w:rFonts w:hint="eastAsia"/>
          <w:color w:val="000000"/>
          <w:szCs w:val="21"/>
        </w:rPr>
        <w:t>电线管路施工及验收规程》CECS 120</w:t>
      </w:r>
      <w:r>
        <w:rPr>
          <w:color w:val="000000"/>
          <w:szCs w:val="21"/>
        </w:rPr>
        <w:t>的规定</w:t>
      </w:r>
      <w:r>
        <w:rPr>
          <w:rFonts w:hint="eastAsia"/>
          <w:color w:val="000000"/>
          <w:szCs w:val="21"/>
        </w:rPr>
        <w:t>；</w:t>
      </w:r>
    </w:p>
    <w:p w14:paraId="5D4B1612">
      <w:pPr>
        <w:spacing w:line="400" w:lineRule="exact"/>
        <w:ind w:firstLine="422" w:firstLineChars="200"/>
        <w:rPr>
          <w:color w:val="000000"/>
          <w:szCs w:val="21"/>
        </w:rPr>
      </w:pPr>
      <w:r>
        <w:rPr>
          <w:b/>
          <w:color w:val="000000"/>
          <w:szCs w:val="21"/>
        </w:rPr>
        <w:t xml:space="preserve">2  </w:t>
      </w:r>
      <w:r>
        <w:rPr>
          <w:color w:val="000000"/>
          <w:szCs w:val="21"/>
        </w:rPr>
        <w:t>管路外露可导电部分应可靠接地，且不应作为接地线的接续导体；</w:t>
      </w:r>
    </w:p>
    <w:p w14:paraId="0591AE0D">
      <w:pPr>
        <w:spacing w:line="400" w:lineRule="exact"/>
        <w:ind w:firstLine="422" w:firstLineChars="200"/>
        <w:rPr>
          <w:color w:val="000000"/>
          <w:szCs w:val="21"/>
        </w:rPr>
      </w:pPr>
      <w:r>
        <w:rPr>
          <w:b/>
          <w:color w:val="000000"/>
          <w:szCs w:val="21"/>
        </w:rPr>
        <w:t>3</w:t>
      </w:r>
      <w:r>
        <w:rPr>
          <w:color w:val="000000"/>
          <w:szCs w:val="21"/>
        </w:rPr>
        <w:t xml:space="preserve">  套接紧定式钢导管不应敷设于建筑物、构筑物的设备基础内，不应在室外</w:t>
      </w:r>
      <w:r>
        <w:rPr>
          <w:rFonts w:hint="eastAsia"/>
          <w:color w:val="000000"/>
          <w:szCs w:val="21"/>
        </w:rPr>
        <w:t>和人防工程，以及</w:t>
      </w:r>
      <w:r>
        <w:rPr>
          <w:color w:val="000000"/>
          <w:szCs w:val="21"/>
        </w:rPr>
        <w:t>潮湿环境</w:t>
      </w:r>
      <w:r>
        <w:rPr>
          <w:rFonts w:hint="eastAsia"/>
          <w:color w:val="000000"/>
          <w:szCs w:val="21"/>
        </w:rPr>
        <w:t>、易燃、易爆场所</w:t>
      </w:r>
      <w:r>
        <w:rPr>
          <w:color w:val="000000"/>
          <w:szCs w:val="21"/>
        </w:rPr>
        <w:t>使用；</w:t>
      </w:r>
    </w:p>
    <w:p w14:paraId="765430E8">
      <w:pPr>
        <w:spacing w:line="400" w:lineRule="exact"/>
        <w:ind w:firstLine="422" w:firstLineChars="200"/>
        <w:rPr>
          <w:color w:val="000000"/>
          <w:szCs w:val="21"/>
        </w:rPr>
      </w:pPr>
      <w:r>
        <w:rPr>
          <w:b/>
          <w:color w:val="000000"/>
          <w:szCs w:val="21"/>
        </w:rPr>
        <w:t xml:space="preserve">4  </w:t>
      </w:r>
      <w:r>
        <w:rPr>
          <w:color w:val="000000"/>
          <w:szCs w:val="21"/>
        </w:rPr>
        <w:t>管路连接处，宜涂以电力复合酯或采取其</w:t>
      </w:r>
      <w:r>
        <w:rPr>
          <w:rFonts w:hint="eastAsia"/>
          <w:color w:val="000000"/>
          <w:szCs w:val="21"/>
        </w:rPr>
        <w:t>他</w:t>
      </w:r>
      <w:r>
        <w:rPr>
          <w:color w:val="000000"/>
          <w:szCs w:val="21"/>
        </w:rPr>
        <w:t>封堵防水措施。管与箱、盒的连接处，应采用爪型螺母，并与螺纹管接头锁紧。</w:t>
      </w:r>
    </w:p>
    <w:p w14:paraId="0E3423F1">
      <w:pPr>
        <w:spacing w:line="400" w:lineRule="exact"/>
        <w:rPr>
          <w:color w:val="000000"/>
          <w:szCs w:val="21"/>
        </w:rPr>
      </w:pPr>
      <w:r>
        <w:rPr>
          <w:b/>
          <w:color w:val="000000"/>
          <w:szCs w:val="21"/>
        </w:rPr>
        <w:t>8.2.5</w:t>
      </w:r>
      <w:r>
        <w:rPr>
          <w:color w:val="000000"/>
          <w:szCs w:val="21"/>
        </w:rPr>
        <w:t xml:space="preserve">  可挠金属导管和金属软管的安装应符合以下要求：</w:t>
      </w:r>
    </w:p>
    <w:p w14:paraId="65CA2291">
      <w:pPr>
        <w:spacing w:line="400" w:lineRule="exact"/>
        <w:ind w:firstLine="422" w:firstLineChars="200"/>
        <w:rPr>
          <w:color w:val="000000"/>
          <w:szCs w:val="21"/>
        </w:rPr>
      </w:pPr>
      <w:r>
        <w:rPr>
          <w:b/>
          <w:color w:val="000000"/>
          <w:szCs w:val="21"/>
        </w:rPr>
        <w:t xml:space="preserve">1  </w:t>
      </w:r>
      <w:r>
        <w:rPr>
          <w:color w:val="000000"/>
          <w:szCs w:val="21"/>
        </w:rPr>
        <w:t>裸露金属外壳应可靠接地，且不应作为接地线的接续导体。接头两端在电路上应形成通路；</w:t>
      </w:r>
    </w:p>
    <w:p w14:paraId="201024DA">
      <w:pPr>
        <w:spacing w:line="400" w:lineRule="exact"/>
        <w:ind w:firstLine="422" w:firstLineChars="200"/>
        <w:rPr>
          <w:color w:val="000000"/>
          <w:szCs w:val="21"/>
        </w:rPr>
      </w:pPr>
      <w:r>
        <w:rPr>
          <w:b/>
          <w:color w:val="000000"/>
          <w:szCs w:val="21"/>
        </w:rPr>
        <w:t xml:space="preserve">2  </w:t>
      </w:r>
      <w:r>
        <w:rPr>
          <w:rFonts w:hint="eastAsia"/>
          <w:color w:val="000000"/>
          <w:szCs w:val="21"/>
        </w:rPr>
        <w:t>与</w:t>
      </w:r>
      <w:r>
        <w:rPr>
          <w:color w:val="000000"/>
          <w:szCs w:val="21"/>
        </w:rPr>
        <w:t>盒、箱、柜、电器设备或刚性导管连接时，应采用专用附件，连接应牢固，不应有套管断裂、锈蚀或连接处脱落的现象；</w:t>
      </w:r>
    </w:p>
    <w:p w14:paraId="2440A2EA">
      <w:pPr>
        <w:spacing w:line="400" w:lineRule="exact"/>
        <w:ind w:firstLine="422" w:firstLineChars="200"/>
        <w:rPr>
          <w:color w:val="000000"/>
          <w:szCs w:val="21"/>
        </w:rPr>
      </w:pPr>
      <w:r>
        <w:rPr>
          <w:b/>
          <w:bCs/>
          <w:color w:val="000000"/>
          <w:szCs w:val="21"/>
        </w:rPr>
        <w:t>3</w:t>
      </w:r>
      <w:r>
        <w:rPr>
          <w:color w:val="000000"/>
          <w:szCs w:val="21"/>
        </w:rPr>
        <w:t xml:space="preserve">  明敷于室外及室内潮湿场所宜采用防液型可挠金属导管，有防水要求时应有明显滴水弯；</w:t>
      </w:r>
    </w:p>
    <w:p w14:paraId="53762363">
      <w:pPr>
        <w:spacing w:line="400" w:lineRule="exact"/>
        <w:ind w:firstLine="422" w:firstLineChars="200"/>
        <w:rPr>
          <w:color w:val="000000"/>
          <w:szCs w:val="21"/>
        </w:rPr>
      </w:pPr>
      <w:r>
        <w:rPr>
          <w:b/>
          <w:bCs/>
          <w:color w:val="000000"/>
          <w:szCs w:val="21"/>
        </w:rPr>
        <w:t>4</w:t>
      </w:r>
      <w:r>
        <w:rPr>
          <w:color w:val="000000"/>
          <w:szCs w:val="21"/>
        </w:rPr>
        <w:t xml:space="preserve">  采用可挠金属导管或金属软管过渡连接各种电器设备时，其长度不应大于</w:t>
      </w:r>
      <w:r>
        <w:rPr>
          <w:rFonts w:hint="eastAsia"/>
          <w:color w:val="000000"/>
          <w:szCs w:val="21"/>
          <w:lang w:val="en-US" w:eastAsia="zh-CN"/>
        </w:rPr>
        <w:t>现行国家标准</w:t>
      </w:r>
      <w:r>
        <w:rPr>
          <w:color w:val="000000"/>
          <w:szCs w:val="21"/>
        </w:rPr>
        <w:t>《建筑电气工程施工质量验收</w:t>
      </w:r>
      <w:r>
        <w:rPr>
          <w:rFonts w:hint="eastAsia"/>
          <w:color w:val="000000"/>
          <w:szCs w:val="21"/>
        </w:rPr>
        <w:t>规范</w:t>
      </w:r>
      <w:r>
        <w:rPr>
          <w:color w:val="000000"/>
          <w:szCs w:val="21"/>
        </w:rPr>
        <w:t>》GB 50303的规定。</w:t>
      </w:r>
    </w:p>
    <w:p w14:paraId="53FEBC77">
      <w:pPr>
        <w:spacing w:line="400" w:lineRule="exact"/>
        <w:rPr>
          <w:color w:val="000000"/>
          <w:szCs w:val="21"/>
        </w:rPr>
      </w:pPr>
      <w:r>
        <w:rPr>
          <w:b/>
          <w:color w:val="000000"/>
          <w:szCs w:val="21"/>
        </w:rPr>
        <w:t xml:space="preserve">8.2.6  </w:t>
      </w:r>
      <w:r>
        <w:rPr>
          <w:color w:val="000000"/>
          <w:szCs w:val="21"/>
        </w:rPr>
        <w:t>金属槽盒、电缆桥架的安装应符合以下要求：</w:t>
      </w:r>
    </w:p>
    <w:p w14:paraId="274125F5">
      <w:pPr>
        <w:spacing w:line="400" w:lineRule="exact"/>
        <w:ind w:firstLine="422" w:firstLineChars="200"/>
        <w:rPr>
          <w:color w:val="000000"/>
          <w:szCs w:val="21"/>
        </w:rPr>
      </w:pPr>
      <w:r>
        <w:rPr>
          <w:b/>
          <w:bCs/>
          <w:color w:val="000000"/>
          <w:szCs w:val="21"/>
        </w:rPr>
        <w:t>1</w:t>
      </w:r>
      <w:r>
        <w:rPr>
          <w:color w:val="000000"/>
          <w:szCs w:val="21"/>
        </w:rPr>
        <w:t xml:space="preserve">  型号、规格应符合设计要求，布线的直线段长度超过30 m时应安装伸缩节。在建筑物伸缩缝处应做补偿。接地应可靠、无遗漏；</w:t>
      </w:r>
    </w:p>
    <w:p w14:paraId="55FEA1D1">
      <w:pPr>
        <w:spacing w:line="400" w:lineRule="exact"/>
        <w:ind w:firstLine="422" w:firstLineChars="200"/>
        <w:rPr>
          <w:color w:val="000000"/>
          <w:szCs w:val="21"/>
        </w:rPr>
      </w:pPr>
      <w:r>
        <w:rPr>
          <w:b/>
          <w:color w:val="000000"/>
          <w:szCs w:val="21"/>
        </w:rPr>
        <w:t>2</w:t>
      </w:r>
      <w:r>
        <w:rPr>
          <w:color w:val="000000"/>
          <w:szCs w:val="21"/>
        </w:rPr>
        <w:t xml:space="preserve">  产品及配件应防腐层、镀锌层牢固，外观质量好，防火槽盒、桥架的防火材质应符合设计要求，采用防火涂层时，涂层厚度应不小于1.5 mm。其连接、转角、分支及终端，应采用专用附件，并应满足所敷电缆的最大弯曲半径。槽盒盖板应齐全、接缝严密，</w:t>
      </w:r>
      <w:r>
        <w:rPr>
          <w:rFonts w:hint="eastAsia"/>
          <w:color w:val="000000"/>
          <w:szCs w:val="21"/>
        </w:rPr>
        <w:t>锁扣</w:t>
      </w:r>
      <w:r>
        <w:rPr>
          <w:color w:val="000000"/>
          <w:szCs w:val="21"/>
        </w:rPr>
        <w:t>应牢固耐用、开合方便，整体不应有污染；</w:t>
      </w:r>
    </w:p>
    <w:p w14:paraId="7A95F67F">
      <w:pPr>
        <w:spacing w:line="400" w:lineRule="exact"/>
        <w:ind w:firstLine="422" w:firstLineChars="200"/>
        <w:rPr>
          <w:color w:val="000000"/>
          <w:szCs w:val="21"/>
        </w:rPr>
      </w:pPr>
      <w:r>
        <w:rPr>
          <w:b/>
          <w:color w:val="000000"/>
          <w:szCs w:val="21"/>
        </w:rPr>
        <w:t xml:space="preserve">3  </w:t>
      </w:r>
      <w:r>
        <w:rPr>
          <w:color w:val="000000"/>
          <w:szCs w:val="21"/>
        </w:rPr>
        <w:t>末端与配电箱、柜相联处，应单独支、吊固定，并应采用配套的连接附件与配电箱、柜固定。槽盒上部与建筑物顶棚的最小距离，应不小于300 mm，与建筑物梁或管道交叉时应不小于50 mm；</w:t>
      </w:r>
    </w:p>
    <w:p w14:paraId="366DEF19">
      <w:pPr>
        <w:spacing w:line="400" w:lineRule="exact"/>
        <w:ind w:firstLine="422" w:firstLineChars="200"/>
        <w:rPr>
          <w:color w:val="000000"/>
          <w:szCs w:val="21"/>
          <w:lang w:val="zh-CN"/>
        </w:rPr>
      </w:pPr>
      <w:r>
        <w:rPr>
          <w:b/>
          <w:color w:val="000000"/>
          <w:szCs w:val="21"/>
          <w:lang w:val="zh-CN"/>
        </w:rPr>
        <w:t>4</w:t>
      </w:r>
      <w:r>
        <w:rPr>
          <w:b/>
          <w:color w:val="000000"/>
          <w:szCs w:val="21"/>
        </w:rPr>
        <w:t xml:space="preserve">  </w:t>
      </w:r>
      <w:r>
        <w:rPr>
          <w:color w:val="000000"/>
          <w:szCs w:val="21"/>
          <w:lang w:val="zh-CN"/>
        </w:rPr>
        <w:t>安装应平直，其水平、垂直偏差不应大于2 ‰，且全长偏差不应大于20</w:t>
      </w:r>
      <w:r>
        <w:rPr>
          <w:color w:val="000000"/>
          <w:szCs w:val="21"/>
        </w:rPr>
        <w:t xml:space="preserve"> mm</w:t>
      </w:r>
      <w:r>
        <w:rPr>
          <w:color w:val="000000"/>
          <w:szCs w:val="21"/>
          <w:lang w:val="zh-CN"/>
        </w:rPr>
        <w:t>；</w:t>
      </w:r>
    </w:p>
    <w:p w14:paraId="1A627488">
      <w:pPr>
        <w:spacing w:line="400" w:lineRule="exact"/>
        <w:ind w:firstLine="422" w:firstLineChars="200"/>
        <w:rPr>
          <w:color w:val="000000"/>
          <w:szCs w:val="21"/>
        </w:rPr>
      </w:pPr>
      <w:r>
        <w:rPr>
          <w:b/>
          <w:color w:val="000000"/>
          <w:szCs w:val="21"/>
        </w:rPr>
        <w:t>5</w:t>
      </w:r>
      <w:r>
        <w:rPr>
          <w:color w:val="000000"/>
          <w:szCs w:val="21"/>
        </w:rPr>
        <w:t xml:space="preserve">  多组槽盒、桥架在同一高度平行敷设或上、下平行敷设时，各相邻间应预留维护、检修距离。电缆槽盒、桥架与各种管道的最小净距，应符合</w:t>
      </w:r>
      <w:r>
        <w:rPr>
          <w:rFonts w:hint="eastAsia"/>
          <w:color w:val="000000"/>
          <w:szCs w:val="21"/>
          <w:lang w:val="en-US" w:eastAsia="zh-CN"/>
        </w:rPr>
        <w:t>现行国家标准</w:t>
      </w:r>
      <w:r>
        <w:rPr>
          <w:color w:val="000000"/>
          <w:szCs w:val="21"/>
        </w:rPr>
        <w:t>《建筑电气工程施工质量验收</w:t>
      </w:r>
      <w:r>
        <w:rPr>
          <w:rFonts w:hint="eastAsia"/>
          <w:color w:val="000000"/>
          <w:szCs w:val="21"/>
        </w:rPr>
        <w:t>规范</w:t>
      </w:r>
      <w:r>
        <w:rPr>
          <w:color w:val="000000"/>
          <w:szCs w:val="21"/>
        </w:rPr>
        <w:t>》GB 50303</w:t>
      </w:r>
      <w:r>
        <w:rPr>
          <w:rFonts w:hint="eastAsia"/>
          <w:color w:val="000000"/>
          <w:szCs w:val="21"/>
        </w:rPr>
        <w:t>的</w:t>
      </w:r>
      <w:r>
        <w:rPr>
          <w:color w:val="000000"/>
          <w:szCs w:val="21"/>
        </w:rPr>
        <w:t>规定；</w:t>
      </w:r>
    </w:p>
    <w:p w14:paraId="5510675F">
      <w:pPr>
        <w:spacing w:line="400" w:lineRule="exact"/>
        <w:ind w:firstLine="422" w:firstLineChars="200"/>
        <w:rPr>
          <w:color w:val="000000"/>
          <w:szCs w:val="21"/>
        </w:rPr>
      </w:pPr>
      <w:r>
        <w:rPr>
          <w:b/>
          <w:color w:val="000000"/>
          <w:szCs w:val="21"/>
        </w:rPr>
        <w:t xml:space="preserve">6  </w:t>
      </w:r>
      <w:r>
        <w:rPr>
          <w:color w:val="000000"/>
          <w:szCs w:val="21"/>
        </w:rPr>
        <w:t>与设备管道同方向敷设时，宜敷设在设备管道的上方。条件不许可，必须敷设在设备管道下方时，其上方不得有管道接口、截门、清理口等易渗、漏水的管件；</w:t>
      </w:r>
    </w:p>
    <w:p w14:paraId="13A99ED4">
      <w:pPr>
        <w:spacing w:line="400" w:lineRule="exact"/>
        <w:ind w:firstLine="422" w:firstLineChars="200"/>
        <w:rPr>
          <w:color w:val="000000"/>
          <w:szCs w:val="21"/>
        </w:rPr>
      </w:pPr>
      <w:r>
        <w:rPr>
          <w:b/>
          <w:color w:val="000000"/>
          <w:szCs w:val="21"/>
        </w:rPr>
        <w:t>7</w:t>
      </w:r>
      <w:r>
        <w:rPr>
          <w:color w:val="000000"/>
          <w:szCs w:val="21"/>
        </w:rPr>
        <w:t xml:space="preserve">  支、吊架的设置应符合规范规定。支、吊架与槽盒、桥架应固定牢固并应有防晃措施，防火槽盒、桥架的支、吊架应有防火处理；</w:t>
      </w:r>
    </w:p>
    <w:p w14:paraId="01755E85">
      <w:pPr>
        <w:spacing w:line="400" w:lineRule="exact"/>
        <w:ind w:firstLine="422" w:firstLineChars="200"/>
        <w:rPr>
          <w:color w:val="000000"/>
          <w:szCs w:val="21"/>
        </w:rPr>
      </w:pPr>
      <w:r>
        <w:rPr>
          <w:b/>
          <w:color w:val="000000"/>
          <w:szCs w:val="21"/>
        </w:rPr>
        <w:t>8</w:t>
      </w:r>
      <w:r>
        <w:rPr>
          <w:color w:val="000000"/>
          <w:szCs w:val="21"/>
        </w:rPr>
        <w:t xml:space="preserve">  金属槽盒、电缆桥架应接地可靠，且不得作为其</w:t>
      </w:r>
      <w:r>
        <w:rPr>
          <w:rFonts w:hint="eastAsia"/>
          <w:color w:val="000000"/>
          <w:szCs w:val="21"/>
        </w:rPr>
        <w:t>他</w:t>
      </w:r>
      <w:r>
        <w:rPr>
          <w:color w:val="000000"/>
          <w:szCs w:val="21"/>
        </w:rPr>
        <w:t>设备接地的接续导体。金属槽盒、桥架连接段之间及引入、引出的金属导管，应在电气上连成通路，起始端和终点端均应可靠与接地干线连接；</w:t>
      </w:r>
    </w:p>
    <w:p w14:paraId="403426E2">
      <w:pPr>
        <w:spacing w:line="400" w:lineRule="exact"/>
        <w:ind w:firstLine="422" w:firstLineChars="200"/>
        <w:rPr>
          <w:color w:val="000000"/>
          <w:szCs w:val="21"/>
        </w:rPr>
      </w:pPr>
      <w:r>
        <w:rPr>
          <w:b/>
          <w:color w:val="000000"/>
          <w:szCs w:val="21"/>
        </w:rPr>
        <w:t>9</w:t>
      </w:r>
      <w:r>
        <w:rPr>
          <w:color w:val="000000"/>
          <w:szCs w:val="21"/>
        </w:rPr>
        <w:t xml:space="preserve">  金属槽盒、电缆桥架应在每个支、吊架处用螺栓、平垫、防松垫逐个固定牢固。槽盒、桥架及支架表面有涂层的，应清除涂层或采用爪形垫，使槽盒、桥架和支吊架之间形成电气通路。</w:t>
      </w:r>
    </w:p>
    <w:p w14:paraId="756C2655">
      <w:pPr>
        <w:spacing w:line="400" w:lineRule="exact"/>
        <w:rPr>
          <w:color w:val="000000"/>
          <w:szCs w:val="21"/>
        </w:rPr>
      </w:pPr>
      <w:r>
        <w:rPr>
          <w:b/>
          <w:color w:val="000000"/>
          <w:szCs w:val="21"/>
        </w:rPr>
        <w:t>8.2.7</w:t>
      </w:r>
      <w:r>
        <w:rPr>
          <w:color w:val="000000"/>
          <w:szCs w:val="21"/>
        </w:rPr>
        <w:t xml:space="preserve">  封闭插接式母线的安装应符合以下要求：</w:t>
      </w:r>
    </w:p>
    <w:p w14:paraId="3BD13C76">
      <w:pPr>
        <w:spacing w:line="400" w:lineRule="exact"/>
        <w:ind w:firstLine="422" w:firstLineChars="200"/>
        <w:rPr>
          <w:color w:val="000000"/>
          <w:szCs w:val="21"/>
        </w:rPr>
      </w:pPr>
      <w:r>
        <w:rPr>
          <w:b/>
          <w:color w:val="000000"/>
          <w:szCs w:val="21"/>
        </w:rPr>
        <w:t xml:space="preserve">1  </w:t>
      </w:r>
      <w:r>
        <w:rPr>
          <w:color w:val="000000"/>
          <w:szCs w:val="21"/>
        </w:rPr>
        <w:t>母线的型号、规格应符合设计要求，其安装方式、支持点位置、支持方式、节间跨接地线等，应符合产品厂家的技术文件；</w:t>
      </w:r>
    </w:p>
    <w:p w14:paraId="0400C3DD">
      <w:pPr>
        <w:spacing w:line="400" w:lineRule="exact"/>
        <w:ind w:firstLine="422" w:firstLineChars="200"/>
        <w:rPr>
          <w:color w:val="000000"/>
          <w:szCs w:val="21"/>
        </w:rPr>
      </w:pPr>
      <w:r>
        <w:rPr>
          <w:b/>
          <w:color w:val="000000"/>
          <w:szCs w:val="21"/>
        </w:rPr>
        <w:t xml:space="preserve">2  </w:t>
      </w:r>
      <w:r>
        <w:rPr>
          <w:color w:val="000000"/>
          <w:szCs w:val="21"/>
        </w:rPr>
        <w:t>母线的金属外壳应可靠接地，全长不应少于两处与接地干线可靠连接，接地线的截面应符合规范规定；</w:t>
      </w:r>
    </w:p>
    <w:p w14:paraId="77B38B4C">
      <w:pPr>
        <w:spacing w:line="400" w:lineRule="exact"/>
        <w:ind w:firstLine="422" w:firstLineChars="200"/>
        <w:rPr>
          <w:color w:val="000000"/>
          <w:szCs w:val="21"/>
        </w:rPr>
      </w:pPr>
      <w:r>
        <w:rPr>
          <w:b/>
          <w:color w:val="000000"/>
          <w:szCs w:val="21"/>
        </w:rPr>
        <w:t xml:space="preserve">3  </w:t>
      </w:r>
      <w:r>
        <w:rPr>
          <w:color w:val="000000"/>
          <w:szCs w:val="21"/>
        </w:rPr>
        <w:t>母线安装应平直，安装水平度与垂直度偏差均不宜大于</w:t>
      </w:r>
      <w:r>
        <w:rPr>
          <w:rFonts w:hint="eastAsia"/>
          <w:color w:val="000000"/>
          <w:szCs w:val="21"/>
        </w:rPr>
        <w:t xml:space="preserve"> </w:t>
      </w:r>
      <w:r>
        <w:rPr>
          <w:color w:val="000000"/>
          <w:szCs w:val="21"/>
        </w:rPr>
        <w:t>1.5 ‰，全长最大偏差不宜大于20 mm。封闭母线的连接处不应在穿过楼板和墙壁之处，母线及外壳不应额外受力；</w:t>
      </w:r>
    </w:p>
    <w:p w14:paraId="2DED7A02">
      <w:pPr>
        <w:spacing w:line="400" w:lineRule="exact"/>
        <w:ind w:firstLine="422" w:firstLineChars="200"/>
        <w:rPr>
          <w:color w:val="000000"/>
          <w:szCs w:val="21"/>
        </w:rPr>
      </w:pPr>
      <w:r>
        <w:rPr>
          <w:b/>
          <w:bCs/>
          <w:color w:val="000000"/>
          <w:szCs w:val="21"/>
        </w:rPr>
        <w:t>4</w:t>
      </w:r>
      <w:r>
        <w:rPr>
          <w:color w:val="000000"/>
          <w:szCs w:val="21"/>
        </w:rPr>
        <w:t xml:space="preserve">  母线支、吊架应固定牢固，且不应设在母线连接处。应采用产品配套附件，将封母线与支、吊架卡固牢固。母线水平和垂直敷设的支撑点应每段设置一个，直线段间距不宜大于2 m，距拐弯500 mm处宜设支、吊架，在过楼板处应采用专用配件固定。母线表面涂层应完整、无污染；</w:t>
      </w:r>
    </w:p>
    <w:p w14:paraId="1100834F">
      <w:pPr>
        <w:spacing w:line="400" w:lineRule="exact"/>
        <w:ind w:firstLine="422" w:firstLineChars="200"/>
        <w:rPr>
          <w:color w:val="000000"/>
          <w:szCs w:val="21"/>
        </w:rPr>
      </w:pPr>
      <w:r>
        <w:rPr>
          <w:b/>
          <w:color w:val="000000"/>
          <w:szCs w:val="21"/>
        </w:rPr>
        <w:t xml:space="preserve">5  </w:t>
      </w:r>
      <w:r>
        <w:rPr>
          <w:color w:val="000000"/>
          <w:szCs w:val="21"/>
        </w:rPr>
        <w:t>母线不得敷设在热力管道上方和有可能渗漏的管道下方。与各种管道的最小净距应符合规范规定；</w:t>
      </w:r>
    </w:p>
    <w:p w14:paraId="5188FFF8">
      <w:pPr>
        <w:spacing w:line="400" w:lineRule="exact"/>
        <w:ind w:firstLine="422" w:firstLineChars="200"/>
        <w:rPr>
          <w:color w:val="000000"/>
          <w:szCs w:val="21"/>
        </w:rPr>
      </w:pPr>
      <w:r>
        <w:rPr>
          <w:b/>
          <w:color w:val="000000"/>
          <w:szCs w:val="21"/>
        </w:rPr>
        <w:t xml:space="preserve">6  </w:t>
      </w:r>
      <w:r>
        <w:rPr>
          <w:color w:val="000000"/>
          <w:szCs w:val="21"/>
        </w:rPr>
        <w:t xml:space="preserve">母线安装前、后，应摇测母线间和母线与外壳间的绝缘性能，绝缘电阻应符合规范规定； </w:t>
      </w:r>
    </w:p>
    <w:p w14:paraId="352444A2">
      <w:pPr>
        <w:spacing w:line="400" w:lineRule="exact"/>
        <w:ind w:firstLine="422" w:firstLineChars="200"/>
        <w:rPr>
          <w:color w:val="000000"/>
          <w:szCs w:val="21"/>
        </w:rPr>
      </w:pPr>
      <w:r>
        <w:rPr>
          <w:b/>
          <w:color w:val="000000"/>
          <w:szCs w:val="21"/>
        </w:rPr>
        <w:t xml:space="preserve">7  </w:t>
      </w:r>
      <w:r>
        <w:rPr>
          <w:color w:val="000000"/>
          <w:szCs w:val="21"/>
        </w:rPr>
        <w:t>母线的插接分支点和进线箱，应安装在使用维护方便之处。竖井垂直敷设的封闭插接母线与配电箱柜连接时，应采用柔性连接。多根封闭母线并列水平或垂直敷设，相邻间应预留维护、检修距离；</w:t>
      </w:r>
    </w:p>
    <w:p w14:paraId="1CAA68DA">
      <w:pPr>
        <w:spacing w:line="400" w:lineRule="exact"/>
        <w:ind w:firstLine="422" w:firstLineChars="200"/>
        <w:rPr>
          <w:color w:val="000000"/>
          <w:szCs w:val="21"/>
        </w:rPr>
      </w:pPr>
      <w:r>
        <w:rPr>
          <w:b/>
          <w:color w:val="000000"/>
          <w:szCs w:val="21"/>
        </w:rPr>
        <w:t xml:space="preserve">8  </w:t>
      </w:r>
      <w:r>
        <w:rPr>
          <w:color w:val="000000"/>
          <w:szCs w:val="21"/>
        </w:rPr>
        <w:t>母线的母排与电源柜母排连接时，其连接母排或连接铜芯电缆的截面不应小于封闭母线导体的截面，连接处应牢固可靠</w:t>
      </w:r>
      <w:r>
        <w:rPr>
          <w:rFonts w:hint="eastAsia"/>
          <w:color w:val="000000"/>
          <w:szCs w:val="21"/>
        </w:rPr>
        <w:t>；</w:t>
      </w:r>
    </w:p>
    <w:p w14:paraId="76C1269B">
      <w:pPr>
        <w:spacing w:line="400" w:lineRule="exact"/>
        <w:ind w:firstLine="422" w:firstLineChars="200"/>
        <w:rPr>
          <w:rFonts w:ascii="宋体" w:hAnsi="宋体"/>
          <w:bCs/>
          <w:color w:val="000000"/>
          <w:szCs w:val="21"/>
        </w:rPr>
      </w:pPr>
      <w:r>
        <w:rPr>
          <w:rFonts w:hint="eastAsia"/>
          <w:b/>
          <w:color w:val="000000"/>
          <w:szCs w:val="21"/>
        </w:rPr>
        <w:t xml:space="preserve">9  </w:t>
      </w:r>
      <w:r>
        <w:rPr>
          <w:rFonts w:hint="eastAsia" w:ascii="宋体" w:hAnsi="宋体"/>
          <w:bCs/>
          <w:color w:val="000000"/>
          <w:szCs w:val="21"/>
        </w:rPr>
        <w:t>母线槽穿越建筑物变形缝处时，应设置补偿装置。</w:t>
      </w:r>
    </w:p>
    <w:p w14:paraId="22136829">
      <w:pPr>
        <w:spacing w:line="400" w:lineRule="exact"/>
        <w:rPr>
          <w:color w:val="000000"/>
          <w:szCs w:val="21"/>
        </w:rPr>
      </w:pPr>
      <w:r>
        <w:rPr>
          <w:b/>
          <w:color w:val="000000"/>
          <w:szCs w:val="21"/>
        </w:rPr>
        <w:t xml:space="preserve">8.2.8 </w:t>
      </w:r>
      <w:r>
        <w:rPr>
          <w:color w:val="000000"/>
          <w:szCs w:val="21"/>
        </w:rPr>
        <w:t xml:space="preserve"> 封闭插接式照明母线敷设应符合以下要求：</w:t>
      </w:r>
    </w:p>
    <w:p w14:paraId="0C03E451">
      <w:pPr>
        <w:spacing w:line="400" w:lineRule="exact"/>
        <w:ind w:firstLine="422" w:firstLineChars="200"/>
        <w:rPr>
          <w:color w:val="000000"/>
          <w:szCs w:val="21"/>
        </w:rPr>
      </w:pPr>
      <w:r>
        <w:rPr>
          <w:b/>
          <w:color w:val="000000"/>
          <w:szCs w:val="21"/>
        </w:rPr>
        <w:t xml:space="preserve">1  </w:t>
      </w:r>
      <w:r>
        <w:rPr>
          <w:color w:val="000000"/>
          <w:szCs w:val="21"/>
        </w:rPr>
        <w:t>敷设应符合设计要求，其母线直线段的连接、馈电部件、支接部件、端封部件、柔性连接等的连接以及固定于母线上的灯具安装，应符合产品技术文件的要求；</w:t>
      </w:r>
    </w:p>
    <w:p w14:paraId="4067BF2D">
      <w:pPr>
        <w:spacing w:line="400" w:lineRule="exact"/>
        <w:ind w:firstLine="422" w:firstLineChars="200"/>
        <w:rPr>
          <w:color w:val="000000"/>
          <w:szCs w:val="21"/>
        </w:rPr>
      </w:pPr>
      <w:r>
        <w:rPr>
          <w:b/>
          <w:color w:val="000000"/>
          <w:szCs w:val="21"/>
        </w:rPr>
        <w:t xml:space="preserve">2  </w:t>
      </w:r>
      <w:r>
        <w:rPr>
          <w:color w:val="000000"/>
          <w:szCs w:val="21"/>
        </w:rPr>
        <w:t>金属外壳应可靠接地，全长不应少于两处与接地干线相连接。母线的金属外壳不应作为设备接地的接续导体。</w:t>
      </w:r>
    </w:p>
    <w:p w14:paraId="099E0486">
      <w:pPr>
        <w:spacing w:line="400" w:lineRule="exact"/>
        <w:rPr>
          <w:bCs/>
          <w:color w:val="000000"/>
          <w:szCs w:val="21"/>
        </w:rPr>
      </w:pPr>
      <w:r>
        <w:rPr>
          <w:b/>
          <w:color w:val="000000"/>
          <w:szCs w:val="21"/>
        </w:rPr>
        <w:t xml:space="preserve">8.2.9  </w:t>
      </w:r>
      <w:r>
        <w:rPr>
          <w:bCs/>
          <w:color w:val="000000"/>
          <w:szCs w:val="21"/>
        </w:rPr>
        <w:t>导线敷设应符合以下要求：</w:t>
      </w:r>
    </w:p>
    <w:p w14:paraId="36EC44EC">
      <w:pPr>
        <w:spacing w:line="400" w:lineRule="exact"/>
        <w:ind w:firstLine="422" w:firstLineChars="200"/>
        <w:rPr>
          <w:bCs/>
          <w:color w:val="000000"/>
          <w:szCs w:val="21"/>
        </w:rPr>
      </w:pPr>
      <w:r>
        <w:rPr>
          <w:b/>
          <w:color w:val="000000"/>
          <w:szCs w:val="21"/>
        </w:rPr>
        <w:t>1</w:t>
      </w:r>
      <w:r>
        <w:rPr>
          <w:bCs/>
          <w:color w:val="000000"/>
          <w:szCs w:val="21"/>
        </w:rPr>
        <w:t xml:space="preserve">  配线工程的电线线芯截面面积不得低于设计值，进场时应对其导体电阻值进行见证取样试验；</w:t>
      </w:r>
    </w:p>
    <w:p w14:paraId="050E7ACD">
      <w:pPr>
        <w:spacing w:line="400" w:lineRule="exact"/>
        <w:ind w:firstLine="422" w:firstLineChars="200"/>
        <w:rPr>
          <w:color w:val="000000"/>
          <w:szCs w:val="21"/>
        </w:rPr>
      </w:pPr>
      <w:r>
        <w:rPr>
          <w:b/>
          <w:color w:val="000000"/>
          <w:szCs w:val="21"/>
        </w:rPr>
        <w:t xml:space="preserve">2  </w:t>
      </w:r>
      <w:r>
        <w:rPr>
          <w:color w:val="000000"/>
          <w:szCs w:val="21"/>
        </w:rPr>
        <w:t>敷设于导管及槽盒、桥架内的电线、电缆、控制线和信号线的填充率和载流导体根数，应符合规范规定；</w:t>
      </w:r>
    </w:p>
    <w:p w14:paraId="383943E9">
      <w:pPr>
        <w:spacing w:line="400" w:lineRule="exact"/>
        <w:ind w:firstLine="422" w:firstLineChars="200"/>
        <w:rPr>
          <w:color w:val="000000"/>
          <w:szCs w:val="21"/>
        </w:rPr>
      </w:pPr>
      <w:r>
        <w:rPr>
          <w:b/>
          <w:color w:val="000000"/>
          <w:szCs w:val="21"/>
        </w:rPr>
        <w:t>3</w:t>
      </w:r>
      <w:r>
        <w:rPr>
          <w:color w:val="000000"/>
          <w:szCs w:val="21"/>
        </w:rPr>
        <w:t xml:space="preserve">  </w:t>
      </w:r>
      <w:r>
        <w:rPr>
          <w:rFonts w:hint="eastAsia"/>
          <w:color w:val="000000"/>
          <w:szCs w:val="21"/>
        </w:rPr>
        <w:t>交流单芯电缆或分相后的每相电缆不得单根独穿于钢导管内，固定用的夹具和支架不应形成闭合磁路；</w:t>
      </w:r>
    </w:p>
    <w:p w14:paraId="14503330">
      <w:pPr>
        <w:spacing w:line="400" w:lineRule="exact"/>
        <w:ind w:firstLine="422" w:firstLineChars="200"/>
        <w:rPr>
          <w:color w:val="000000"/>
          <w:szCs w:val="21"/>
        </w:rPr>
      </w:pPr>
      <w:r>
        <w:rPr>
          <w:b/>
          <w:color w:val="000000"/>
          <w:szCs w:val="21"/>
        </w:rPr>
        <w:t xml:space="preserve">4 </w:t>
      </w:r>
      <w:r>
        <w:rPr>
          <w:color w:val="000000"/>
          <w:szCs w:val="21"/>
        </w:rPr>
        <w:t xml:space="preserve"> 电线接头应设置在盒、箱或器具内，严禁设置在导管和槽盒内；</w:t>
      </w:r>
    </w:p>
    <w:p w14:paraId="36E70C5D">
      <w:pPr>
        <w:spacing w:line="400" w:lineRule="exact"/>
        <w:ind w:firstLine="422" w:firstLineChars="200"/>
        <w:rPr>
          <w:color w:val="000000"/>
          <w:szCs w:val="21"/>
        </w:rPr>
      </w:pPr>
      <w:r>
        <w:rPr>
          <w:b/>
          <w:color w:val="000000"/>
          <w:szCs w:val="21"/>
        </w:rPr>
        <w:t>5</w:t>
      </w:r>
      <w:r>
        <w:rPr>
          <w:color w:val="000000"/>
          <w:szCs w:val="21"/>
        </w:rPr>
        <w:t xml:space="preserve">  电线、电缆穿管垂直敷设时，应根据管内导线的截面、重量，在适当位置留过线盒，并应在过线盒处对线、缆加以固定。敷设在桥架上和槽盒内的电缆电线，应固定牢固。</w:t>
      </w:r>
    </w:p>
    <w:p w14:paraId="672EBE9C">
      <w:pPr>
        <w:spacing w:line="400" w:lineRule="exact"/>
        <w:rPr>
          <w:color w:val="000000"/>
          <w:szCs w:val="21"/>
        </w:rPr>
      </w:pPr>
      <w:r>
        <w:rPr>
          <w:b/>
          <w:color w:val="000000"/>
          <w:szCs w:val="21"/>
        </w:rPr>
        <w:t>8.2.10</w:t>
      </w:r>
      <w:r>
        <w:rPr>
          <w:color w:val="000000"/>
          <w:szCs w:val="21"/>
        </w:rPr>
        <w:t xml:space="preserve">  电缆在电缆支架上敷设应符合以下要求：</w:t>
      </w:r>
    </w:p>
    <w:p w14:paraId="6532FF56">
      <w:pPr>
        <w:spacing w:line="400" w:lineRule="exact"/>
        <w:ind w:firstLine="422" w:firstLineChars="200"/>
        <w:rPr>
          <w:color w:val="000000"/>
          <w:szCs w:val="21"/>
        </w:rPr>
      </w:pPr>
      <w:r>
        <w:rPr>
          <w:b/>
          <w:color w:val="000000"/>
          <w:szCs w:val="21"/>
        </w:rPr>
        <w:t>1</w:t>
      </w:r>
      <w:r>
        <w:rPr>
          <w:color w:val="000000"/>
          <w:szCs w:val="21"/>
        </w:rPr>
        <w:t xml:space="preserve">  电缆的金属护套和金属支架应可靠接地，接地线截面应不小于</w:t>
      </w:r>
      <w:r>
        <w:rPr>
          <w:rFonts w:hint="eastAsia"/>
          <w:color w:val="000000"/>
          <w:szCs w:val="21"/>
          <w:lang w:val="en-US" w:eastAsia="zh-CN"/>
        </w:rPr>
        <w:t>现行国家标准</w:t>
      </w:r>
      <w:r>
        <w:rPr>
          <w:color w:val="000000"/>
          <w:szCs w:val="21"/>
        </w:rPr>
        <w:t>《建筑电气工程施工质量验收</w:t>
      </w:r>
      <w:r>
        <w:rPr>
          <w:rFonts w:hint="eastAsia"/>
          <w:color w:val="000000"/>
          <w:szCs w:val="21"/>
        </w:rPr>
        <w:t>规范</w:t>
      </w:r>
      <w:r>
        <w:rPr>
          <w:color w:val="000000"/>
          <w:szCs w:val="21"/>
        </w:rPr>
        <w:t>》GB 50303</w:t>
      </w:r>
      <w:r>
        <w:rPr>
          <w:rFonts w:hint="eastAsia"/>
          <w:color w:val="000000"/>
          <w:szCs w:val="21"/>
        </w:rPr>
        <w:t>的</w:t>
      </w:r>
      <w:r>
        <w:rPr>
          <w:color w:val="000000"/>
          <w:szCs w:val="21"/>
        </w:rPr>
        <w:t>规定；</w:t>
      </w:r>
    </w:p>
    <w:p w14:paraId="7ECA161F">
      <w:pPr>
        <w:spacing w:line="400" w:lineRule="exact"/>
        <w:ind w:firstLine="422" w:firstLineChars="200"/>
        <w:rPr>
          <w:color w:val="000000"/>
          <w:szCs w:val="21"/>
        </w:rPr>
      </w:pPr>
      <w:r>
        <w:rPr>
          <w:b/>
          <w:color w:val="000000"/>
          <w:szCs w:val="21"/>
        </w:rPr>
        <w:t>2</w:t>
      </w:r>
      <w:r>
        <w:rPr>
          <w:color w:val="000000"/>
          <w:szCs w:val="21"/>
        </w:rPr>
        <w:t xml:space="preserve">  电缆及电缆支架的型号、规格和敷设应符合设计要求。电缆敷设时，弯曲部位的弯曲半径应不小于规范规定；</w:t>
      </w:r>
    </w:p>
    <w:p w14:paraId="7DF002D0">
      <w:pPr>
        <w:spacing w:line="400" w:lineRule="exact"/>
        <w:ind w:firstLine="422" w:firstLineChars="200"/>
        <w:rPr>
          <w:color w:val="000000"/>
          <w:szCs w:val="21"/>
        </w:rPr>
      </w:pPr>
      <w:r>
        <w:rPr>
          <w:b/>
          <w:color w:val="000000"/>
          <w:szCs w:val="21"/>
        </w:rPr>
        <w:t>3</w:t>
      </w:r>
      <w:r>
        <w:rPr>
          <w:color w:val="000000"/>
          <w:szCs w:val="21"/>
        </w:rPr>
        <w:t xml:space="preserve">  电缆在室内穿管敷设或通过墙、楼板穿套管时，套管的管内径不应小于电缆外径的1.5倍；</w:t>
      </w:r>
    </w:p>
    <w:p w14:paraId="0B4EB4B2">
      <w:pPr>
        <w:spacing w:line="400" w:lineRule="exact"/>
        <w:ind w:firstLine="422" w:firstLineChars="200"/>
        <w:rPr>
          <w:color w:val="000000"/>
          <w:szCs w:val="21"/>
        </w:rPr>
      </w:pPr>
      <w:r>
        <w:rPr>
          <w:b/>
          <w:color w:val="000000"/>
          <w:szCs w:val="21"/>
        </w:rPr>
        <w:t>4</w:t>
      </w:r>
      <w:r>
        <w:rPr>
          <w:color w:val="000000"/>
          <w:szCs w:val="21"/>
        </w:rPr>
        <w:t xml:space="preserve">  电缆并列明敷在支架上时，应与支架固定。电缆间净距和电缆与不同管道间的最小净距，应不小于</w:t>
      </w:r>
      <w:r>
        <w:rPr>
          <w:rFonts w:hint="eastAsia"/>
          <w:color w:val="000000"/>
          <w:szCs w:val="21"/>
          <w:lang w:val="en-US" w:eastAsia="zh-CN"/>
        </w:rPr>
        <w:t>现行国家标准</w:t>
      </w:r>
      <w:r>
        <w:rPr>
          <w:color w:val="000000"/>
          <w:szCs w:val="21"/>
        </w:rPr>
        <w:t>《建筑电气工程施工质量验收</w:t>
      </w:r>
      <w:r>
        <w:rPr>
          <w:rFonts w:hint="eastAsia"/>
          <w:color w:val="000000"/>
          <w:szCs w:val="21"/>
        </w:rPr>
        <w:t>规范</w:t>
      </w:r>
      <w:r>
        <w:rPr>
          <w:color w:val="000000"/>
          <w:szCs w:val="21"/>
        </w:rPr>
        <w:t>》GB 50303</w:t>
      </w:r>
      <w:r>
        <w:rPr>
          <w:rFonts w:hint="eastAsia"/>
          <w:color w:val="000000"/>
          <w:szCs w:val="21"/>
        </w:rPr>
        <w:t>的</w:t>
      </w:r>
      <w:r>
        <w:rPr>
          <w:color w:val="000000"/>
          <w:szCs w:val="21"/>
        </w:rPr>
        <w:t>规定；</w:t>
      </w:r>
    </w:p>
    <w:p w14:paraId="58507E03">
      <w:pPr>
        <w:spacing w:line="400" w:lineRule="exact"/>
        <w:ind w:firstLine="422" w:firstLineChars="200"/>
        <w:rPr>
          <w:color w:val="000000"/>
          <w:szCs w:val="21"/>
        </w:rPr>
      </w:pPr>
      <w:r>
        <w:rPr>
          <w:b/>
          <w:color w:val="000000"/>
          <w:szCs w:val="21"/>
        </w:rPr>
        <w:t>5</w:t>
      </w:r>
      <w:r>
        <w:rPr>
          <w:color w:val="000000"/>
          <w:szCs w:val="21"/>
        </w:rPr>
        <w:t xml:space="preserve">  电缆敷设时宜在进户处、接头处、终端处留有裕量，过建筑物</w:t>
      </w:r>
      <w:r>
        <w:rPr>
          <w:rFonts w:hint="eastAsia"/>
          <w:color w:val="000000"/>
          <w:szCs w:val="21"/>
        </w:rPr>
        <w:t>变形缝</w:t>
      </w:r>
      <w:r>
        <w:rPr>
          <w:color w:val="000000"/>
          <w:szCs w:val="21"/>
        </w:rPr>
        <w:t>处应做补偿；</w:t>
      </w:r>
    </w:p>
    <w:p w14:paraId="1119FCCF">
      <w:pPr>
        <w:spacing w:line="400" w:lineRule="exact"/>
        <w:ind w:firstLine="422" w:firstLineChars="200"/>
        <w:rPr>
          <w:bCs/>
          <w:color w:val="000000"/>
          <w:szCs w:val="21"/>
        </w:rPr>
      </w:pPr>
      <w:r>
        <w:rPr>
          <w:b/>
          <w:color w:val="000000"/>
          <w:szCs w:val="21"/>
          <w:lang w:val="zh-CN"/>
        </w:rPr>
        <w:t>6</w:t>
      </w:r>
      <w:r>
        <w:rPr>
          <w:bCs/>
          <w:color w:val="000000"/>
          <w:szCs w:val="21"/>
          <w:lang w:val="zh-CN"/>
        </w:rPr>
        <w:t xml:space="preserve"> </w:t>
      </w:r>
      <w:r>
        <w:rPr>
          <w:bCs/>
          <w:color w:val="000000"/>
          <w:szCs w:val="21"/>
        </w:rPr>
        <w:t xml:space="preserve"> </w:t>
      </w:r>
      <w:r>
        <w:rPr>
          <w:bCs/>
          <w:color w:val="000000"/>
          <w:szCs w:val="21"/>
          <w:lang w:val="zh-CN"/>
        </w:rPr>
        <w:t>电缆在敷设前、敷设后应摇测电缆绝缘电阻，绝缘电阻值应不小于</w:t>
      </w:r>
      <w:r>
        <w:rPr>
          <w:rFonts w:hint="eastAsia"/>
          <w:color w:val="000000"/>
          <w:szCs w:val="21"/>
          <w:lang w:val="en-US" w:eastAsia="zh-CN"/>
        </w:rPr>
        <w:t>现行国家标准</w:t>
      </w:r>
      <w:r>
        <w:rPr>
          <w:color w:val="000000"/>
          <w:szCs w:val="21"/>
        </w:rPr>
        <w:t>《建筑电气工程施工质量验收</w:t>
      </w:r>
      <w:r>
        <w:rPr>
          <w:rFonts w:hint="eastAsia"/>
          <w:color w:val="000000"/>
          <w:szCs w:val="21"/>
        </w:rPr>
        <w:t>规范</w:t>
      </w:r>
      <w:r>
        <w:rPr>
          <w:color w:val="000000"/>
          <w:szCs w:val="21"/>
        </w:rPr>
        <w:t>》GB 50303</w:t>
      </w:r>
      <w:r>
        <w:rPr>
          <w:rFonts w:hint="eastAsia"/>
          <w:color w:val="000000"/>
          <w:szCs w:val="21"/>
        </w:rPr>
        <w:t>的</w:t>
      </w:r>
      <w:r>
        <w:rPr>
          <w:bCs/>
          <w:color w:val="000000"/>
          <w:szCs w:val="21"/>
          <w:lang w:val="zh-CN"/>
        </w:rPr>
        <w:t>规定。</w:t>
      </w:r>
    </w:p>
    <w:p w14:paraId="0FC67D69">
      <w:pPr>
        <w:spacing w:line="400" w:lineRule="exact"/>
        <w:rPr>
          <w:color w:val="000000"/>
          <w:szCs w:val="21"/>
        </w:rPr>
      </w:pPr>
      <w:r>
        <w:rPr>
          <w:b/>
          <w:color w:val="000000"/>
          <w:szCs w:val="21"/>
        </w:rPr>
        <w:t>8.2.11</w:t>
      </w:r>
      <w:r>
        <w:rPr>
          <w:color w:val="000000"/>
          <w:szCs w:val="21"/>
        </w:rPr>
        <w:t xml:space="preserve">  矿物绝缘电缆的安装应符合以下要求：</w:t>
      </w:r>
    </w:p>
    <w:p w14:paraId="0805B1BD">
      <w:pPr>
        <w:spacing w:line="400" w:lineRule="exact"/>
        <w:ind w:firstLine="422" w:firstLineChars="200"/>
        <w:rPr>
          <w:color w:val="000000"/>
          <w:szCs w:val="21"/>
        </w:rPr>
      </w:pPr>
      <w:r>
        <w:rPr>
          <w:b/>
          <w:color w:val="000000"/>
          <w:szCs w:val="21"/>
        </w:rPr>
        <w:t>1</w:t>
      </w:r>
      <w:r>
        <w:rPr>
          <w:color w:val="000000"/>
          <w:szCs w:val="21"/>
        </w:rPr>
        <w:t xml:space="preserve">  电缆的型号、规格应符合设计要求。施工中应尽量减少接头。敷设应顺直，不应有扭曲、弯折及铜质护套受到损伤或腐蚀。电缆的终端、中间连接器、敷设配件等均应采用配套产品。单芯电缆双拼或多拼使用时，电缆长度应一致；</w:t>
      </w:r>
    </w:p>
    <w:p w14:paraId="2DC86D93">
      <w:pPr>
        <w:spacing w:line="400" w:lineRule="exact"/>
        <w:ind w:firstLine="422" w:firstLineChars="200"/>
        <w:rPr>
          <w:color w:val="000000"/>
          <w:szCs w:val="21"/>
        </w:rPr>
      </w:pPr>
      <w:r>
        <w:rPr>
          <w:b/>
          <w:color w:val="000000"/>
          <w:szCs w:val="21"/>
        </w:rPr>
        <w:t>2</w:t>
      </w:r>
      <w:r>
        <w:rPr>
          <w:color w:val="000000"/>
          <w:szCs w:val="21"/>
        </w:rPr>
        <w:t xml:space="preserve">  单芯电缆进出配电箱、柜时，在穿保护套管及在桥架、支架上固定电缆时，应防止产生涡流；</w:t>
      </w:r>
    </w:p>
    <w:p w14:paraId="035F6AD1">
      <w:pPr>
        <w:spacing w:line="400" w:lineRule="exact"/>
        <w:ind w:firstLine="422" w:firstLineChars="200"/>
        <w:rPr>
          <w:color w:val="000000"/>
          <w:szCs w:val="21"/>
        </w:rPr>
      </w:pPr>
      <w:r>
        <w:rPr>
          <w:b/>
          <w:color w:val="000000"/>
          <w:szCs w:val="21"/>
        </w:rPr>
        <w:t>3</w:t>
      </w:r>
      <w:r>
        <w:rPr>
          <w:color w:val="000000"/>
          <w:szCs w:val="21"/>
        </w:rPr>
        <w:t xml:space="preserve">  潮湿场所矿物绝缘电缆的固定，应能防止产生不同材质间的电化学腐蚀；</w:t>
      </w:r>
    </w:p>
    <w:p w14:paraId="0268B860">
      <w:pPr>
        <w:spacing w:line="400" w:lineRule="exact"/>
        <w:ind w:firstLine="422" w:firstLineChars="200"/>
        <w:rPr>
          <w:color w:val="000000"/>
          <w:szCs w:val="21"/>
        </w:rPr>
      </w:pPr>
      <w:r>
        <w:rPr>
          <w:b/>
          <w:color w:val="000000"/>
          <w:szCs w:val="21"/>
        </w:rPr>
        <w:t>4</w:t>
      </w:r>
      <w:r>
        <w:rPr>
          <w:color w:val="000000"/>
          <w:szCs w:val="21"/>
        </w:rPr>
        <w:t xml:space="preserve">  电缆过变形缝处</w:t>
      </w:r>
      <w:r>
        <w:rPr>
          <w:rFonts w:hint="eastAsia"/>
          <w:color w:val="000000"/>
          <w:szCs w:val="21"/>
        </w:rPr>
        <w:t>的</w:t>
      </w:r>
      <w:r>
        <w:rPr>
          <w:color w:val="000000"/>
          <w:szCs w:val="21"/>
        </w:rPr>
        <w:t>补偿</w:t>
      </w:r>
      <w:r>
        <w:rPr>
          <w:rFonts w:hint="eastAsia"/>
          <w:color w:val="000000"/>
          <w:szCs w:val="21"/>
        </w:rPr>
        <w:t>、</w:t>
      </w:r>
      <w:r>
        <w:rPr>
          <w:color w:val="000000"/>
          <w:szCs w:val="21"/>
        </w:rPr>
        <w:t>弯曲半径</w:t>
      </w:r>
      <w:r>
        <w:rPr>
          <w:rFonts w:hint="eastAsia"/>
          <w:color w:val="000000"/>
          <w:szCs w:val="21"/>
        </w:rPr>
        <w:t>、</w:t>
      </w:r>
      <w:r>
        <w:rPr>
          <w:color w:val="000000"/>
          <w:szCs w:val="21"/>
        </w:rPr>
        <w:t>铜外套及金属配件</w:t>
      </w:r>
      <w:r>
        <w:rPr>
          <w:rFonts w:hint="eastAsia"/>
          <w:color w:val="000000"/>
          <w:szCs w:val="21"/>
        </w:rPr>
        <w:t>接地、</w:t>
      </w:r>
      <w:r>
        <w:rPr>
          <w:color w:val="000000"/>
          <w:szCs w:val="21"/>
        </w:rPr>
        <w:t>绑扎与固定</w:t>
      </w:r>
      <w:r>
        <w:rPr>
          <w:rFonts w:hint="eastAsia"/>
          <w:color w:val="000000"/>
          <w:szCs w:val="21"/>
        </w:rPr>
        <w:t>均</w:t>
      </w:r>
      <w:r>
        <w:rPr>
          <w:color w:val="000000"/>
          <w:szCs w:val="21"/>
        </w:rPr>
        <w:t>应</w:t>
      </w:r>
      <w:r>
        <w:rPr>
          <w:rFonts w:hint="eastAsia"/>
          <w:color w:val="000000"/>
          <w:szCs w:val="21"/>
        </w:rPr>
        <w:t>符合</w:t>
      </w:r>
      <w:r>
        <w:rPr>
          <w:rFonts w:hint="eastAsia"/>
          <w:color w:val="000000"/>
          <w:szCs w:val="21"/>
          <w:lang w:val="en-US" w:eastAsia="zh-CN"/>
        </w:rPr>
        <w:t>现行行业标准</w:t>
      </w:r>
      <w:r>
        <w:rPr>
          <w:rFonts w:hint="eastAsia"/>
          <w:color w:val="000000"/>
          <w:szCs w:val="21"/>
        </w:rPr>
        <w:t>《矿物绝缘电缆敷设技术规程》JGJ 232</w:t>
      </w:r>
      <w:r>
        <w:rPr>
          <w:color w:val="000000"/>
          <w:szCs w:val="21"/>
        </w:rPr>
        <w:t>的规定</w:t>
      </w:r>
      <w:r>
        <w:rPr>
          <w:rFonts w:hint="eastAsia"/>
          <w:color w:val="000000"/>
          <w:szCs w:val="21"/>
        </w:rPr>
        <w:t>。</w:t>
      </w:r>
    </w:p>
    <w:p w14:paraId="402AF4A2">
      <w:pPr>
        <w:spacing w:line="400" w:lineRule="exact"/>
        <w:rPr>
          <w:color w:val="000000"/>
          <w:szCs w:val="21"/>
        </w:rPr>
      </w:pPr>
      <w:r>
        <w:rPr>
          <w:b/>
          <w:color w:val="000000"/>
          <w:szCs w:val="21"/>
        </w:rPr>
        <w:t>8.2.12</w:t>
      </w:r>
      <w:r>
        <w:rPr>
          <w:color w:val="000000"/>
          <w:szCs w:val="21"/>
        </w:rPr>
        <w:t xml:space="preserve">  预分支电缆的安装应符合以下要求：</w:t>
      </w:r>
    </w:p>
    <w:p w14:paraId="5182727B">
      <w:pPr>
        <w:spacing w:line="400" w:lineRule="exact"/>
        <w:ind w:firstLine="422" w:firstLineChars="200"/>
        <w:rPr>
          <w:color w:val="000000"/>
          <w:szCs w:val="21"/>
        </w:rPr>
      </w:pPr>
      <w:r>
        <w:rPr>
          <w:b/>
          <w:color w:val="000000"/>
          <w:szCs w:val="21"/>
        </w:rPr>
        <w:t xml:space="preserve">1  </w:t>
      </w:r>
      <w:r>
        <w:rPr>
          <w:color w:val="000000"/>
          <w:szCs w:val="21"/>
        </w:rPr>
        <w:t>采用单芯电缆用于交流电路时，固定电缆的夹具应采用专用附件，严禁使用封闭导磁金属夹具。需穿套管时，其套管材质或形状应能防止产生涡流；</w:t>
      </w:r>
    </w:p>
    <w:p w14:paraId="39E5F104">
      <w:pPr>
        <w:spacing w:line="400" w:lineRule="exact"/>
        <w:ind w:firstLine="422" w:firstLineChars="200"/>
        <w:rPr>
          <w:color w:val="000000"/>
          <w:szCs w:val="21"/>
        </w:rPr>
      </w:pPr>
      <w:r>
        <w:rPr>
          <w:b/>
          <w:color w:val="000000"/>
          <w:szCs w:val="21"/>
        </w:rPr>
        <w:t xml:space="preserve">2  </w:t>
      </w:r>
      <w:r>
        <w:rPr>
          <w:color w:val="000000"/>
          <w:szCs w:val="21"/>
        </w:rPr>
        <w:t>电缆垂直敷设时，顶部吊钩应固定牢固，电缆分支处应固定牢固且不得额外受力，亦应便于检查维修。</w:t>
      </w:r>
    </w:p>
    <w:p w14:paraId="70880A77">
      <w:pPr>
        <w:spacing w:line="400" w:lineRule="exact"/>
        <w:rPr>
          <w:color w:val="000000"/>
          <w:szCs w:val="21"/>
        </w:rPr>
      </w:pPr>
      <w:r>
        <w:rPr>
          <w:b/>
          <w:color w:val="000000"/>
          <w:szCs w:val="21"/>
        </w:rPr>
        <w:t>8.2.13</w:t>
      </w:r>
      <w:r>
        <w:rPr>
          <w:color w:val="000000"/>
          <w:szCs w:val="21"/>
        </w:rPr>
        <w:t xml:space="preserve">  电气竖井内电气设备安装应符合以下要求：</w:t>
      </w:r>
    </w:p>
    <w:p w14:paraId="326B1AC8">
      <w:pPr>
        <w:spacing w:line="400" w:lineRule="exact"/>
        <w:ind w:firstLine="422" w:firstLineChars="200"/>
        <w:rPr>
          <w:color w:val="000000"/>
          <w:szCs w:val="21"/>
        </w:rPr>
      </w:pPr>
      <w:r>
        <w:rPr>
          <w:b/>
          <w:bCs/>
          <w:color w:val="000000"/>
          <w:szCs w:val="21"/>
        </w:rPr>
        <w:t>1</w:t>
      </w:r>
      <w:r>
        <w:rPr>
          <w:color w:val="000000"/>
          <w:szCs w:val="21"/>
        </w:rPr>
        <w:t xml:space="preserve">  竖井内的配电箱柜的安装质量应符合本标准</w:t>
      </w:r>
      <w:r>
        <w:rPr>
          <w:rFonts w:hint="eastAsia"/>
          <w:color w:val="000000"/>
          <w:szCs w:val="21"/>
        </w:rPr>
        <w:t>第</w:t>
      </w:r>
      <w:r>
        <w:rPr>
          <w:color w:val="000000"/>
          <w:szCs w:val="21"/>
        </w:rPr>
        <w:t>8.2.2条的规定。配线工程应符合本标准</w:t>
      </w:r>
      <w:r>
        <w:rPr>
          <w:rFonts w:hint="eastAsia"/>
          <w:color w:val="000000"/>
          <w:szCs w:val="21"/>
        </w:rPr>
        <w:t>第</w:t>
      </w:r>
      <w:r>
        <w:rPr>
          <w:color w:val="000000"/>
          <w:szCs w:val="21"/>
        </w:rPr>
        <w:t>8.2.3～8.2.12条的各有关规定。接地干线的敷设应符合设计要求和本标准</w:t>
      </w:r>
      <w:r>
        <w:rPr>
          <w:rFonts w:hint="eastAsia"/>
          <w:color w:val="000000"/>
          <w:szCs w:val="21"/>
        </w:rPr>
        <w:t>第</w:t>
      </w:r>
      <w:r>
        <w:rPr>
          <w:color w:val="000000"/>
          <w:szCs w:val="21"/>
        </w:rPr>
        <w:t>8.2.22条的规定；</w:t>
      </w:r>
    </w:p>
    <w:p w14:paraId="394DB106">
      <w:pPr>
        <w:spacing w:line="400" w:lineRule="exact"/>
        <w:ind w:firstLine="422" w:firstLineChars="200"/>
        <w:rPr>
          <w:color w:val="000000"/>
          <w:szCs w:val="21"/>
        </w:rPr>
      </w:pPr>
      <w:r>
        <w:rPr>
          <w:b/>
          <w:color w:val="000000"/>
          <w:szCs w:val="21"/>
        </w:rPr>
        <w:t>2</w:t>
      </w:r>
      <w:r>
        <w:rPr>
          <w:color w:val="000000"/>
          <w:szCs w:val="21"/>
        </w:rPr>
        <w:t xml:space="preserve">  竖井内配电箱、柜门应能打开到90º以上，槽盒盖应能方便打开检修，箱、柜前操作距离应不小于规范规定；</w:t>
      </w:r>
    </w:p>
    <w:p w14:paraId="4FC9FF7F">
      <w:pPr>
        <w:spacing w:line="400" w:lineRule="exact"/>
        <w:ind w:firstLine="422" w:firstLineChars="200"/>
        <w:rPr>
          <w:color w:val="000000"/>
          <w:szCs w:val="21"/>
        </w:rPr>
      </w:pPr>
      <w:r>
        <w:rPr>
          <w:b/>
          <w:color w:val="000000"/>
          <w:szCs w:val="21"/>
        </w:rPr>
        <w:t>3</w:t>
      </w:r>
      <w:r>
        <w:rPr>
          <w:color w:val="000000"/>
          <w:szCs w:val="21"/>
        </w:rPr>
        <w:t xml:space="preserve">  竖井内接地干线和等电位端子的施工应符合设计要求，接地和等电位的连接应牢固可靠；</w:t>
      </w:r>
    </w:p>
    <w:p w14:paraId="6B6CD41E">
      <w:pPr>
        <w:spacing w:line="400" w:lineRule="exact"/>
        <w:ind w:firstLine="422" w:firstLineChars="200"/>
        <w:rPr>
          <w:color w:val="000000"/>
          <w:szCs w:val="21"/>
        </w:rPr>
      </w:pPr>
      <w:r>
        <w:rPr>
          <w:b/>
          <w:color w:val="000000"/>
          <w:szCs w:val="21"/>
        </w:rPr>
        <w:t xml:space="preserve">4  </w:t>
      </w:r>
      <w:r>
        <w:rPr>
          <w:bCs/>
          <w:color w:val="000000"/>
          <w:szCs w:val="21"/>
        </w:rPr>
        <w:t>楼</w:t>
      </w:r>
      <w:r>
        <w:rPr>
          <w:color w:val="000000"/>
          <w:szCs w:val="21"/>
        </w:rPr>
        <w:t>板、墙体洞口应防火封堵严密，各种电气设备应标识清晰，竖井内应清洁、无杂物、无污染。</w:t>
      </w:r>
    </w:p>
    <w:p w14:paraId="7798A2EE">
      <w:pPr>
        <w:spacing w:line="400" w:lineRule="exact"/>
        <w:rPr>
          <w:color w:val="000000"/>
          <w:szCs w:val="21"/>
        </w:rPr>
      </w:pPr>
      <w:r>
        <w:rPr>
          <w:b/>
          <w:color w:val="000000"/>
          <w:szCs w:val="21"/>
        </w:rPr>
        <w:t>8.2.14</w:t>
      </w:r>
      <w:r>
        <w:rPr>
          <w:color w:val="000000"/>
          <w:szCs w:val="21"/>
        </w:rPr>
        <w:t xml:space="preserve">  绝缘导管、槽盒安装应符合以下要求：</w:t>
      </w:r>
    </w:p>
    <w:p w14:paraId="0A468562">
      <w:pPr>
        <w:spacing w:line="400" w:lineRule="exact"/>
        <w:ind w:firstLine="422" w:firstLineChars="200"/>
        <w:rPr>
          <w:color w:val="000000"/>
          <w:szCs w:val="21"/>
        </w:rPr>
      </w:pPr>
      <w:r>
        <w:rPr>
          <w:b/>
          <w:color w:val="000000"/>
          <w:szCs w:val="21"/>
        </w:rPr>
        <w:t xml:space="preserve">1  </w:t>
      </w:r>
      <w:r>
        <w:rPr>
          <w:color w:val="000000"/>
          <w:szCs w:val="21"/>
        </w:rPr>
        <w:t>型号、规格及绝缘材料的燃烧性能指标应符合设计要求；</w:t>
      </w:r>
    </w:p>
    <w:p w14:paraId="6E0C89D2">
      <w:pPr>
        <w:spacing w:line="400" w:lineRule="exact"/>
        <w:ind w:firstLine="422" w:firstLineChars="200"/>
        <w:rPr>
          <w:color w:val="000000"/>
          <w:szCs w:val="21"/>
        </w:rPr>
      </w:pPr>
      <w:r>
        <w:rPr>
          <w:b/>
          <w:color w:val="000000"/>
          <w:szCs w:val="21"/>
        </w:rPr>
        <w:t>2</w:t>
      </w:r>
      <w:r>
        <w:rPr>
          <w:color w:val="000000"/>
          <w:szCs w:val="21"/>
        </w:rPr>
        <w:t xml:space="preserve">  线缆在导管、槽盒内不得有接头；</w:t>
      </w:r>
    </w:p>
    <w:p w14:paraId="73FCC064">
      <w:pPr>
        <w:spacing w:line="400" w:lineRule="exact"/>
        <w:ind w:firstLine="422" w:firstLineChars="200"/>
        <w:rPr>
          <w:color w:val="000000"/>
          <w:szCs w:val="21"/>
        </w:rPr>
      </w:pPr>
      <w:r>
        <w:rPr>
          <w:b/>
          <w:color w:val="000000"/>
          <w:szCs w:val="21"/>
        </w:rPr>
        <w:t>3</w:t>
      </w:r>
      <w:r>
        <w:rPr>
          <w:color w:val="000000"/>
          <w:szCs w:val="21"/>
        </w:rPr>
        <w:t xml:space="preserve">  暗敷的绝缘导管的弯曲半径、弯扁度、连接、固定、保护层厚度及接线盒的固定、防堵措施，应符合相关标准的规定。槽盒明敷时，槽盒连接、转角、分支及终端处应采用专用配件。建筑物吊顶内不应使用塑料管、塑料槽盒配线。</w:t>
      </w:r>
    </w:p>
    <w:p w14:paraId="63184650">
      <w:pPr>
        <w:spacing w:line="400" w:lineRule="exact"/>
        <w:rPr>
          <w:color w:val="000000"/>
          <w:szCs w:val="21"/>
        </w:rPr>
      </w:pPr>
      <w:r>
        <w:rPr>
          <w:b/>
          <w:color w:val="000000"/>
          <w:szCs w:val="21"/>
        </w:rPr>
        <w:t>8.2.15</w:t>
      </w:r>
      <w:r>
        <w:rPr>
          <w:color w:val="000000"/>
          <w:szCs w:val="21"/>
        </w:rPr>
        <w:t xml:space="preserve">  塑料护套线直敷布线应符合以下要求：</w:t>
      </w:r>
    </w:p>
    <w:p w14:paraId="0FAFED3A">
      <w:pPr>
        <w:spacing w:line="400" w:lineRule="exact"/>
        <w:ind w:firstLine="422" w:firstLineChars="200"/>
        <w:rPr>
          <w:color w:val="000000"/>
          <w:szCs w:val="21"/>
        </w:rPr>
      </w:pPr>
      <w:r>
        <w:rPr>
          <w:b/>
          <w:color w:val="000000"/>
          <w:szCs w:val="21"/>
        </w:rPr>
        <w:t>1</w:t>
      </w:r>
      <w:r>
        <w:rPr>
          <w:color w:val="000000"/>
          <w:szCs w:val="21"/>
        </w:rPr>
        <w:t xml:space="preserve">  塑料护套线应明敷，严禁直接敷设在建筑物顶棚、墙体、抹灰层、保温层或装饰层内；</w:t>
      </w:r>
    </w:p>
    <w:p w14:paraId="73BA1305">
      <w:pPr>
        <w:spacing w:line="400" w:lineRule="exact"/>
        <w:ind w:firstLine="422" w:firstLineChars="200"/>
        <w:rPr>
          <w:color w:val="000000"/>
          <w:szCs w:val="21"/>
        </w:rPr>
      </w:pPr>
      <w:r>
        <w:rPr>
          <w:b/>
          <w:color w:val="000000"/>
          <w:szCs w:val="21"/>
        </w:rPr>
        <w:t xml:space="preserve">2  </w:t>
      </w:r>
      <w:r>
        <w:rPr>
          <w:color w:val="000000"/>
          <w:szCs w:val="21"/>
        </w:rPr>
        <w:t>塑料护套线的敷设、固定、接头、与设备或与器具的连接等，均应符合设计要求；</w:t>
      </w:r>
    </w:p>
    <w:p w14:paraId="0FD07118">
      <w:pPr>
        <w:spacing w:line="400" w:lineRule="exact"/>
        <w:ind w:firstLine="422" w:firstLineChars="200"/>
        <w:rPr>
          <w:color w:val="000000"/>
          <w:szCs w:val="21"/>
        </w:rPr>
      </w:pPr>
      <w:r>
        <w:rPr>
          <w:b/>
          <w:color w:val="000000"/>
          <w:szCs w:val="21"/>
        </w:rPr>
        <w:t xml:space="preserve">3  </w:t>
      </w:r>
      <w:r>
        <w:rPr>
          <w:color w:val="000000"/>
          <w:szCs w:val="21"/>
        </w:rPr>
        <w:t>当吊链安装灯具电源使用塑料护套线时，导线应与吊链固定，固定间距不宜大于100 mm。</w:t>
      </w:r>
    </w:p>
    <w:p w14:paraId="314957C9">
      <w:pPr>
        <w:spacing w:line="400" w:lineRule="exact"/>
        <w:rPr>
          <w:color w:val="000000"/>
          <w:szCs w:val="21"/>
        </w:rPr>
      </w:pPr>
      <w:r>
        <w:rPr>
          <w:b/>
          <w:color w:val="000000"/>
          <w:szCs w:val="21"/>
        </w:rPr>
        <w:t>8.2.16</w:t>
      </w:r>
      <w:r>
        <w:rPr>
          <w:color w:val="000000"/>
          <w:szCs w:val="21"/>
        </w:rPr>
        <w:t xml:space="preserve">  照明灯具及电气器具的安装应符合以下要求： </w:t>
      </w:r>
    </w:p>
    <w:p w14:paraId="6BB0D375">
      <w:pPr>
        <w:spacing w:line="400" w:lineRule="exact"/>
        <w:ind w:firstLine="422" w:firstLineChars="200"/>
        <w:rPr>
          <w:color w:val="000000"/>
          <w:szCs w:val="21"/>
        </w:rPr>
      </w:pPr>
      <w:r>
        <w:rPr>
          <w:b/>
          <w:color w:val="000000"/>
          <w:szCs w:val="21"/>
        </w:rPr>
        <w:t>1</w:t>
      </w:r>
      <w:r>
        <w:rPr>
          <w:color w:val="000000"/>
          <w:szCs w:val="21"/>
        </w:rPr>
        <w:t xml:space="preserve">  灯具的型号、规格及安装方法应符合设计要求。在砌体和混凝土结构上严禁使用木楔或塑料胀栓安装固定灯具。灯具的配件应齐全，外观不应有机械损伤、变形、涂层受损、灯罩破裂等现象；</w:t>
      </w:r>
    </w:p>
    <w:p w14:paraId="3C853073">
      <w:pPr>
        <w:spacing w:line="400" w:lineRule="exact"/>
        <w:ind w:firstLine="422" w:firstLineChars="200"/>
        <w:rPr>
          <w:color w:val="000000"/>
          <w:szCs w:val="21"/>
        </w:rPr>
      </w:pPr>
      <w:r>
        <w:rPr>
          <w:b/>
          <w:color w:val="000000"/>
          <w:szCs w:val="21"/>
        </w:rPr>
        <w:t>2</w:t>
      </w:r>
      <w:r>
        <w:rPr>
          <w:color w:val="000000"/>
          <w:szCs w:val="21"/>
        </w:rPr>
        <w:t xml:space="preserve">  I类灯具的外露可导电部分必须与保护线（PE）可靠连接，且应有标识；</w:t>
      </w:r>
    </w:p>
    <w:p w14:paraId="20EFC198">
      <w:pPr>
        <w:spacing w:line="400" w:lineRule="exact"/>
        <w:ind w:firstLine="422" w:firstLineChars="200"/>
        <w:rPr>
          <w:color w:val="000000"/>
          <w:szCs w:val="21"/>
        </w:rPr>
      </w:pPr>
      <w:r>
        <w:rPr>
          <w:b/>
          <w:color w:val="000000"/>
          <w:szCs w:val="21"/>
        </w:rPr>
        <w:t>3</w:t>
      </w:r>
      <w:r>
        <w:rPr>
          <w:color w:val="000000"/>
          <w:szCs w:val="21"/>
        </w:rPr>
        <w:t xml:space="preserve">  质量大于10 kg的灯具固定装置，应按规范规定全数做强度试验； </w:t>
      </w:r>
    </w:p>
    <w:p w14:paraId="7C6AD7A7">
      <w:pPr>
        <w:spacing w:line="400" w:lineRule="exact"/>
        <w:ind w:firstLine="422" w:firstLineChars="200"/>
        <w:rPr>
          <w:color w:val="000000"/>
          <w:szCs w:val="21"/>
        </w:rPr>
      </w:pPr>
      <w:r>
        <w:rPr>
          <w:b/>
          <w:color w:val="000000"/>
          <w:szCs w:val="21"/>
        </w:rPr>
        <w:t>4</w:t>
      </w:r>
      <w:r>
        <w:rPr>
          <w:color w:val="000000"/>
          <w:szCs w:val="21"/>
        </w:rPr>
        <w:t xml:space="preserve">  安装在吊顶上的灯具应与吊顶相协调，布置应匀称美观。吸顶式灯具的灯座应与吊顶平贴，嵌入式灯具的贴脸应与吊顶贴平，周边不应有明显缝隙。成排灯具中心线的最大偏差应不大于5 mm；</w:t>
      </w:r>
    </w:p>
    <w:p w14:paraId="39AF888E">
      <w:pPr>
        <w:spacing w:line="400" w:lineRule="exact"/>
        <w:ind w:firstLine="422" w:firstLineChars="200"/>
        <w:rPr>
          <w:color w:val="000000"/>
          <w:szCs w:val="21"/>
        </w:rPr>
      </w:pPr>
      <w:r>
        <w:rPr>
          <w:b/>
          <w:color w:val="000000"/>
          <w:szCs w:val="21"/>
        </w:rPr>
        <w:t xml:space="preserve">5  </w:t>
      </w:r>
      <w:r>
        <w:rPr>
          <w:color w:val="000000"/>
          <w:szCs w:val="21"/>
        </w:rPr>
        <w:t>卫生间、浴室的灯具应采用防水型产品，安装应符合设计要求。浴室的灯具不宜安装在便器或浴缸的正上方及淋浴间内；</w:t>
      </w:r>
    </w:p>
    <w:p w14:paraId="76198191">
      <w:pPr>
        <w:spacing w:line="400" w:lineRule="exact"/>
        <w:ind w:firstLine="422" w:firstLineChars="200"/>
        <w:rPr>
          <w:color w:val="000000"/>
          <w:szCs w:val="21"/>
        </w:rPr>
      </w:pPr>
      <w:r>
        <w:rPr>
          <w:b/>
          <w:color w:val="000000"/>
          <w:szCs w:val="21"/>
        </w:rPr>
        <w:t>6</w:t>
      </w:r>
      <w:r>
        <w:rPr>
          <w:color w:val="000000"/>
          <w:szCs w:val="21"/>
        </w:rPr>
        <w:t xml:space="preserve">  灯具不应安装在高低压配电设备的正上方，灯具与裸母线的水平距离不得小于1 m，管形灯具宜与配电柜平行方向安装；</w:t>
      </w:r>
    </w:p>
    <w:p w14:paraId="40249C16">
      <w:pPr>
        <w:spacing w:line="400" w:lineRule="exact"/>
        <w:ind w:firstLine="422" w:firstLineChars="200"/>
        <w:rPr>
          <w:color w:val="000000"/>
          <w:szCs w:val="21"/>
        </w:rPr>
      </w:pPr>
      <w:r>
        <w:rPr>
          <w:b/>
          <w:color w:val="000000"/>
          <w:szCs w:val="21"/>
        </w:rPr>
        <w:t xml:space="preserve">7  </w:t>
      </w:r>
      <w:r>
        <w:rPr>
          <w:color w:val="000000"/>
          <w:szCs w:val="21"/>
        </w:rPr>
        <w:t>灯内导线连接应防止灯头线受热，不应将导线敷设在高温灯具的上部。</w:t>
      </w:r>
      <w:r>
        <w:rPr>
          <w:rFonts w:hint="eastAsia"/>
          <w:color w:val="000000"/>
          <w:szCs w:val="21"/>
        </w:rPr>
        <w:t>灯具表面及其附件的高温部位靠近可燃物时</w:t>
      </w:r>
      <w:r>
        <w:rPr>
          <w:color w:val="000000"/>
          <w:szCs w:val="21"/>
        </w:rPr>
        <w:t>，应按规范规定采取隔热、散热等防火保护措施；</w:t>
      </w:r>
    </w:p>
    <w:p w14:paraId="65417F0A">
      <w:pPr>
        <w:spacing w:line="400" w:lineRule="exact"/>
        <w:ind w:firstLine="422" w:firstLineChars="200"/>
        <w:rPr>
          <w:color w:val="000000"/>
          <w:szCs w:val="21"/>
        </w:rPr>
      </w:pPr>
      <w:r>
        <w:rPr>
          <w:b/>
          <w:color w:val="000000"/>
          <w:szCs w:val="21"/>
        </w:rPr>
        <w:t>8</w:t>
      </w:r>
      <w:r>
        <w:rPr>
          <w:color w:val="000000"/>
          <w:szCs w:val="21"/>
        </w:rPr>
        <w:t xml:space="preserve">  建筑物彩灯的配管应采用热浸镀锌钢管，按明管敷设，并应采用配套防水接线盒，其密封应完好。管与盒、管与管间应跨接地线，并应可靠连接成电气通路。灯具的金属外壳和电源金属配管、金属支架、钢索等，必须与保护接地（PE）可靠连接，安装在建筑物屋面时，应与防雷装置可靠连接；</w:t>
      </w:r>
    </w:p>
    <w:p w14:paraId="6B9212BC">
      <w:pPr>
        <w:spacing w:line="400" w:lineRule="exact"/>
        <w:ind w:firstLine="422" w:firstLineChars="200"/>
        <w:rPr>
          <w:color w:val="000000"/>
          <w:szCs w:val="21"/>
        </w:rPr>
      </w:pPr>
      <w:r>
        <w:rPr>
          <w:b/>
          <w:color w:val="000000"/>
          <w:szCs w:val="21"/>
        </w:rPr>
        <w:t xml:space="preserve">9  </w:t>
      </w:r>
      <w:r>
        <w:rPr>
          <w:color w:val="000000"/>
          <w:szCs w:val="21"/>
        </w:rPr>
        <w:t>安装在人员密集场所的建筑物景观照明灯具，无围栏防护时，安装高度应在2.5 m以上；其金属构架和金属保护管应与保护接地（PE）可靠连接，且有标识。灯具的节能分级应符合设计要求；</w:t>
      </w:r>
    </w:p>
    <w:p w14:paraId="59303E76">
      <w:pPr>
        <w:spacing w:line="400" w:lineRule="exact"/>
        <w:ind w:firstLine="422" w:firstLineChars="200"/>
        <w:rPr>
          <w:color w:val="000000"/>
          <w:szCs w:val="21"/>
        </w:rPr>
      </w:pPr>
      <w:r>
        <w:rPr>
          <w:b/>
          <w:color w:val="000000"/>
          <w:szCs w:val="21"/>
        </w:rPr>
        <w:t>10</w:t>
      </w:r>
      <w:r>
        <w:rPr>
          <w:color w:val="000000"/>
          <w:szCs w:val="21"/>
        </w:rPr>
        <w:t xml:space="preserve">  庭院灯的灯柱与基础应固定牢固，地脚螺栓备帽应齐全。灯具电源线的接头应置于灯具接线盒内</w:t>
      </w:r>
      <w:r>
        <w:rPr>
          <w:rFonts w:hint="eastAsia"/>
          <w:color w:val="000000"/>
          <w:szCs w:val="21"/>
        </w:rPr>
        <w:t>，接线盒防护等级应与灯具的防护等级相同，且盒内导线接头应做防水绝缘处理。</w:t>
      </w:r>
      <w:r>
        <w:rPr>
          <w:color w:val="000000"/>
          <w:szCs w:val="21"/>
        </w:rPr>
        <w:t>灯具的外露可导电部分应按设计要求接地可靠，且应有标识。与建筑物共用接地极时，灯具金属外壳应与灯具电源线的保护接地线（PE）可靠连接，并应与接地干线直接连接。接地干线应沿庭院灯布置</w:t>
      </w:r>
      <w:r>
        <w:rPr>
          <w:rFonts w:hint="eastAsia"/>
          <w:color w:val="000000"/>
          <w:szCs w:val="21"/>
        </w:rPr>
        <w:t>成</w:t>
      </w:r>
      <w:r>
        <w:rPr>
          <w:color w:val="000000"/>
          <w:szCs w:val="21"/>
        </w:rPr>
        <w:t>网状，并与建筑物接地网不少于两点可靠连接；</w:t>
      </w:r>
    </w:p>
    <w:p w14:paraId="2C7EDB34">
      <w:pPr>
        <w:spacing w:line="400" w:lineRule="exact"/>
        <w:ind w:firstLine="422" w:firstLineChars="200"/>
        <w:rPr>
          <w:color w:val="000000"/>
          <w:szCs w:val="21"/>
        </w:rPr>
      </w:pPr>
      <w:r>
        <w:rPr>
          <w:b/>
          <w:color w:val="000000"/>
          <w:szCs w:val="21"/>
        </w:rPr>
        <w:t>11</w:t>
      </w:r>
      <w:r>
        <w:rPr>
          <w:color w:val="000000"/>
          <w:szCs w:val="21"/>
        </w:rPr>
        <w:t xml:space="preserve">  航空障碍灯选型和安装位置应符合设计要求，并应在防雷接闪器保护下，其金属部件应与保护接地线（PE）可靠连接，并与防雷装置可靠连接；</w:t>
      </w:r>
    </w:p>
    <w:p w14:paraId="7EB2D28D">
      <w:pPr>
        <w:spacing w:line="400" w:lineRule="exact"/>
        <w:ind w:firstLine="422" w:firstLineChars="200"/>
        <w:rPr>
          <w:color w:val="000000"/>
          <w:szCs w:val="21"/>
        </w:rPr>
      </w:pPr>
      <w:r>
        <w:rPr>
          <w:b/>
          <w:color w:val="000000"/>
          <w:szCs w:val="21"/>
        </w:rPr>
        <w:t>12</w:t>
      </w:r>
      <w:r>
        <w:rPr>
          <w:color w:val="000000"/>
          <w:szCs w:val="21"/>
        </w:rPr>
        <w:t xml:space="preserve">  游泳池和类似场所灯具安装应符合设计要求，池内灯具必须采用12 V及以下安全电压。电源管必须采用绝缘导管，严禁采用金属导管；</w:t>
      </w:r>
    </w:p>
    <w:p w14:paraId="56224AEE">
      <w:pPr>
        <w:spacing w:line="400" w:lineRule="exact"/>
        <w:ind w:firstLine="422" w:firstLineChars="200"/>
        <w:rPr>
          <w:color w:val="000000"/>
          <w:szCs w:val="21"/>
          <w:lang w:val="zh-CN"/>
        </w:rPr>
      </w:pPr>
      <w:r>
        <w:rPr>
          <w:b/>
          <w:color w:val="000000"/>
          <w:szCs w:val="21"/>
          <w:lang w:val="zh-CN"/>
        </w:rPr>
        <w:t xml:space="preserve">13 </w:t>
      </w:r>
      <w:r>
        <w:rPr>
          <w:b/>
          <w:color w:val="000000"/>
          <w:szCs w:val="21"/>
        </w:rPr>
        <w:t xml:space="preserve"> </w:t>
      </w:r>
      <w:r>
        <w:rPr>
          <w:color w:val="000000"/>
          <w:szCs w:val="21"/>
          <w:lang w:val="zh-CN"/>
        </w:rPr>
        <w:t>防爆灯的安装应符合</w:t>
      </w:r>
      <w:r>
        <w:rPr>
          <w:color w:val="000000"/>
          <w:szCs w:val="21"/>
        </w:rPr>
        <w:t>设计要求和</w:t>
      </w:r>
      <w:r>
        <w:rPr>
          <w:rFonts w:hint="eastAsia"/>
          <w:color w:val="000000"/>
          <w:szCs w:val="21"/>
          <w:lang w:val="en-US" w:eastAsia="zh-CN"/>
        </w:rPr>
        <w:t>现行国家标准</w:t>
      </w:r>
      <w:r>
        <w:rPr>
          <w:color w:val="000000"/>
          <w:szCs w:val="21"/>
        </w:rPr>
        <w:t>《建筑电气工程施工质量验收</w:t>
      </w:r>
      <w:r>
        <w:rPr>
          <w:rFonts w:hint="eastAsia"/>
          <w:color w:val="000000"/>
          <w:szCs w:val="21"/>
        </w:rPr>
        <w:t>规范</w:t>
      </w:r>
      <w:r>
        <w:rPr>
          <w:color w:val="000000"/>
          <w:szCs w:val="21"/>
        </w:rPr>
        <w:t>》GB 50303</w:t>
      </w:r>
      <w:r>
        <w:rPr>
          <w:rFonts w:hint="eastAsia"/>
          <w:color w:val="000000"/>
          <w:szCs w:val="21"/>
        </w:rPr>
        <w:t>的相关</w:t>
      </w:r>
      <w:r>
        <w:rPr>
          <w:color w:val="000000"/>
          <w:szCs w:val="21"/>
        </w:rPr>
        <w:t>规定</w:t>
      </w:r>
      <w:r>
        <w:rPr>
          <w:color w:val="000000"/>
          <w:szCs w:val="21"/>
          <w:lang w:val="zh-CN"/>
        </w:rPr>
        <w:t>。</w:t>
      </w:r>
    </w:p>
    <w:p w14:paraId="4531D276">
      <w:pPr>
        <w:spacing w:line="400" w:lineRule="exact"/>
        <w:rPr>
          <w:color w:val="000000"/>
          <w:szCs w:val="21"/>
        </w:rPr>
      </w:pPr>
      <w:r>
        <w:rPr>
          <w:b/>
          <w:color w:val="000000"/>
          <w:szCs w:val="21"/>
        </w:rPr>
        <w:t xml:space="preserve">8.2.17 </w:t>
      </w:r>
      <w:r>
        <w:rPr>
          <w:color w:val="000000"/>
          <w:szCs w:val="21"/>
        </w:rPr>
        <w:t xml:space="preserve"> 照明开关、插座的安装应符合以下要求：</w:t>
      </w:r>
    </w:p>
    <w:p w14:paraId="69E8F570">
      <w:pPr>
        <w:spacing w:line="400" w:lineRule="exact"/>
        <w:ind w:firstLine="422" w:firstLineChars="200"/>
        <w:rPr>
          <w:color w:val="000000"/>
          <w:szCs w:val="21"/>
        </w:rPr>
      </w:pPr>
      <w:r>
        <w:rPr>
          <w:b/>
          <w:color w:val="000000"/>
          <w:szCs w:val="21"/>
        </w:rPr>
        <w:t>1</w:t>
      </w:r>
      <w:r>
        <w:rPr>
          <w:color w:val="000000"/>
          <w:szCs w:val="21"/>
        </w:rPr>
        <w:t xml:space="preserve">  开关、插座的安装和接线应符合设计要求和</w:t>
      </w:r>
      <w:r>
        <w:rPr>
          <w:rFonts w:hint="eastAsia"/>
          <w:color w:val="000000"/>
          <w:szCs w:val="21"/>
          <w:lang w:val="en-US" w:eastAsia="zh-CN"/>
        </w:rPr>
        <w:t>现行国家标准</w:t>
      </w:r>
      <w:r>
        <w:rPr>
          <w:color w:val="000000"/>
          <w:szCs w:val="21"/>
        </w:rPr>
        <w:t>《建筑电气工程施工质量验收</w:t>
      </w:r>
      <w:r>
        <w:rPr>
          <w:rFonts w:hint="eastAsia"/>
          <w:color w:val="000000"/>
          <w:szCs w:val="21"/>
        </w:rPr>
        <w:t>规范</w:t>
      </w:r>
      <w:r>
        <w:rPr>
          <w:color w:val="000000"/>
          <w:szCs w:val="21"/>
        </w:rPr>
        <w:t>》GB 50303</w:t>
      </w:r>
      <w:r>
        <w:rPr>
          <w:rFonts w:hint="eastAsia"/>
          <w:color w:val="000000"/>
          <w:szCs w:val="21"/>
        </w:rPr>
        <w:t>的相关</w:t>
      </w:r>
      <w:r>
        <w:rPr>
          <w:color w:val="000000"/>
          <w:szCs w:val="21"/>
        </w:rPr>
        <w:t>规定，导线连接应牢固可靠，绝缘包缠材料应阻燃；</w:t>
      </w:r>
    </w:p>
    <w:p w14:paraId="2C8529EC">
      <w:pPr>
        <w:spacing w:line="400" w:lineRule="exact"/>
        <w:ind w:firstLine="422" w:firstLineChars="200"/>
        <w:rPr>
          <w:color w:val="000000"/>
          <w:szCs w:val="21"/>
        </w:rPr>
      </w:pPr>
      <w:r>
        <w:rPr>
          <w:b/>
          <w:bCs/>
          <w:color w:val="000000"/>
          <w:szCs w:val="21"/>
        </w:rPr>
        <w:t>2</w:t>
      </w:r>
      <w:r>
        <w:rPr>
          <w:color w:val="000000"/>
          <w:szCs w:val="21"/>
        </w:rPr>
        <w:t xml:space="preserve">  接线盒内相线色应与配电系统相色一致，单联开关回火线宜为白色，多联开关回火线宜分色加以区别，相线</w:t>
      </w:r>
      <w:r>
        <w:rPr>
          <w:rFonts w:hint="eastAsia"/>
          <w:color w:val="000000"/>
          <w:szCs w:val="21"/>
        </w:rPr>
        <w:t>及</w:t>
      </w:r>
      <w:r>
        <w:rPr>
          <w:rFonts w:hint="eastAsia" w:ascii="宋体" w:hAnsi="宋体"/>
          <w:color w:val="000000"/>
          <w:szCs w:val="21"/>
        </w:rPr>
        <w:t>保护接地导体(PE线)</w:t>
      </w:r>
      <w:r>
        <w:rPr>
          <w:color w:val="000000"/>
          <w:szCs w:val="21"/>
        </w:rPr>
        <w:t>不应串接；</w:t>
      </w:r>
    </w:p>
    <w:p w14:paraId="5C824878">
      <w:pPr>
        <w:spacing w:line="400" w:lineRule="exact"/>
        <w:ind w:firstLine="422" w:firstLineChars="200"/>
        <w:rPr>
          <w:color w:val="000000"/>
          <w:szCs w:val="21"/>
        </w:rPr>
      </w:pPr>
      <w:r>
        <w:rPr>
          <w:b/>
          <w:color w:val="000000"/>
          <w:szCs w:val="21"/>
        </w:rPr>
        <w:t>3</w:t>
      </w:r>
      <w:r>
        <w:rPr>
          <w:color w:val="000000"/>
          <w:szCs w:val="21"/>
        </w:rPr>
        <w:t xml:space="preserve">  同一房间的开关、插座底部高度距地面高度差不宜大于5 mm</w:t>
      </w:r>
      <w:r>
        <w:rPr>
          <w:rFonts w:hint="eastAsia"/>
          <w:color w:val="000000"/>
          <w:szCs w:val="21"/>
        </w:rPr>
        <w:t>，</w:t>
      </w:r>
      <w:r>
        <w:rPr>
          <w:color w:val="000000"/>
          <w:szCs w:val="21"/>
        </w:rPr>
        <w:t>成排靠近安装时，最大偏差值应不大于1 mm，间距宜一致；</w:t>
      </w:r>
    </w:p>
    <w:p w14:paraId="3053D41F">
      <w:pPr>
        <w:spacing w:line="400" w:lineRule="exact"/>
        <w:ind w:firstLine="422" w:firstLineChars="200"/>
        <w:rPr>
          <w:color w:val="000000"/>
          <w:szCs w:val="21"/>
        </w:rPr>
      </w:pPr>
      <w:r>
        <w:rPr>
          <w:b/>
          <w:color w:val="000000"/>
          <w:szCs w:val="21"/>
        </w:rPr>
        <w:t>4</w:t>
      </w:r>
      <w:r>
        <w:rPr>
          <w:color w:val="000000"/>
          <w:szCs w:val="21"/>
        </w:rPr>
        <w:t xml:space="preserve">  开关、插座面板应安装垂直、平整、牢固，紧贴墙面，周边无缝隙。面板表面应光滑、清洁、部件完整、装饰帽齐全。不应有污染、碎裂、划伤；</w:t>
      </w:r>
    </w:p>
    <w:p w14:paraId="5C033EC8">
      <w:pPr>
        <w:spacing w:line="400" w:lineRule="exact"/>
        <w:ind w:firstLine="422" w:firstLineChars="200"/>
        <w:rPr>
          <w:color w:val="000000"/>
          <w:szCs w:val="21"/>
          <w:lang w:val="zh-CN"/>
        </w:rPr>
      </w:pPr>
      <w:r>
        <w:rPr>
          <w:b/>
          <w:color w:val="000000"/>
          <w:szCs w:val="21"/>
        </w:rPr>
        <w:t>5</w:t>
      </w:r>
      <w:r>
        <w:rPr>
          <w:color w:val="000000"/>
          <w:szCs w:val="21"/>
        </w:rPr>
        <w:t xml:space="preserve">  淋浴间、游泳池和类似场所的开关、插座的安装位置和安全防护措施，应符合设计要求；</w:t>
      </w:r>
    </w:p>
    <w:p w14:paraId="366CE638">
      <w:pPr>
        <w:spacing w:line="400" w:lineRule="exact"/>
        <w:ind w:firstLine="422" w:firstLineChars="200"/>
        <w:rPr>
          <w:color w:val="000000"/>
          <w:szCs w:val="21"/>
        </w:rPr>
      </w:pPr>
      <w:r>
        <w:rPr>
          <w:b/>
          <w:color w:val="000000"/>
          <w:szCs w:val="21"/>
        </w:rPr>
        <w:t xml:space="preserve">6  </w:t>
      </w:r>
      <w:r>
        <w:rPr>
          <w:color w:val="000000"/>
          <w:szCs w:val="21"/>
        </w:rPr>
        <w:t>室内潮湿场所插座应采用防溅型插座，安装高度不应低于1.5 m。室外露天场所应采用专用防水开关和插座；</w:t>
      </w:r>
    </w:p>
    <w:p w14:paraId="715BAD7E">
      <w:pPr>
        <w:spacing w:line="400" w:lineRule="exact"/>
        <w:ind w:firstLine="422" w:firstLineChars="200"/>
        <w:rPr>
          <w:color w:val="000000"/>
          <w:szCs w:val="21"/>
          <w:u w:val="single"/>
        </w:rPr>
      </w:pPr>
      <w:r>
        <w:rPr>
          <w:b/>
          <w:color w:val="000000"/>
          <w:szCs w:val="21"/>
        </w:rPr>
        <w:t xml:space="preserve">7  </w:t>
      </w:r>
      <w:r>
        <w:rPr>
          <w:color w:val="000000"/>
          <w:szCs w:val="21"/>
        </w:rPr>
        <w:t xml:space="preserve">开关、插座等电气器具安装在可燃装饰材料上时，应采取防火措施。 </w:t>
      </w:r>
    </w:p>
    <w:p w14:paraId="79371D65">
      <w:pPr>
        <w:spacing w:line="400" w:lineRule="exact"/>
        <w:rPr>
          <w:color w:val="000000"/>
          <w:szCs w:val="21"/>
        </w:rPr>
      </w:pPr>
      <w:r>
        <w:rPr>
          <w:b/>
          <w:color w:val="000000"/>
          <w:szCs w:val="21"/>
        </w:rPr>
        <w:t>8.2.18</w:t>
      </w:r>
      <w:r>
        <w:rPr>
          <w:color w:val="000000"/>
          <w:szCs w:val="21"/>
        </w:rPr>
        <w:t xml:space="preserve">  冷冻机房、新风机房、水泵房、柴油机房等建筑设备机房，主要检查机房内建筑设备的电源及控制线路敷设及电气设备的安装，安装质量应符合本标准第8.2.2～8.2.11条的相关规定。机房明配管线及槽盒敷设不应半明半暗，墙上安装的开关和插座应平整，其周边不应外露隔音材料。 </w:t>
      </w:r>
    </w:p>
    <w:p w14:paraId="098F923A">
      <w:pPr>
        <w:spacing w:line="400" w:lineRule="exact"/>
        <w:rPr>
          <w:color w:val="000000"/>
          <w:szCs w:val="21"/>
        </w:rPr>
      </w:pPr>
      <w:r>
        <w:rPr>
          <w:b/>
          <w:color w:val="000000"/>
          <w:szCs w:val="21"/>
        </w:rPr>
        <w:t>8.2.19</w:t>
      </w:r>
      <w:r>
        <w:rPr>
          <w:color w:val="000000"/>
          <w:szCs w:val="21"/>
        </w:rPr>
        <w:t xml:space="preserve">  应急照明电源柜（EPS）的型号、规格应符合设计要求，安装应符合本标准第8.2.2条的规定。应急照明电源柜体及基础槽钢应接地可靠。</w:t>
      </w:r>
    </w:p>
    <w:p w14:paraId="515984B3">
      <w:pPr>
        <w:spacing w:line="400" w:lineRule="exact"/>
        <w:rPr>
          <w:color w:val="000000"/>
          <w:szCs w:val="21"/>
        </w:rPr>
      </w:pPr>
      <w:r>
        <w:rPr>
          <w:b/>
          <w:color w:val="000000"/>
          <w:szCs w:val="21"/>
        </w:rPr>
        <w:t>8.2.20</w:t>
      </w:r>
      <w:r>
        <w:rPr>
          <w:color w:val="000000"/>
          <w:szCs w:val="21"/>
        </w:rPr>
        <w:t xml:space="preserve">  柴油发电机组安装主要检查电气安装部分，应符合以下要求：</w:t>
      </w:r>
    </w:p>
    <w:p w14:paraId="6AFFC4D8">
      <w:pPr>
        <w:spacing w:line="400" w:lineRule="exact"/>
        <w:ind w:firstLine="422" w:firstLineChars="200"/>
        <w:rPr>
          <w:color w:val="000000"/>
          <w:szCs w:val="21"/>
        </w:rPr>
      </w:pPr>
      <w:r>
        <w:rPr>
          <w:b/>
          <w:color w:val="000000"/>
          <w:szCs w:val="21"/>
        </w:rPr>
        <w:t xml:space="preserve">1  </w:t>
      </w:r>
      <w:r>
        <w:rPr>
          <w:color w:val="000000"/>
          <w:szCs w:val="21"/>
        </w:rPr>
        <w:t>配电柜的安装，电缆的布线和接线，应符合本标准第8.2.2～8.2.11条的相关规定；</w:t>
      </w:r>
    </w:p>
    <w:p w14:paraId="18F92DF2">
      <w:pPr>
        <w:spacing w:line="400" w:lineRule="exact"/>
        <w:ind w:firstLine="422" w:firstLineChars="200"/>
        <w:rPr>
          <w:color w:val="000000"/>
          <w:szCs w:val="21"/>
        </w:rPr>
      </w:pPr>
      <w:r>
        <w:rPr>
          <w:b/>
          <w:color w:val="000000"/>
          <w:szCs w:val="21"/>
        </w:rPr>
        <w:t xml:space="preserve">2  </w:t>
      </w:r>
      <w:r>
        <w:rPr>
          <w:rFonts w:hint="eastAsia"/>
          <w:color w:val="000000"/>
          <w:szCs w:val="21"/>
        </w:rPr>
        <w:t>发电机</w:t>
      </w:r>
      <w:r>
        <w:rPr>
          <w:color w:val="000000"/>
          <w:szCs w:val="21"/>
        </w:rPr>
        <w:t>输出馈电线路的相序必须与原供电系统的相序一致；</w:t>
      </w:r>
    </w:p>
    <w:p w14:paraId="6E5EF877">
      <w:pPr>
        <w:spacing w:line="400" w:lineRule="exact"/>
        <w:ind w:firstLine="422" w:firstLineChars="200"/>
        <w:rPr>
          <w:color w:val="000000"/>
          <w:szCs w:val="21"/>
        </w:rPr>
      </w:pPr>
      <w:r>
        <w:rPr>
          <w:b/>
          <w:color w:val="000000"/>
          <w:szCs w:val="21"/>
        </w:rPr>
        <w:t>3</w:t>
      </w:r>
      <w:r>
        <w:rPr>
          <w:color w:val="000000"/>
          <w:szCs w:val="21"/>
        </w:rPr>
        <w:t xml:space="preserve">  发电机中性点接地连接形式及接地电阻值</w:t>
      </w:r>
      <w:r>
        <w:rPr>
          <w:rFonts w:hint="eastAsia"/>
          <w:color w:val="000000"/>
          <w:szCs w:val="21"/>
        </w:rPr>
        <w:t>必须</w:t>
      </w:r>
      <w:r>
        <w:rPr>
          <w:color w:val="000000"/>
          <w:szCs w:val="21"/>
        </w:rPr>
        <w:t>符合设计要求，接地螺栓、防松零件应齐全，</w:t>
      </w:r>
      <w:r>
        <w:rPr>
          <w:rFonts w:hint="eastAsia" w:ascii="宋体" w:hAnsi="宋体"/>
          <w:color w:val="000000"/>
          <w:szCs w:val="21"/>
        </w:rPr>
        <w:t>当多台机组并联运行时，每台机组的中性点均应经刀开关或接触器接地</w:t>
      </w:r>
      <w:r>
        <w:rPr>
          <w:rFonts w:hint="eastAsia"/>
          <w:color w:val="000000"/>
          <w:szCs w:val="21"/>
        </w:rPr>
        <w:t>，</w:t>
      </w:r>
      <w:r>
        <w:rPr>
          <w:color w:val="000000"/>
          <w:kern w:val="21"/>
          <w:szCs w:val="21"/>
        </w:rPr>
        <w:t>并应有标识；</w:t>
      </w:r>
    </w:p>
    <w:p w14:paraId="183A56F1">
      <w:pPr>
        <w:spacing w:line="400" w:lineRule="exact"/>
        <w:ind w:firstLine="422" w:firstLineChars="200"/>
        <w:rPr>
          <w:color w:val="000000"/>
          <w:szCs w:val="21"/>
        </w:rPr>
      </w:pPr>
      <w:r>
        <w:rPr>
          <w:b/>
          <w:color w:val="000000"/>
          <w:szCs w:val="21"/>
        </w:rPr>
        <w:t>4</w:t>
      </w:r>
      <w:r>
        <w:rPr>
          <w:color w:val="000000"/>
          <w:szCs w:val="21"/>
        </w:rPr>
        <w:t xml:space="preserve">  发电机金属外壳、金属导轨及配电柜金属外壳应保护接地可靠,供油回路油管应做防静电接地；</w:t>
      </w:r>
    </w:p>
    <w:p w14:paraId="14B1C2AC">
      <w:pPr>
        <w:spacing w:line="400" w:lineRule="exact"/>
        <w:ind w:firstLine="422" w:firstLineChars="200"/>
        <w:rPr>
          <w:color w:val="000000"/>
          <w:szCs w:val="21"/>
        </w:rPr>
      </w:pPr>
      <w:r>
        <w:rPr>
          <w:b/>
          <w:color w:val="000000"/>
          <w:szCs w:val="21"/>
        </w:rPr>
        <w:t>5</w:t>
      </w:r>
      <w:r>
        <w:rPr>
          <w:color w:val="000000"/>
          <w:szCs w:val="21"/>
        </w:rPr>
        <w:t xml:space="preserve">  发电机房应消防措施齐全、清洁整齐、无杂物。</w:t>
      </w:r>
    </w:p>
    <w:p w14:paraId="3C767B64">
      <w:pPr>
        <w:spacing w:line="400" w:lineRule="exact"/>
        <w:rPr>
          <w:color w:val="000000"/>
          <w:szCs w:val="21"/>
        </w:rPr>
      </w:pPr>
      <w:r>
        <w:rPr>
          <w:b/>
          <w:color w:val="000000"/>
          <w:szCs w:val="21"/>
        </w:rPr>
        <w:t xml:space="preserve">8.2.21 </w:t>
      </w:r>
      <w:r>
        <w:rPr>
          <w:color w:val="000000"/>
          <w:szCs w:val="21"/>
        </w:rPr>
        <w:t xml:space="preserve"> 建筑物防雷施工应符合以下要求：</w:t>
      </w:r>
    </w:p>
    <w:p w14:paraId="7173A5CC">
      <w:pPr>
        <w:spacing w:line="400" w:lineRule="exact"/>
        <w:ind w:firstLine="422" w:firstLineChars="200"/>
        <w:rPr>
          <w:color w:val="000000"/>
          <w:szCs w:val="21"/>
        </w:rPr>
      </w:pPr>
      <w:r>
        <w:rPr>
          <w:b/>
          <w:color w:val="000000"/>
          <w:szCs w:val="21"/>
        </w:rPr>
        <w:t>1</w:t>
      </w:r>
      <w:r>
        <w:rPr>
          <w:color w:val="000000"/>
          <w:szCs w:val="21"/>
        </w:rPr>
        <w:t xml:space="preserve">  建筑物顶部和外墙上的接闪器安装应符合设计要求。接闪器必须与建筑物栏杆、旗杆、保洁吊车轨道、管道、设备底座、太阳能热水器支架、门窗、幕墙支架等所有外露的金属物进行等电位连接。屋面接闪器保护之外的非金属物体应安装接闪器。屋角不易覆盖处宜安装短接闪杆；</w:t>
      </w:r>
    </w:p>
    <w:p w14:paraId="5DFD1724">
      <w:pPr>
        <w:spacing w:line="400" w:lineRule="exact"/>
        <w:ind w:firstLine="422" w:firstLineChars="200"/>
        <w:rPr>
          <w:color w:val="000000"/>
          <w:szCs w:val="21"/>
        </w:rPr>
      </w:pPr>
      <w:r>
        <w:rPr>
          <w:b/>
          <w:color w:val="000000"/>
          <w:szCs w:val="21"/>
        </w:rPr>
        <w:t>2</w:t>
      </w:r>
      <w:r>
        <w:rPr>
          <w:color w:val="000000"/>
          <w:szCs w:val="21"/>
        </w:rPr>
        <w:t xml:space="preserve">  明敷</w:t>
      </w:r>
      <w:r>
        <w:rPr>
          <w:bCs/>
          <w:color w:val="000000"/>
          <w:szCs w:val="21"/>
        </w:rPr>
        <w:t>防雷网</w:t>
      </w:r>
      <w:r>
        <w:rPr>
          <w:color w:val="000000"/>
          <w:szCs w:val="21"/>
        </w:rPr>
        <w:t>应安装顺直、固定牢固。焊接长度应不小于圆钢直径的6倍，双面焊接，焊缝应饱满、光滑清洁，做好防腐处理。直线段固定支架间距宜不大于1 m，拐弯处宜不大于0.30 m；</w:t>
      </w:r>
    </w:p>
    <w:p w14:paraId="38B891E6">
      <w:pPr>
        <w:spacing w:line="400" w:lineRule="exact"/>
        <w:ind w:firstLine="422" w:firstLineChars="200"/>
        <w:rPr>
          <w:color w:val="000000"/>
          <w:szCs w:val="21"/>
        </w:rPr>
      </w:pPr>
      <w:r>
        <w:rPr>
          <w:b/>
          <w:color w:val="000000"/>
          <w:szCs w:val="21"/>
        </w:rPr>
        <w:t>3</w:t>
      </w:r>
      <w:r>
        <w:rPr>
          <w:color w:val="000000"/>
          <w:szCs w:val="21"/>
        </w:rPr>
        <w:t xml:space="preserve">  防雷网主材及配件热浸镀锌层应完整、无污染、无锈蚀、观感质量好。防雷网上不应附着任何其</w:t>
      </w:r>
      <w:r>
        <w:rPr>
          <w:rFonts w:hint="eastAsia"/>
          <w:color w:val="000000"/>
          <w:szCs w:val="21"/>
        </w:rPr>
        <w:t>他</w:t>
      </w:r>
      <w:r>
        <w:rPr>
          <w:color w:val="000000"/>
          <w:szCs w:val="21"/>
        </w:rPr>
        <w:t>线路；</w:t>
      </w:r>
    </w:p>
    <w:p w14:paraId="69EE4986">
      <w:pPr>
        <w:spacing w:line="400" w:lineRule="exact"/>
        <w:ind w:firstLine="422" w:firstLineChars="200"/>
        <w:rPr>
          <w:color w:val="000000"/>
          <w:szCs w:val="21"/>
        </w:rPr>
      </w:pPr>
      <w:r>
        <w:rPr>
          <w:b/>
          <w:color w:val="000000"/>
          <w:szCs w:val="21"/>
        </w:rPr>
        <w:t>4</w:t>
      </w:r>
      <w:r>
        <w:rPr>
          <w:color w:val="000000"/>
          <w:szCs w:val="21"/>
        </w:rPr>
        <w:t xml:space="preserve">  当设计利用金属屋面</w:t>
      </w:r>
      <w:r>
        <w:rPr>
          <w:rFonts w:hint="eastAsia"/>
          <w:color w:val="000000"/>
          <w:szCs w:val="21"/>
        </w:rPr>
        <w:t>做</w:t>
      </w:r>
      <w:r>
        <w:rPr>
          <w:color w:val="000000"/>
          <w:szCs w:val="21"/>
        </w:rPr>
        <w:t>接闪器时，金属屋面板之间的连接在电气上应具有持久的贯通连接，板的材质和板的搭接长度应</w:t>
      </w:r>
      <w:r>
        <w:rPr>
          <w:rFonts w:hint="eastAsia"/>
          <w:color w:val="000000"/>
          <w:szCs w:val="21"/>
        </w:rPr>
        <w:t>符合</w:t>
      </w:r>
      <w:r>
        <w:rPr>
          <w:color w:val="000000"/>
          <w:szCs w:val="21"/>
        </w:rPr>
        <w:t>设计要求；</w:t>
      </w:r>
    </w:p>
    <w:p w14:paraId="35E48563">
      <w:pPr>
        <w:spacing w:line="400" w:lineRule="exact"/>
        <w:ind w:firstLine="422" w:firstLineChars="200"/>
        <w:rPr>
          <w:color w:val="000000"/>
          <w:szCs w:val="21"/>
        </w:rPr>
      </w:pPr>
      <w:r>
        <w:rPr>
          <w:b/>
          <w:color w:val="000000"/>
          <w:szCs w:val="21"/>
        </w:rPr>
        <w:t>5</w:t>
      </w:r>
      <w:r>
        <w:rPr>
          <w:color w:val="000000"/>
          <w:szCs w:val="21"/>
        </w:rPr>
        <w:t xml:space="preserve">  当设计利用旗杆、栏杆、铁塔</w:t>
      </w:r>
      <w:r>
        <w:rPr>
          <w:rFonts w:hint="eastAsia"/>
          <w:color w:val="000000"/>
          <w:szCs w:val="21"/>
        </w:rPr>
        <w:t>、</w:t>
      </w:r>
      <w:r>
        <w:rPr>
          <w:color w:val="000000"/>
          <w:szCs w:val="21"/>
        </w:rPr>
        <w:t>冷却塔等金属物做接闪器时，其材料、规格及安装应符合设计要求，栏杆拐弯处应加工成圆弧状，弯曲不小于90º。引下线应与用作接闪器的金属物直接焊接；</w:t>
      </w:r>
    </w:p>
    <w:p w14:paraId="284C0CB9">
      <w:pPr>
        <w:spacing w:line="400" w:lineRule="exact"/>
        <w:ind w:firstLine="422" w:firstLineChars="200"/>
        <w:rPr>
          <w:color w:val="000000"/>
          <w:szCs w:val="21"/>
        </w:rPr>
      </w:pPr>
      <w:r>
        <w:rPr>
          <w:b/>
          <w:color w:val="000000"/>
          <w:szCs w:val="21"/>
        </w:rPr>
        <w:t>6</w:t>
      </w:r>
      <w:r>
        <w:rPr>
          <w:color w:val="000000"/>
          <w:szCs w:val="21"/>
        </w:rPr>
        <w:t xml:space="preserve">  </w:t>
      </w:r>
      <w:r>
        <w:rPr>
          <w:color w:val="000000"/>
          <w:szCs w:val="21"/>
          <w:lang w:val="zh-CN"/>
        </w:rPr>
        <w:t>设计利用建筑物结构金属物做引下线时，金属构件之间电气应贯通。除设计要求外，兼做引下线的承力钢结构构件、混凝土梁、柱内钢筋与钢筋的连接，应采用土建施工的绑扎法或螺栓扣的机械连接，严禁热加工连接</w:t>
      </w:r>
      <w:r>
        <w:rPr>
          <w:color w:val="000000"/>
          <w:szCs w:val="21"/>
        </w:rPr>
        <w:t>；</w:t>
      </w:r>
    </w:p>
    <w:p w14:paraId="03DC9BCD">
      <w:pPr>
        <w:spacing w:line="400" w:lineRule="exact"/>
        <w:ind w:firstLine="422" w:firstLineChars="200"/>
        <w:rPr>
          <w:color w:val="000000"/>
          <w:szCs w:val="21"/>
        </w:rPr>
      </w:pPr>
      <w:r>
        <w:rPr>
          <w:b/>
          <w:color w:val="000000"/>
          <w:szCs w:val="21"/>
        </w:rPr>
        <w:t>7</w:t>
      </w:r>
      <w:r>
        <w:rPr>
          <w:color w:val="000000"/>
          <w:szCs w:val="21"/>
        </w:rPr>
        <w:t xml:space="preserve">  当引下线沿建筑物外明敷设在人员可停留或经过的区域时，应按设计要求采取防止接触电压和旁侧闪络电压对人员伤害的措施；</w:t>
      </w:r>
    </w:p>
    <w:p w14:paraId="2EEDA04D">
      <w:pPr>
        <w:spacing w:line="400" w:lineRule="exact"/>
        <w:ind w:firstLine="422" w:firstLineChars="200"/>
        <w:rPr>
          <w:color w:val="000000"/>
          <w:szCs w:val="21"/>
        </w:rPr>
      </w:pPr>
      <w:r>
        <w:rPr>
          <w:b/>
          <w:color w:val="000000"/>
          <w:szCs w:val="21"/>
        </w:rPr>
        <w:t>8</w:t>
      </w:r>
      <w:r>
        <w:rPr>
          <w:color w:val="000000"/>
          <w:szCs w:val="21"/>
        </w:rPr>
        <w:t xml:space="preserve">  引下线安装与易燃材料的墙壁或墙体保温层的间距，应大于0.1 m；</w:t>
      </w:r>
    </w:p>
    <w:p w14:paraId="6516CD28">
      <w:pPr>
        <w:spacing w:line="400" w:lineRule="exact"/>
        <w:ind w:firstLine="422" w:firstLineChars="200"/>
        <w:rPr>
          <w:color w:val="000000"/>
          <w:szCs w:val="21"/>
        </w:rPr>
      </w:pPr>
      <w:r>
        <w:rPr>
          <w:b/>
          <w:color w:val="000000"/>
          <w:szCs w:val="21"/>
        </w:rPr>
        <w:t>9</w:t>
      </w:r>
      <w:r>
        <w:rPr>
          <w:color w:val="000000"/>
          <w:szCs w:val="21"/>
        </w:rPr>
        <w:t xml:space="preserve">  防雷测试点的位置、做法应符合设计要求，并应有防、排水措施。</w:t>
      </w:r>
      <w:r>
        <w:rPr>
          <w:rFonts w:hint="eastAsia"/>
          <w:color w:val="000000"/>
          <w:szCs w:val="21"/>
        </w:rPr>
        <w:t>防雷接地电阻测试端子（点）</w:t>
      </w:r>
      <w:r>
        <w:rPr>
          <w:color w:val="000000"/>
          <w:szCs w:val="21"/>
        </w:rPr>
        <w:t>的附件应安装齐全；</w:t>
      </w:r>
    </w:p>
    <w:p w14:paraId="79955179">
      <w:pPr>
        <w:spacing w:line="400" w:lineRule="exact"/>
        <w:ind w:firstLine="422" w:firstLineChars="200"/>
        <w:rPr>
          <w:color w:val="000000"/>
          <w:szCs w:val="21"/>
        </w:rPr>
      </w:pPr>
      <w:r>
        <w:rPr>
          <w:b/>
          <w:color w:val="000000"/>
          <w:szCs w:val="21"/>
          <w:lang w:val="zh-CN"/>
        </w:rPr>
        <w:t>10</w:t>
      </w:r>
      <w:r>
        <w:rPr>
          <w:color w:val="000000"/>
          <w:szCs w:val="21"/>
          <w:lang w:val="zh-CN"/>
        </w:rPr>
        <w:t xml:space="preserve"> </w:t>
      </w:r>
      <w:r>
        <w:rPr>
          <w:color w:val="000000"/>
          <w:szCs w:val="21"/>
        </w:rPr>
        <w:t xml:space="preserve"> 接地装置的施工应符合设计要求。接地体的连接应采用焊接，并宜采用放热焊接。采用通用焊接方法时，其搭接长度、焊接质量、防腐处理等，应符合</w:t>
      </w:r>
      <w:r>
        <w:rPr>
          <w:rFonts w:hint="eastAsia"/>
          <w:color w:val="000000"/>
          <w:szCs w:val="21"/>
          <w:lang w:val="en-US" w:eastAsia="zh-CN"/>
        </w:rPr>
        <w:t>现行地方标准</w:t>
      </w:r>
      <w:r>
        <w:rPr>
          <w:rFonts w:hint="eastAsia"/>
          <w:color w:val="000000"/>
          <w:szCs w:val="21"/>
        </w:rPr>
        <w:t>《建筑工程施工工艺规程 第17部分：电气动力安装工程》DB11/</w:t>
      </w:r>
      <w:r>
        <w:rPr>
          <w:color w:val="000000"/>
          <w:szCs w:val="21"/>
        </w:rPr>
        <w:t xml:space="preserve"> </w:t>
      </w:r>
      <w:r>
        <w:rPr>
          <w:rFonts w:hint="eastAsia"/>
          <w:color w:val="000000"/>
          <w:szCs w:val="21"/>
        </w:rPr>
        <w:t>T</w:t>
      </w:r>
      <w:r>
        <w:rPr>
          <w:rFonts w:hint="eastAsia"/>
          <w:color w:val="000000"/>
          <w:szCs w:val="21"/>
          <w:lang w:val="en-US" w:eastAsia="zh-CN"/>
        </w:rPr>
        <w:t xml:space="preserve"> </w:t>
      </w:r>
      <w:r>
        <w:rPr>
          <w:rFonts w:hint="eastAsia"/>
          <w:color w:val="000000"/>
          <w:szCs w:val="21"/>
        </w:rPr>
        <w:t>1832.17的相关</w:t>
      </w:r>
      <w:r>
        <w:rPr>
          <w:color w:val="000000"/>
          <w:szCs w:val="21"/>
        </w:rPr>
        <w:t>规定；</w:t>
      </w:r>
    </w:p>
    <w:p w14:paraId="3A2CFDCF">
      <w:pPr>
        <w:spacing w:line="400" w:lineRule="exact"/>
        <w:ind w:firstLine="422" w:firstLineChars="200"/>
        <w:rPr>
          <w:color w:val="000000"/>
          <w:szCs w:val="21"/>
        </w:rPr>
      </w:pPr>
      <w:r>
        <w:rPr>
          <w:b/>
          <w:color w:val="000000"/>
          <w:szCs w:val="21"/>
        </w:rPr>
        <w:t>11</w:t>
      </w:r>
      <w:r>
        <w:rPr>
          <w:color w:val="000000"/>
          <w:szCs w:val="21"/>
        </w:rPr>
        <w:t xml:space="preserve">  接地装置的施工应按设计和规范要求采取措施，防止跨步电压对人员的伤害；</w:t>
      </w:r>
    </w:p>
    <w:p w14:paraId="1EAA0D7D">
      <w:pPr>
        <w:spacing w:line="400" w:lineRule="exact"/>
        <w:ind w:firstLine="422" w:firstLineChars="200"/>
        <w:rPr>
          <w:color w:val="000000"/>
          <w:szCs w:val="21"/>
        </w:rPr>
      </w:pPr>
      <w:r>
        <w:rPr>
          <w:b/>
          <w:bCs/>
          <w:color w:val="000000"/>
          <w:szCs w:val="21"/>
        </w:rPr>
        <w:t>12</w:t>
      </w:r>
      <w:r>
        <w:rPr>
          <w:color w:val="000000"/>
          <w:szCs w:val="21"/>
        </w:rPr>
        <w:t xml:space="preserve">  外幕墙金属龙骨在电气上应形成通路。采用铜导线做电气通路连接的，其导线截面应不小于6 mm</w:t>
      </w:r>
      <w:r>
        <w:rPr>
          <w:color w:val="000000"/>
          <w:szCs w:val="21"/>
          <w:vertAlign w:val="superscript"/>
        </w:rPr>
        <w:t xml:space="preserve"> 2</w:t>
      </w:r>
      <w:r>
        <w:rPr>
          <w:color w:val="000000"/>
          <w:szCs w:val="21"/>
        </w:rPr>
        <w:t>。用铝板连接铝质龙骨时，截面应不小于16 mm</w:t>
      </w:r>
      <w:r>
        <w:rPr>
          <w:color w:val="000000"/>
          <w:szCs w:val="21"/>
          <w:vertAlign w:val="superscript"/>
        </w:rPr>
        <w:t xml:space="preserve"> 2</w:t>
      </w:r>
      <w:r>
        <w:rPr>
          <w:color w:val="000000"/>
          <w:szCs w:val="21"/>
        </w:rPr>
        <w:t>。不同材质相连接时，应防止产生电化学腐蚀；</w:t>
      </w:r>
    </w:p>
    <w:p w14:paraId="3EA5437B">
      <w:pPr>
        <w:spacing w:line="400" w:lineRule="exact"/>
        <w:ind w:firstLine="422" w:firstLineChars="200"/>
        <w:rPr>
          <w:color w:val="000000"/>
          <w:szCs w:val="21"/>
        </w:rPr>
      </w:pPr>
      <w:r>
        <w:rPr>
          <w:b/>
          <w:color w:val="000000"/>
          <w:szCs w:val="21"/>
        </w:rPr>
        <w:t>13</w:t>
      </w:r>
      <w:r>
        <w:rPr>
          <w:color w:val="000000"/>
          <w:szCs w:val="21"/>
        </w:rPr>
        <w:t xml:space="preserve">  外墙内外竖直敷设的金属管道及金属物，应与防雷装置做等电位连接；</w:t>
      </w:r>
    </w:p>
    <w:p w14:paraId="7120A2DB">
      <w:pPr>
        <w:spacing w:line="400" w:lineRule="exact"/>
        <w:ind w:firstLine="422" w:firstLineChars="200"/>
        <w:rPr>
          <w:color w:val="000000"/>
          <w:szCs w:val="21"/>
        </w:rPr>
      </w:pPr>
      <w:r>
        <w:rPr>
          <w:b/>
          <w:color w:val="000000"/>
          <w:szCs w:val="21"/>
        </w:rPr>
        <w:t>14</w:t>
      </w:r>
      <w:r>
        <w:rPr>
          <w:color w:val="000000"/>
          <w:szCs w:val="21"/>
        </w:rPr>
        <w:t xml:space="preserve">  屋面电气设备的电源配管，应采用壁厚大于2㎜的钢管，在电源端应与配电箱、柜内的保护接地（PE）端子板可靠连接，在设备端应与设备金属外壳作等电位可靠连接，并应与防雷接闪器可靠连接；</w:t>
      </w:r>
    </w:p>
    <w:p w14:paraId="3FB815B3">
      <w:pPr>
        <w:spacing w:line="400" w:lineRule="exact"/>
        <w:ind w:firstLine="422" w:firstLineChars="200"/>
        <w:rPr>
          <w:color w:val="000000"/>
          <w:szCs w:val="21"/>
          <w:lang w:val="zh-CN"/>
        </w:rPr>
      </w:pPr>
      <w:r>
        <w:rPr>
          <w:b/>
          <w:color w:val="000000"/>
          <w:szCs w:val="21"/>
        </w:rPr>
        <w:t>15</w:t>
      </w:r>
      <w:r>
        <w:rPr>
          <w:color w:val="000000"/>
          <w:szCs w:val="21"/>
        </w:rPr>
        <w:t xml:space="preserve">  在通信塔或其</w:t>
      </w:r>
      <w:r>
        <w:rPr>
          <w:rFonts w:hint="eastAsia"/>
          <w:color w:val="000000"/>
          <w:szCs w:val="21"/>
        </w:rPr>
        <w:t>他</w:t>
      </w:r>
      <w:r>
        <w:rPr>
          <w:color w:val="000000"/>
          <w:szCs w:val="21"/>
        </w:rPr>
        <w:t>装有防雷装置的金属构架上敷设电源线路时，应注意防雷的要求，电源线路必须采用带金属护层的电缆或穿金属钢管，且直埋于土壤中的长度不少于10 m，金属护套或金属钢管必须按设计要求可靠接地。</w:t>
      </w:r>
    </w:p>
    <w:p w14:paraId="12B54B8D">
      <w:pPr>
        <w:spacing w:line="400" w:lineRule="exact"/>
        <w:rPr>
          <w:color w:val="000000"/>
          <w:szCs w:val="21"/>
        </w:rPr>
      </w:pPr>
      <w:r>
        <w:rPr>
          <w:b/>
          <w:color w:val="000000"/>
          <w:szCs w:val="21"/>
        </w:rPr>
        <w:t>8.2.22</w:t>
      </w:r>
      <w:r>
        <w:rPr>
          <w:color w:val="000000"/>
          <w:szCs w:val="21"/>
        </w:rPr>
        <w:t xml:space="preserve">  接地干线安装、电气设备接地的施工应符合以下要求： </w:t>
      </w:r>
    </w:p>
    <w:p w14:paraId="5A428E42">
      <w:pPr>
        <w:spacing w:line="400" w:lineRule="exact"/>
        <w:ind w:firstLine="422" w:firstLineChars="200"/>
        <w:rPr>
          <w:color w:val="000000"/>
          <w:szCs w:val="21"/>
        </w:rPr>
      </w:pPr>
      <w:r>
        <w:rPr>
          <w:b/>
          <w:color w:val="000000"/>
          <w:szCs w:val="21"/>
        </w:rPr>
        <w:t>1</w:t>
      </w:r>
      <w:r>
        <w:rPr>
          <w:color w:val="000000"/>
          <w:szCs w:val="21"/>
        </w:rPr>
        <w:t xml:space="preserve">  接地干线的型号、规格及安装方式应符合设计要求。接地干线穿墙、板时，应加套管，金属套管应接地可靠；</w:t>
      </w:r>
    </w:p>
    <w:p w14:paraId="2D5CCA08">
      <w:pPr>
        <w:spacing w:line="400" w:lineRule="exact"/>
        <w:ind w:firstLine="422" w:firstLineChars="200"/>
        <w:rPr>
          <w:color w:val="000000"/>
          <w:szCs w:val="21"/>
        </w:rPr>
      </w:pPr>
      <w:r>
        <w:rPr>
          <w:b/>
          <w:color w:val="000000"/>
          <w:szCs w:val="21"/>
        </w:rPr>
        <w:t>2</w:t>
      </w:r>
      <w:r>
        <w:rPr>
          <w:color w:val="000000"/>
          <w:szCs w:val="21"/>
        </w:rPr>
        <w:t xml:space="preserve">  接地干线应在不同的两点及以上与接地网相连接。自然接地体应在不同的两点及以上与接地干线或接地网相连接；</w:t>
      </w:r>
    </w:p>
    <w:p w14:paraId="39E23701">
      <w:pPr>
        <w:spacing w:line="400" w:lineRule="exact"/>
        <w:ind w:firstLine="422" w:firstLineChars="200"/>
        <w:rPr>
          <w:color w:val="000000"/>
          <w:szCs w:val="21"/>
        </w:rPr>
      </w:pPr>
      <w:r>
        <w:rPr>
          <w:b/>
          <w:color w:val="000000"/>
          <w:szCs w:val="21"/>
        </w:rPr>
        <w:t>3</w:t>
      </w:r>
      <w:r>
        <w:rPr>
          <w:color w:val="000000"/>
          <w:szCs w:val="21"/>
        </w:rPr>
        <w:t xml:space="preserve">  钢制接地干线应采用焊接方式连接，焊接长度、焊接质量及焊渣处理、防腐处理应符合</w:t>
      </w:r>
      <w:r>
        <w:rPr>
          <w:rFonts w:hint="eastAsia"/>
          <w:color w:val="000000"/>
          <w:szCs w:val="21"/>
          <w:lang w:val="en-US" w:eastAsia="zh-CN"/>
        </w:rPr>
        <w:t>现行地方标准</w:t>
      </w:r>
      <w:r>
        <w:rPr>
          <w:rFonts w:hint="eastAsia"/>
          <w:color w:val="000000"/>
          <w:szCs w:val="21"/>
        </w:rPr>
        <w:t>《建筑工程施工工艺规程 第17部分：电气动力安装工程》DB11/</w:t>
      </w:r>
      <w:r>
        <w:rPr>
          <w:color w:val="000000"/>
          <w:szCs w:val="21"/>
        </w:rPr>
        <w:t xml:space="preserve"> </w:t>
      </w:r>
      <w:r>
        <w:rPr>
          <w:rFonts w:hint="eastAsia"/>
          <w:color w:val="000000"/>
          <w:szCs w:val="21"/>
        </w:rPr>
        <w:t>T</w:t>
      </w:r>
      <w:r>
        <w:rPr>
          <w:rFonts w:hint="eastAsia"/>
          <w:color w:val="000000"/>
          <w:szCs w:val="21"/>
          <w:lang w:val="en-US" w:eastAsia="zh-CN"/>
        </w:rPr>
        <w:t xml:space="preserve"> </w:t>
      </w:r>
      <w:r>
        <w:rPr>
          <w:rFonts w:hint="eastAsia"/>
          <w:color w:val="000000"/>
          <w:szCs w:val="21"/>
        </w:rPr>
        <w:t>1832.17的相关</w:t>
      </w:r>
      <w:r>
        <w:rPr>
          <w:color w:val="000000"/>
          <w:szCs w:val="21"/>
        </w:rPr>
        <w:t>规定；</w:t>
      </w:r>
    </w:p>
    <w:p w14:paraId="69343A79">
      <w:pPr>
        <w:spacing w:line="400" w:lineRule="exact"/>
        <w:ind w:firstLine="422" w:firstLineChars="200"/>
        <w:rPr>
          <w:color w:val="000000"/>
          <w:szCs w:val="21"/>
          <w:lang w:val="zh-CN"/>
        </w:rPr>
      </w:pPr>
      <w:r>
        <w:rPr>
          <w:b/>
          <w:color w:val="000000"/>
          <w:szCs w:val="21"/>
        </w:rPr>
        <w:t xml:space="preserve">4  </w:t>
      </w:r>
      <w:r>
        <w:rPr>
          <w:color w:val="000000"/>
          <w:szCs w:val="21"/>
        </w:rPr>
        <w:t>铜与铜或铜与钢制接地干线的连接方法应按设计要求施工，可采用专用接地螺栓连接或热剂焊（放热焊接），焊接质量应符合工艺要求。螺栓连接时，应采用铜螺栓或母排镀锡处理，母排搭接处应紧密、牢固；</w:t>
      </w:r>
    </w:p>
    <w:p w14:paraId="0230F58C">
      <w:pPr>
        <w:spacing w:line="400" w:lineRule="exact"/>
        <w:ind w:firstLine="422" w:firstLineChars="200"/>
        <w:rPr>
          <w:color w:val="000000"/>
          <w:szCs w:val="21"/>
        </w:rPr>
      </w:pPr>
      <w:r>
        <w:rPr>
          <w:b/>
          <w:color w:val="000000"/>
          <w:szCs w:val="21"/>
        </w:rPr>
        <w:t xml:space="preserve">5 </w:t>
      </w:r>
      <w:r>
        <w:rPr>
          <w:color w:val="000000"/>
          <w:szCs w:val="21"/>
        </w:rPr>
        <w:t xml:space="preserve"> 明敷接地干线的敷设应平直，拐弯处应成弧形，并应固定牢固、无变形扭曲。沿建筑物墙壁水平安装时，距地面高度、墙壁间隙、固定间距、跨越构造缝处的补偿等，应符合</w:t>
      </w:r>
      <w:r>
        <w:rPr>
          <w:rFonts w:hint="eastAsia"/>
          <w:color w:val="000000"/>
          <w:szCs w:val="21"/>
        </w:rPr>
        <w:t>《建筑工程施工工艺规程 第17部分：电气动力安装工程》DB11/</w:t>
      </w:r>
      <w:r>
        <w:rPr>
          <w:color w:val="000000"/>
          <w:szCs w:val="21"/>
        </w:rPr>
        <w:t xml:space="preserve"> </w:t>
      </w:r>
      <w:r>
        <w:rPr>
          <w:rFonts w:hint="eastAsia"/>
          <w:color w:val="000000"/>
          <w:szCs w:val="21"/>
        </w:rPr>
        <w:t>T</w:t>
      </w:r>
      <w:r>
        <w:rPr>
          <w:rFonts w:hint="eastAsia"/>
          <w:color w:val="000000"/>
          <w:szCs w:val="21"/>
          <w:lang w:val="en-US" w:eastAsia="zh-CN"/>
        </w:rPr>
        <w:t xml:space="preserve"> </w:t>
      </w:r>
      <w:r>
        <w:rPr>
          <w:rFonts w:hint="eastAsia"/>
          <w:color w:val="000000"/>
          <w:szCs w:val="21"/>
        </w:rPr>
        <w:t>1832.17的相关</w:t>
      </w:r>
      <w:r>
        <w:rPr>
          <w:color w:val="000000"/>
          <w:szCs w:val="21"/>
        </w:rPr>
        <w:t xml:space="preserve">规定，表面应清洁、无污染；       </w:t>
      </w:r>
    </w:p>
    <w:p w14:paraId="501ADCF7">
      <w:pPr>
        <w:spacing w:line="400" w:lineRule="exact"/>
        <w:ind w:firstLine="422" w:firstLineChars="200"/>
        <w:rPr>
          <w:color w:val="000000"/>
          <w:szCs w:val="21"/>
        </w:rPr>
      </w:pPr>
      <w:r>
        <w:rPr>
          <w:b/>
          <w:color w:val="000000"/>
          <w:szCs w:val="21"/>
        </w:rPr>
        <w:t>6</w:t>
      </w:r>
      <w:r>
        <w:rPr>
          <w:color w:val="000000"/>
          <w:szCs w:val="21"/>
        </w:rPr>
        <w:t xml:space="preserve">  明敷接地干线应</w:t>
      </w:r>
      <w:r>
        <w:rPr>
          <w:rFonts w:hint="eastAsia"/>
          <w:color w:val="000000"/>
          <w:szCs w:val="21"/>
        </w:rPr>
        <w:t>有</w:t>
      </w:r>
      <w:r>
        <w:rPr>
          <w:color w:val="000000"/>
          <w:szCs w:val="21"/>
        </w:rPr>
        <w:t>黄绿相间标识，并应留有临时接地螺栓。当变配电室接地干线只敷设在电缆夹层时，应不少于两处引上至变配电室高压配电装置附近。高层竖井接地干线应不少于每20 m与结构钢筋连接；</w:t>
      </w:r>
    </w:p>
    <w:p w14:paraId="14E30C3F">
      <w:pPr>
        <w:spacing w:line="400" w:lineRule="exact"/>
        <w:ind w:firstLine="422" w:firstLineChars="200"/>
        <w:rPr>
          <w:color w:val="000000"/>
          <w:szCs w:val="21"/>
        </w:rPr>
      </w:pPr>
      <w:r>
        <w:rPr>
          <w:b/>
          <w:color w:val="000000"/>
          <w:szCs w:val="21"/>
        </w:rPr>
        <w:t xml:space="preserve">7 </w:t>
      </w:r>
      <w:r>
        <w:rPr>
          <w:color w:val="000000"/>
          <w:szCs w:val="21"/>
        </w:rPr>
        <w:t>设计要求必须接地的电气设备，接地不得有遗漏，且接地线的材质、截面、连接方法，应符合设计要求</w:t>
      </w:r>
      <w:r>
        <w:rPr>
          <w:rFonts w:hint="eastAsia"/>
          <w:color w:val="000000"/>
          <w:szCs w:val="21"/>
        </w:rPr>
        <w:t>；</w:t>
      </w:r>
    </w:p>
    <w:p w14:paraId="199F9D8D">
      <w:pPr>
        <w:spacing w:line="400" w:lineRule="exact"/>
        <w:ind w:firstLine="422" w:firstLineChars="200"/>
        <w:rPr>
          <w:color w:val="000000"/>
          <w:szCs w:val="21"/>
        </w:rPr>
      </w:pPr>
      <w:r>
        <w:rPr>
          <w:b/>
          <w:color w:val="000000"/>
          <w:szCs w:val="21"/>
        </w:rPr>
        <w:t xml:space="preserve">8 </w:t>
      </w:r>
      <w:r>
        <w:rPr>
          <w:color w:val="000000"/>
          <w:szCs w:val="21"/>
        </w:rPr>
        <w:t xml:space="preserve"> 电气设备必须单独与接地干线相连接，不得串联连接。</w:t>
      </w:r>
    </w:p>
    <w:p w14:paraId="48875A9F">
      <w:pPr>
        <w:spacing w:line="400" w:lineRule="exact"/>
        <w:rPr>
          <w:color w:val="000000"/>
          <w:szCs w:val="21"/>
        </w:rPr>
      </w:pPr>
      <w:r>
        <w:rPr>
          <w:b/>
          <w:color w:val="000000"/>
          <w:szCs w:val="21"/>
        </w:rPr>
        <w:t>8.2.23</w:t>
      </w:r>
      <w:r>
        <w:rPr>
          <w:color w:val="000000"/>
          <w:szCs w:val="21"/>
        </w:rPr>
        <w:t xml:space="preserve">  建筑物等电位的安装应符合以下要求：</w:t>
      </w:r>
    </w:p>
    <w:p w14:paraId="28CCC291">
      <w:pPr>
        <w:spacing w:line="400" w:lineRule="exact"/>
        <w:ind w:firstLine="422" w:firstLineChars="200"/>
        <w:rPr>
          <w:color w:val="000000"/>
          <w:szCs w:val="21"/>
        </w:rPr>
      </w:pPr>
      <w:r>
        <w:rPr>
          <w:b/>
          <w:color w:val="000000"/>
          <w:szCs w:val="21"/>
        </w:rPr>
        <w:t>1</w:t>
      </w:r>
      <w:r>
        <w:rPr>
          <w:color w:val="000000"/>
          <w:szCs w:val="21"/>
        </w:rPr>
        <w:t xml:space="preserve">  建筑物的总等电位、局部等电位、辅助等电位的安装应符合设计要求；</w:t>
      </w:r>
    </w:p>
    <w:p w14:paraId="678CBA35">
      <w:pPr>
        <w:spacing w:line="400" w:lineRule="exact"/>
        <w:ind w:firstLine="422" w:firstLineChars="200"/>
        <w:rPr>
          <w:color w:val="000000"/>
          <w:szCs w:val="21"/>
        </w:rPr>
      </w:pPr>
      <w:r>
        <w:rPr>
          <w:b/>
          <w:color w:val="000000"/>
          <w:szCs w:val="21"/>
        </w:rPr>
        <w:t>2</w:t>
      </w:r>
      <w:r>
        <w:rPr>
          <w:color w:val="000000"/>
          <w:szCs w:val="21"/>
        </w:rPr>
        <w:t xml:space="preserve">  总等电位端子板的材质、截面应符合设计要求，应不少于两点及以上与接地网连接。PE干线、电气装置中的接地母线、建筑物内的各种金属管道、建筑物金属构件等，均应做总等电位联结，连接方法和连接导体的材质、截面应符合设计要求；</w:t>
      </w:r>
    </w:p>
    <w:p w14:paraId="712F360B">
      <w:pPr>
        <w:spacing w:line="400" w:lineRule="exact"/>
        <w:ind w:firstLine="422" w:firstLineChars="200"/>
        <w:rPr>
          <w:color w:val="000000"/>
          <w:szCs w:val="21"/>
        </w:rPr>
      </w:pPr>
      <w:r>
        <w:rPr>
          <w:b/>
          <w:color w:val="000000"/>
          <w:szCs w:val="21"/>
        </w:rPr>
        <w:t>3</w:t>
      </w:r>
      <w:r>
        <w:rPr>
          <w:color w:val="000000"/>
          <w:szCs w:val="21"/>
        </w:rPr>
        <w:t xml:space="preserve">  等电位箱体应安装平整，表面应涂层完整、无污染，并应标有等电位标识，箱内应清洁。与等电位铜排连接的扁钢或导线应压接牢固可靠，标识完整清晰；</w:t>
      </w:r>
    </w:p>
    <w:p w14:paraId="3F6D12CA">
      <w:pPr>
        <w:spacing w:line="400" w:lineRule="exact"/>
        <w:ind w:firstLine="422" w:firstLineChars="200"/>
        <w:rPr>
          <w:color w:val="000000"/>
          <w:szCs w:val="21"/>
        </w:rPr>
      </w:pPr>
      <w:r>
        <w:rPr>
          <w:b/>
          <w:color w:val="000000"/>
          <w:szCs w:val="21"/>
        </w:rPr>
        <w:t xml:space="preserve">4  </w:t>
      </w:r>
      <w:r>
        <w:rPr>
          <w:bCs/>
          <w:color w:val="000000"/>
          <w:szCs w:val="21"/>
        </w:rPr>
        <w:t>浴室或</w:t>
      </w:r>
      <w:r>
        <w:rPr>
          <w:color w:val="000000"/>
          <w:szCs w:val="21"/>
        </w:rPr>
        <w:t>有浴室功能的卫生间，应按设计要求做局部等电位连接，室内安装有带接地插座时，插座的接地线应与局部等电位端子板连接。卫生间的金属管道、金属</w:t>
      </w:r>
      <w:r>
        <w:rPr>
          <w:rFonts w:hint="eastAsia"/>
          <w:color w:val="000000"/>
          <w:szCs w:val="21"/>
        </w:rPr>
        <w:t>散热器</w:t>
      </w:r>
      <w:r>
        <w:rPr>
          <w:color w:val="000000"/>
          <w:szCs w:val="21"/>
        </w:rPr>
        <w:t>、金属浴盆、金属杆花洒等人可触及的较大金属器具、设备，应与等电位端子可靠连接；</w:t>
      </w:r>
    </w:p>
    <w:p w14:paraId="0EE0ED87">
      <w:pPr>
        <w:spacing w:line="400" w:lineRule="exact"/>
        <w:ind w:firstLine="422" w:firstLineChars="200"/>
        <w:rPr>
          <w:color w:val="000000"/>
          <w:szCs w:val="21"/>
        </w:rPr>
      </w:pPr>
      <w:r>
        <w:rPr>
          <w:b/>
          <w:color w:val="000000"/>
          <w:szCs w:val="21"/>
        </w:rPr>
        <w:t xml:space="preserve">5  </w:t>
      </w:r>
      <w:r>
        <w:rPr>
          <w:color w:val="000000"/>
          <w:szCs w:val="21"/>
        </w:rPr>
        <w:t>建筑设备机房水泵等应按设计要求做辅助等电位连接，等电位连接的导线材质、截面、连接部位，应符合设计要求。</w:t>
      </w:r>
    </w:p>
    <w:p w14:paraId="6E814DB4">
      <w:pPr>
        <w:pStyle w:val="4"/>
        <w:numPr>
          <w:ilvl w:val="1"/>
          <w:numId w:val="0"/>
        </w:numPr>
        <w:spacing w:before="312" w:beforeLines="100" w:line="400" w:lineRule="exact"/>
        <w:jc w:val="center"/>
        <w:rPr>
          <w:rFonts w:ascii="Times New Roman" w:hAnsi="Times New Roman" w:eastAsia="黑体"/>
          <w:sz w:val="24"/>
          <w:szCs w:val="24"/>
        </w:rPr>
      </w:pPr>
      <w:bookmarkStart w:id="451" w:name="_Toc467"/>
      <w:bookmarkStart w:id="452" w:name="_Toc23372"/>
      <w:bookmarkStart w:id="453" w:name="_Toc24086"/>
      <w:bookmarkStart w:id="454" w:name="_Toc31056"/>
      <w:bookmarkStart w:id="455" w:name="_Toc1805"/>
      <w:bookmarkStart w:id="456" w:name="_Toc27109"/>
      <w:bookmarkStart w:id="457" w:name="_Toc22400"/>
      <w:bookmarkStart w:id="458" w:name="_Toc5751"/>
      <w:bookmarkStart w:id="459" w:name="_Toc27799"/>
      <w:r>
        <w:rPr>
          <w:rFonts w:ascii="Times New Roman" w:hAnsi="Times New Roman" w:eastAsia="黑体"/>
          <w:b/>
          <w:bCs/>
          <w:sz w:val="24"/>
          <w:szCs w:val="24"/>
        </w:rPr>
        <w:t>8.3</w:t>
      </w:r>
      <w:r>
        <w:rPr>
          <w:rFonts w:ascii="Times New Roman" w:hAnsi="Times New Roman" w:eastAsia="黑体"/>
          <w:sz w:val="24"/>
          <w:szCs w:val="24"/>
        </w:rPr>
        <w:t xml:space="preserve"> </w:t>
      </w:r>
      <w:r>
        <w:rPr>
          <w:rFonts w:ascii="Times New Roman" w:hAnsi="Times New Roman" w:eastAsia="黑体"/>
          <w:sz w:val="24"/>
          <w:szCs w:val="24"/>
          <w:lang w:val="en-US"/>
        </w:rPr>
        <w:t xml:space="preserve"> </w:t>
      </w:r>
      <w:r>
        <w:rPr>
          <w:rFonts w:ascii="Times New Roman" w:hAnsi="Times New Roman" w:eastAsia="黑体"/>
          <w:sz w:val="24"/>
          <w:szCs w:val="24"/>
        </w:rPr>
        <w:t>智能建筑工程</w:t>
      </w:r>
      <w:bookmarkEnd w:id="451"/>
      <w:bookmarkEnd w:id="452"/>
      <w:bookmarkEnd w:id="453"/>
      <w:bookmarkEnd w:id="454"/>
      <w:bookmarkEnd w:id="455"/>
      <w:bookmarkEnd w:id="456"/>
      <w:bookmarkEnd w:id="457"/>
      <w:bookmarkEnd w:id="458"/>
      <w:bookmarkEnd w:id="459"/>
    </w:p>
    <w:p w14:paraId="7DDB4A66">
      <w:pPr>
        <w:spacing w:line="400" w:lineRule="exact"/>
        <w:rPr>
          <w:color w:val="000000"/>
          <w:szCs w:val="21"/>
        </w:rPr>
      </w:pPr>
      <w:r>
        <w:rPr>
          <w:b/>
          <w:color w:val="000000"/>
          <w:szCs w:val="21"/>
        </w:rPr>
        <w:t>8.3.1</w:t>
      </w:r>
      <w:r>
        <w:rPr>
          <w:color w:val="000000"/>
          <w:szCs w:val="21"/>
        </w:rPr>
        <w:t xml:space="preserve">  智能建筑工程的各子分部工程应符合以下要求：</w:t>
      </w:r>
    </w:p>
    <w:p w14:paraId="65A1118E">
      <w:pPr>
        <w:spacing w:line="400" w:lineRule="exact"/>
        <w:ind w:firstLine="422" w:firstLineChars="200"/>
        <w:rPr>
          <w:color w:val="000000"/>
          <w:szCs w:val="21"/>
        </w:rPr>
      </w:pPr>
      <w:r>
        <w:rPr>
          <w:b/>
          <w:color w:val="000000"/>
          <w:szCs w:val="21"/>
        </w:rPr>
        <w:t xml:space="preserve">1  </w:t>
      </w:r>
      <w:r>
        <w:rPr>
          <w:color w:val="000000"/>
          <w:szCs w:val="21"/>
        </w:rPr>
        <w:t>设备型号和安装应符合设计要求。当工程设计要求做专业深化设计时，进行深化设计的单位应具有相应资质，深化设计的图纸应图签、签字齐全；</w:t>
      </w:r>
    </w:p>
    <w:p w14:paraId="1BE48612">
      <w:pPr>
        <w:spacing w:line="400" w:lineRule="exact"/>
        <w:ind w:firstLine="422" w:firstLineChars="200"/>
        <w:rPr>
          <w:color w:val="000000"/>
          <w:szCs w:val="21"/>
        </w:rPr>
      </w:pPr>
      <w:r>
        <w:rPr>
          <w:b/>
          <w:color w:val="000000"/>
          <w:szCs w:val="21"/>
        </w:rPr>
        <w:t xml:space="preserve">2  </w:t>
      </w:r>
      <w:r>
        <w:rPr>
          <w:color w:val="000000"/>
          <w:szCs w:val="21"/>
        </w:rPr>
        <w:t>各子分部系统电源箱柜、控制箱柜的安装应符合本标准第8.2.2条的规定。管路和槽盒敷设，应符合本标准第8.2.3、8.2.4、8.2.5、8.2.6条的相关规定。导线敷设应符合本标准第8.2.9条的规定；</w:t>
      </w:r>
    </w:p>
    <w:p w14:paraId="2193B95D">
      <w:pPr>
        <w:spacing w:line="400" w:lineRule="exact"/>
        <w:ind w:firstLine="422" w:firstLineChars="200"/>
        <w:rPr>
          <w:color w:val="000000"/>
          <w:szCs w:val="21"/>
        </w:rPr>
      </w:pPr>
      <w:r>
        <w:rPr>
          <w:b/>
          <w:color w:val="000000"/>
          <w:szCs w:val="21"/>
        </w:rPr>
        <w:t xml:space="preserve">3  </w:t>
      </w:r>
      <w:r>
        <w:rPr>
          <w:color w:val="000000"/>
          <w:szCs w:val="21"/>
        </w:rPr>
        <w:t>各子分部系统线缆应分槽敷设。无法分槽敷设时，槽盒中间应有隔板。槽盒应有标识，标识应清晰、规整、牢固；</w:t>
      </w:r>
    </w:p>
    <w:p w14:paraId="5D1AFA14">
      <w:pPr>
        <w:spacing w:line="400" w:lineRule="exact"/>
        <w:ind w:firstLine="422" w:firstLineChars="200"/>
        <w:rPr>
          <w:color w:val="000000"/>
          <w:szCs w:val="21"/>
        </w:rPr>
      </w:pPr>
      <w:r>
        <w:rPr>
          <w:b/>
          <w:color w:val="000000"/>
          <w:szCs w:val="21"/>
        </w:rPr>
        <w:t>4</w:t>
      </w:r>
      <w:r>
        <w:rPr>
          <w:color w:val="000000"/>
          <w:szCs w:val="21"/>
        </w:rPr>
        <w:t xml:space="preserve">  线缆在槽盒内布放应自然平直、分束绑扎，垂直敷设固定间距不应大于1.5 m；</w:t>
      </w:r>
    </w:p>
    <w:p w14:paraId="564B4DBC">
      <w:pPr>
        <w:spacing w:line="400" w:lineRule="exact"/>
        <w:ind w:firstLine="422" w:firstLineChars="200"/>
        <w:rPr>
          <w:color w:val="000000"/>
          <w:szCs w:val="21"/>
        </w:rPr>
      </w:pPr>
      <w:r>
        <w:rPr>
          <w:b/>
          <w:color w:val="000000"/>
          <w:szCs w:val="21"/>
        </w:rPr>
        <w:t xml:space="preserve">5  </w:t>
      </w:r>
      <w:r>
        <w:rPr>
          <w:color w:val="000000"/>
          <w:szCs w:val="21"/>
        </w:rPr>
        <w:t>各子分部系统的设备、控制台、机柜（架）安装位置应符合设计要求，应便于操作和维护，表面涂层应完整；</w:t>
      </w:r>
    </w:p>
    <w:p w14:paraId="4544FAB1">
      <w:pPr>
        <w:spacing w:line="400" w:lineRule="exact"/>
        <w:ind w:firstLine="422" w:firstLineChars="200"/>
        <w:rPr>
          <w:color w:val="000000"/>
          <w:szCs w:val="21"/>
        </w:rPr>
      </w:pPr>
      <w:r>
        <w:rPr>
          <w:b/>
          <w:color w:val="000000"/>
          <w:szCs w:val="21"/>
        </w:rPr>
        <w:t xml:space="preserve">6  </w:t>
      </w:r>
      <w:r>
        <w:rPr>
          <w:color w:val="000000"/>
          <w:szCs w:val="21"/>
        </w:rPr>
        <w:t>机柜、机架应与底座固定牢固，底座高度应与活动地板高度相同，并与地面固定牢固；</w:t>
      </w:r>
    </w:p>
    <w:p w14:paraId="208DE2C3">
      <w:pPr>
        <w:spacing w:line="400" w:lineRule="exact"/>
        <w:ind w:firstLine="422" w:firstLineChars="200"/>
        <w:rPr>
          <w:color w:val="000000"/>
          <w:szCs w:val="21"/>
        </w:rPr>
      </w:pPr>
      <w:r>
        <w:rPr>
          <w:b/>
          <w:color w:val="000000"/>
          <w:szCs w:val="21"/>
        </w:rPr>
        <w:t>7</w:t>
      </w:r>
      <w:r>
        <w:rPr>
          <w:color w:val="000000"/>
          <w:szCs w:val="21"/>
        </w:rPr>
        <w:t xml:space="preserve">  各种信息插座模块应安装平整。信息插座与电源插座在同一墙面上且设计安装高度两者一致时，插座底部距地面高度最大偏差宜不大于1㎜，间距应符合设计要求；</w:t>
      </w:r>
    </w:p>
    <w:p w14:paraId="7DA82DA0">
      <w:pPr>
        <w:spacing w:line="400" w:lineRule="exact"/>
        <w:ind w:firstLine="422" w:firstLineChars="200"/>
        <w:rPr>
          <w:color w:val="000000"/>
          <w:szCs w:val="21"/>
        </w:rPr>
      </w:pPr>
      <w:r>
        <w:rPr>
          <w:b/>
          <w:color w:val="000000"/>
          <w:szCs w:val="21"/>
        </w:rPr>
        <w:t>8</w:t>
      </w:r>
      <w:r>
        <w:rPr>
          <w:color w:val="000000"/>
          <w:szCs w:val="21"/>
        </w:rPr>
        <w:t xml:space="preserve">  线缆在管内和槽盒内不得有接头和扭结。线缆的接头应在接线盒内焊接或用端子连接。各种线缆和端子的连接方式</w:t>
      </w:r>
      <w:r>
        <w:rPr>
          <w:rFonts w:hint="eastAsia"/>
          <w:color w:val="000000"/>
          <w:szCs w:val="21"/>
        </w:rPr>
        <w:t>、</w:t>
      </w:r>
      <w:r>
        <w:rPr>
          <w:color w:val="000000"/>
          <w:szCs w:val="21"/>
        </w:rPr>
        <w:t>线缆的最小弯曲半径应符合</w:t>
      </w:r>
      <w:r>
        <w:rPr>
          <w:rFonts w:hint="eastAsia"/>
          <w:color w:val="000000"/>
          <w:szCs w:val="21"/>
          <w:lang w:val="en-US" w:eastAsia="zh-CN"/>
        </w:rPr>
        <w:t>现行国家标准</w:t>
      </w:r>
      <w:r>
        <w:rPr>
          <w:rFonts w:hint="eastAsia"/>
          <w:color w:val="000000"/>
          <w:szCs w:val="21"/>
        </w:rPr>
        <w:t>《综合布线系统工程验收规范》GB</w:t>
      </w:r>
      <w:r>
        <w:rPr>
          <w:color w:val="000000"/>
          <w:szCs w:val="21"/>
        </w:rPr>
        <w:t xml:space="preserve"> </w:t>
      </w:r>
      <w:r>
        <w:rPr>
          <w:rFonts w:hint="eastAsia"/>
          <w:color w:val="000000"/>
          <w:szCs w:val="21"/>
        </w:rPr>
        <w:t>50312的</w:t>
      </w:r>
      <w:r>
        <w:rPr>
          <w:color w:val="000000"/>
          <w:szCs w:val="21"/>
        </w:rPr>
        <w:t>规定；</w:t>
      </w:r>
    </w:p>
    <w:p w14:paraId="04C29A1A">
      <w:pPr>
        <w:spacing w:line="400" w:lineRule="exact"/>
        <w:ind w:firstLine="422" w:firstLineChars="200"/>
        <w:rPr>
          <w:color w:val="000000"/>
          <w:szCs w:val="21"/>
        </w:rPr>
      </w:pPr>
      <w:r>
        <w:rPr>
          <w:b/>
          <w:color w:val="000000"/>
          <w:szCs w:val="21"/>
        </w:rPr>
        <w:t xml:space="preserve">9  </w:t>
      </w:r>
      <w:r>
        <w:rPr>
          <w:color w:val="000000"/>
          <w:szCs w:val="21"/>
        </w:rPr>
        <w:t>智能建筑的线缆与其</w:t>
      </w:r>
      <w:r>
        <w:rPr>
          <w:rFonts w:hint="eastAsia"/>
          <w:color w:val="000000"/>
          <w:szCs w:val="21"/>
        </w:rPr>
        <w:t>他</w:t>
      </w:r>
      <w:r>
        <w:rPr>
          <w:color w:val="000000"/>
          <w:szCs w:val="21"/>
        </w:rPr>
        <w:t>管线及与电力电缆的净距离应不小于</w:t>
      </w:r>
      <w:r>
        <w:rPr>
          <w:rFonts w:hint="eastAsia"/>
          <w:color w:val="000000"/>
          <w:szCs w:val="21"/>
          <w:lang w:val="en-US" w:eastAsia="zh-CN"/>
        </w:rPr>
        <w:t>现行国家标准</w:t>
      </w:r>
      <w:r>
        <w:rPr>
          <w:rFonts w:hint="eastAsia"/>
          <w:color w:val="000000"/>
          <w:szCs w:val="21"/>
        </w:rPr>
        <w:t>《综合布线系统工程验收规范》GB</w:t>
      </w:r>
      <w:r>
        <w:rPr>
          <w:color w:val="000000"/>
          <w:szCs w:val="21"/>
        </w:rPr>
        <w:t xml:space="preserve"> </w:t>
      </w:r>
      <w:r>
        <w:rPr>
          <w:rFonts w:hint="eastAsia"/>
          <w:color w:val="000000"/>
          <w:szCs w:val="21"/>
        </w:rPr>
        <w:t>50312的</w:t>
      </w:r>
      <w:r>
        <w:rPr>
          <w:color w:val="000000"/>
          <w:szCs w:val="21"/>
        </w:rPr>
        <w:t>规定；</w:t>
      </w:r>
    </w:p>
    <w:p w14:paraId="2B6B70F7">
      <w:pPr>
        <w:spacing w:line="400" w:lineRule="exact"/>
        <w:ind w:firstLine="422" w:firstLineChars="200"/>
        <w:rPr>
          <w:color w:val="000000"/>
          <w:szCs w:val="21"/>
        </w:rPr>
      </w:pPr>
      <w:r>
        <w:rPr>
          <w:b/>
          <w:color w:val="000000"/>
          <w:szCs w:val="21"/>
        </w:rPr>
        <w:t xml:space="preserve">10  </w:t>
      </w:r>
      <w:r>
        <w:rPr>
          <w:color w:val="000000"/>
          <w:szCs w:val="21"/>
        </w:rPr>
        <w:t>控制室和设备间的线缆应排列、布线顺直，捆扎整齐，两端应有耐久、牢固的标识，标识应清晰、端正、准确；</w:t>
      </w:r>
    </w:p>
    <w:p w14:paraId="53CB3590">
      <w:pPr>
        <w:spacing w:line="400" w:lineRule="exact"/>
        <w:ind w:firstLine="422" w:firstLineChars="200"/>
        <w:rPr>
          <w:color w:val="000000"/>
          <w:szCs w:val="21"/>
        </w:rPr>
      </w:pPr>
      <w:r>
        <w:rPr>
          <w:b/>
          <w:color w:val="000000"/>
          <w:szCs w:val="21"/>
        </w:rPr>
        <w:t>11</w:t>
      </w:r>
      <w:r>
        <w:rPr>
          <w:color w:val="000000"/>
          <w:szCs w:val="21"/>
        </w:rPr>
        <w:t xml:space="preserve">  屏蔽电缆屏蔽层的两端应保持完好的导通性，两端应接地可靠；</w:t>
      </w:r>
    </w:p>
    <w:p w14:paraId="086B0EC9">
      <w:pPr>
        <w:spacing w:line="400" w:lineRule="exact"/>
        <w:ind w:firstLine="422" w:firstLineChars="200"/>
        <w:rPr>
          <w:color w:val="000000"/>
          <w:szCs w:val="21"/>
        </w:rPr>
      </w:pPr>
      <w:r>
        <w:rPr>
          <w:b/>
          <w:color w:val="000000"/>
          <w:szCs w:val="21"/>
        </w:rPr>
        <w:t>12</w:t>
      </w:r>
      <w:r>
        <w:rPr>
          <w:color w:val="000000"/>
          <w:szCs w:val="21"/>
        </w:rPr>
        <w:t xml:space="preserve">  智能建筑的220 V交流供电和36 V以上直流供电的设备，其金属外壳应接地可靠；</w:t>
      </w:r>
    </w:p>
    <w:p w14:paraId="7DD3085B">
      <w:pPr>
        <w:spacing w:line="400" w:lineRule="exact"/>
        <w:ind w:firstLine="422" w:firstLineChars="200"/>
        <w:rPr>
          <w:color w:val="000000"/>
          <w:szCs w:val="21"/>
        </w:rPr>
      </w:pPr>
      <w:r>
        <w:rPr>
          <w:b/>
          <w:color w:val="000000"/>
          <w:szCs w:val="21"/>
        </w:rPr>
        <w:t xml:space="preserve">13  </w:t>
      </w:r>
      <w:r>
        <w:rPr>
          <w:color w:val="000000"/>
          <w:szCs w:val="21"/>
        </w:rPr>
        <w:t>光缆传输过程中的各光端机外壳、光缆加强芯、架空光缆接续护套，均应接地可靠；</w:t>
      </w:r>
    </w:p>
    <w:p w14:paraId="083C012F">
      <w:pPr>
        <w:spacing w:line="400" w:lineRule="exact"/>
        <w:ind w:firstLine="422" w:firstLineChars="200"/>
        <w:rPr>
          <w:color w:val="000000"/>
          <w:szCs w:val="21"/>
        </w:rPr>
      </w:pPr>
      <w:r>
        <w:rPr>
          <w:b/>
          <w:color w:val="000000"/>
          <w:szCs w:val="21"/>
        </w:rPr>
        <w:t>14</w:t>
      </w:r>
      <w:r>
        <w:rPr>
          <w:color w:val="000000"/>
          <w:szCs w:val="21"/>
        </w:rPr>
        <w:t xml:space="preserve">  各系统的机房和中心控制室接地汇集排的材质、截面应符合设计</w:t>
      </w:r>
      <w:r>
        <w:rPr>
          <w:rFonts w:hint="eastAsia"/>
          <w:color w:val="000000"/>
          <w:szCs w:val="21"/>
        </w:rPr>
        <w:t>要求</w:t>
      </w:r>
      <w:r>
        <w:rPr>
          <w:color w:val="000000"/>
          <w:szCs w:val="21"/>
        </w:rPr>
        <w:t>。母排安装应平整牢固，需做接地或等电位连接的部位应无遗漏，连接应牢固可靠；</w:t>
      </w:r>
    </w:p>
    <w:p w14:paraId="11C020CE">
      <w:pPr>
        <w:spacing w:line="400" w:lineRule="exact"/>
        <w:ind w:firstLine="422" w:firstLineChars="200"/>
        <w:rPr>
          <w:color w:val="000000"/>
          <w:szCs w:val="21"/>
        </w:rPr>
      </w:pPr>
      <w:r>
        <w:rPr>
          <w:b/>
          <w:color w:val="000000"/>
          <w:szCs w:val="21"/>
        </w:rPr>
        <w:t>15</w:t>
      </w:r>
      <w:r>
        <w:rPr>
          <w:color w:val="000000"/>
          <w:szCs w:val="21"/>
        </w:rPr>
        <w:t xml:space="preserve">  弱电竖井和机房局部等电位端子的安装和等电位连接，应符合设计要求。 </w:t>
      </w:r>
    </w:p>
    <w:p w14:paraId="727FC3AC">
      <w:pPr>
        <w:spacing w:line="400" w:lineRule="exact"/>
        <w:rPr>
          <w:color w:val="000000"/>
          <w:szCs w:val="21"/>
        </w:rPr>
      </w:pPr>
      <w:r>
        <w:rPr>
          <w:b/>
          <w:bCs/>
          <w:color w:val="000000"/>
          <w:szCs w:val="21"/>
        </w:rPr>
        <w:t>8.3.2</w:t>
      </w:r>
      <w:r>
        <w:rPr>
          <w:color w:val="000000"/>
          <w:szCs w:val="21"/>
        </w:rPr>
        <w:t xml:space="preserve">  消防火灾自动报警及消防联动系统的安装应符合以下要求：</w:t>
      </w:r>
    </w:p>
    <w:p w14:paraId="6DE6A38B">
      <w:pPr>
        <w:spacing w:line="400" w:lineRule="exact"/>
        <w:ind w:firstLine="422" w:firstLineChars="200"/>
        <w:rPr>
          <w:color w:val="000000"/>
          <w:szCs w:val="21"/>
        </w:rPr>
      </w:pPr>
      <w:r>
        <w:rPr>
          <w:b/>
          <w:color w:val="000000"/>
          <w:szCs w:val="21"/>
        </w:rPr>
        <w:t xml:space="preserve">1  </w:t>
      </w:r>
      <w:r>
        <w:rPr>
          <w:color w:val="000000"/>
          <w:szCs w:val="21"/>
        </w:rPr>
        <w:t>提交长城杯</w:t>
      </w:r>
      <w:r>
        <w:rPr>
          <w:rFonts w:hint="eastAsia"/>
          <w:color w:val="000000"/>
          <w:szCs w:val="21"/>
        </w:rPr>
        <w:t>评审</w:t>
      </w:r>
      <w:r>
        <w:rPr>
          <w:color w:val="000000"/>
          <w:szCs w:val="21"/>
        </w:rPr>
        <w:t>检查时，消防工程应已按规定经过市级检验合格；</w:t>
      </w:r>
    </w:p>
    <w:p w14:paraId="44E76958">
      <w:pPr>
        <w:spacing w:line="400" w:lineRule="exact"/>
        <w:ind w:firstLine="422" w:firstLineChars="200"/>
        <w:rPr>
          <w:color w:val="000000"/>
          <w:szCs w:val="21"/>
        </w:rPr>
      </w:pPr>
      <w:r>
        <w:rPr>
          <w:b/>
          <w:color w:val="000000"/>
          <w:szCs w:val="21"/>
        </w:rPr>
        <w:t>2</w:t>
      </w:r>
      <w:r>
        <w:rPr>
          <w:color w:val="000000"/>
          <w:szCs w:val="21"/>
        </w:rPr>
        <w:t xml:space="preserve">  消防火灾自动报警及消防联动系统的设备型号、规格应符合设计要求。机柜、控制台应与基础固定牢固，配线整齐，接地可靠；</w:t>
      </w:r>
    </w:p>
    <w:p w14:paraId="421D2168">
      <w:pPr>
        <w:spacing w:line="400" w:lineRule="exact"/>
        <w:ind w:firstLine="422" w:firstLineChars="200"/>
        <w:rPr>
          <w:color w:val="000000"/>
          <w:szCs w:val="21"/>
        </w:rPr>
      </w:pPr>
      <w:r>
        <w:rPr>
          <w:b/>
          <w:color w:val="000000"/>
          <w:szCs w:val="21"/>
        </w:rPr>
        <w:t>3</w:t>
      </w:r>
      <w:r>
        <w:rPr>
          <w:color w:val="000000"/>
          <w:szCs w:val="21"/>
        </w:rPr>
        <w:t xml:space="preserve">  消防用电设备配电线路采用金属管暗敷设在不燃烧体结构内时，暗配导管保护层厚度不应小于30 mm。明敷或暗敷设在可燃烧体结构内时，导管表面应按设计要求均匀涂刷防火涂料，涂料厚度不小于1.5 mm，明配管不宜直接贴墙安装；</w:t>
      </w:r>
    </w:p>
    <w:p w14:paraId="5474F675">
      <w:pPr>
        <w:spacing w:line="400" w:lineRule="exact"/>
        <w:ind w:firstLine="422" w:firstLineChars="200"/>
        <w:rPr>
          <w:color w:val="000000"/>
          <w:szCs w:val="21"/>
        </w:rPr>
      </w:pPr>
      <w:r>
        <w:rPr>
          <w:b/>
          <w:color w:val="000000"/>
          <w:szCs w:val="21"/>
        </w:rPr>
        <w:t xml:space="preserve">4  </w:t>
      </w:r>
      <w:r>
        <w:rPr>
          <w:color w:val="000000"/>
          <w:szCs w:val="21"/>
        </w:rPr>
        <w:t>消防设备电源应单独从配电室直接引出，两路电源应在末端互投。消防设备电源应专用，并应有明显“消防”标识；</w:t>
      </w:r>
    </w:p>
    <w:p w14:paraId="54C40AC7">
      <w:pPr>
        <w:spacing w:line="400" w:lineRule="exact"/>
        <w:ind w:firstLine="422" w:firstLineChars="200"/>
        <w:rPr>
          <w:color w:val="000000"/>
          <w:szCs w:val="21"/>
        </w:rPr>
      </w:pPr>
      <w:r>
        <w:rPr>
          <w:b/>
          <w:color w:val="000000"/>
          <w:szCs w:val="21"/>
        </w:rPr>
        <w:t>5</w:t>
      </w:r>
      <w:r>
        <w:rPr>
          <w:color w:val="000000"/>
          <w:szCs w:val="21"/>
        </w:rPr>
        <w:t xml:space="preserve">  各种火灾控制器、探测器、报警按钮、消火栓箱等设备，安装位置应符合设计要求。探测器安装时，其周边0.5 m不应有遮挡，探头表面应清洁、无污染。接线线色应正确，接线应牢固并留有裕量；消火栓箱内</w:t>
      </w:r>
      <w:r>
        <w:rPr>
          <w:color w:val="000000"/>
          <w:kern w:val="21"/>
          <w:szCs w:val="21"/>
        </w:rPr>
        <w:t>控制开关</w:t>
      </w:r>
      <w:r>
        <w:rPr>
          <w:color w:val="000000"/>
          <w:szCs w:val="21"/>
        </w:rPr>
        <w:t>电源管应为耐高温不燃管</w:t>
      </w:r>
      <w:r>
        <w:rPr>
          <w:rFonts w:hint="eastAsia"/>
          <w:color w:val="000000"/>
          <w:szCs w:val="21"/>
        </w:rPr>
        <w:t>；</w:t>
      </w:r>
    </w:p>
    <w:p w14:paraId="33C7252A">
      <w:pPr>
        <w:spacing w:line="400" w:lineRule="exact"/>
        <w:ind w:firstLine="422" w:firstLineChars="200"/>
        <w:rPr>
          <w:color w:val="000000"/>
          <w:szCs w:val="21"/>
        </w:rPr>
      </w:pPr>
      <w:r>
        <w:rPr>
          <w:b/>
          <w:color w:val="000000"/>
          <w:szCs w:val="21"/>
        </w:rPr>
        <w:t xml:space="preserve">6  </w:t>
      </w:r>
      <w:r>
        <w:rPr>
          <w:color w:val="000000"/>
          <w:szCs w:val="21"/>
        </w:rPr>
        <w:t>同一报警区域的消防模块应安装在专用金属箱内，模块或模块箱应固定牢固，安装应平直；</w:t>
      </w:r>
    </w:p>
    <w:p w14:paraId="53AC17F9">
      <w:pPr>
        <w:spacing w:line="400" w:lineRule="exact"/>
        <w:ind w:firstLine="422" w:firstLineChars="200"/>
        <w:rPr>
          <w:color w:val="000000"/>
          <w:szCs w:val="21"/>
        </w:rPr>
      </w:pPr>
      <w:r>
        <w:rPr>
          <w:b/>
          <w:color w:val="000000"/>
          <w:szCs w:val="21"/>
        </w:rPr>
        <w:t xml:space="preserve">7  </w:t>
      </w:r>
      <w:r>
        <w:rPr>
          <w:color w:val="000000"/>
          <w:szCs w:val="21"/>
        </w:rPr>
        <w:t>火灾应急广播、报警装置、消防电话等装置安装应符合设计</w:t>
      </w:r>
      <w:r>
        <w:rPr>
          <w:rFonts w:hint="eastAsia"/>
          <w:color w:val="000000"/>
          <w:szCs w:val="21"/>
        </w:rPr>
        <w:t>要求</w:t>
      </w:r>
      <w:r>
        <w:rPr>
          <w:color w:val="000000"/>
          <w:szCs w:val="21"/>
        </w:rPr>
        <w:t>。安装位置应正确，安装应牢固、平直、与顶板或墙板间无缝隙，表面不应有污染；</w:t>
      </w:r>
    </w:p>
    <w:p w14:paraId="1B71EFCF">
      <w:pPr>
        <w:spacing w:line="400" w:lineRule="exact"/>
        <w:ind w:firstLine="422" w:firstLineChars="200"/>
        <w:rPr>
          <w:color w:val="000000"/>
          <w:szCs w:val="21"/>
        </w:rPr>
      </w:pPr>
      <w:r>
        <w:rPr>
          <w:b/>
          <w:color w:val="000000"/>
          <w:szCs w:val="21"/>
          <w:lang w:val="zh-CN"/>
        </w:rPr>
        <w:t>8</w:t>
      </w:r>
      <w:r>
        <w:rPr>
          <w:color w:val="000000"/>
          <w:szCs w:val="21"/>
          <w:lang w:val="zh-CN"/>
        </w:rPr>
        <w:t xml:space="preserve"> </w:t>
      </w:r>
      <w:r>
        <w:rPr>
          <w:color w:val="000000"/>
          <w:szCs w:val="21"/>
        </w:rPr>
        <w:t xml:space="preserve"> 消防火灾自动报警及消防联动系统的调试及试运行应符合设计要求</w:t>
      </w:r>
      <w:r>
        <w:rPr>
          <w:rFonts w:hint="eastAsia"/>
          <w:color w:val="000000"/>
          <w:szCs w:val="21"/>
        </w:rPr>
        <w:t>和</w:t>
      </w:r>
      <w:r>
        <w:rPr>
          <w:rFonts w:hint="eastAsia"/>
          <w:color w:val="000000"/>
          <w:szCs w:val="21"/>
          <w:lang w:val="en-US" w:eastAsia="zh-CN"/>
        </w:rPr>
        <w:t>现行国家标准</w:t>
      </w:r>
      <w:r>
        <w:rPr>
          <w:color w:val="000000"/>
          <w:szCs w:val="21"/>
        </w:rPr>
        <w:t>《</w:t>
      </w:r>
      <w:r>
        <w:rPr>
          <w:rFonts w:hint="eastAsia"/>
          <w:color w:val="000000"/>
          <w:szCs w:val="21"/>
        </w:rPr>
        <w:t>火灾自动报警系统施工及验收标准</w:t>
      </w:r>
      <w:r>
        <w:rPr>
          <w:color w:val="000000"/>
          <w:szCs w:val="21"/>
        </w:rPr>
        <w:t>》GB 50166</w:t>
      </w:r>
      <w:r>
        <w:rPr>
          <w:rFonts w:hint="eastAsia"/>
          <w:color w:val="000000"/>
          <w:szCs w:val="21"/>
        </w:rPr>
        <w:t>的规定。</w:t>
      </w:r>
    </w:p>
    <w:p w14:paraId="7DE78368">
      <w:pPr>
        <w:spacing w:line="400" w:lineRule="exact"/>
        <w:rPr>
          <w:color w:val="000000"/>
          <w:szCs w:val="21"/>
        </w:rPr>
      </w:pPr>
      <w:r>
        <w:rPr>
          <w:b/>
          <w:bCs/>
          <w:color w:val="000000"/>
          <w:szCs w:val="21"/>
        </w:rPr>
        <w:t>8.3.3</w:t>
      </w:r>
      <w:r>
        <w:rPr>
          <w:color w:val="000000"/>
          <w:szCs w:val="21"/>
        </w:rPr>
        <w:t xml:space="preserve">  火灾应急照明及消防安全疏散标志的安装应符合以下要求：</w:t>
      </w:r>
    </w:p>
    <w:p w14:paraId="2425C0EA">
      <w:pPr>
        <w:spacing w:line="400" w:lineRule="exact"/>
        <w:ind w:firstLine="422" w:firstLineChars="200"/>
        <w:rPr>
          <w:color w:val="000000"/>
          <w:szCs w:val="21"/>
          <w:lang w:val="zh-CN"/>
        </w:rPr>
      </w:pPr>
      <w:r>
        <w:rPr>
          <w:b/>
          <w:color w:val="000000"/>
          <w:szCs w:val="21"/>
        </w:rPr>
        <w:t xml:space="preserve">1  </w:t>
      </w:r>
      <w:r>
        <w:rPr>
          <w:color w:val="000000"/>
          <w:szCs w:val="21"/>
        </w:rPr>
        <w:t>消防安全疏散标志产品必须经过国家有关单位认证合格。消防安全疏散标志的型号、规格，设置的位置、数量和电源切换时间，应符合设计要求</w:t>
      </w:r>
      <w:r>
        <w:rPr>
          <w:color w:val="000000"/>
          <w:szCs w:val="21"/>
          <w:lang w:val="zh-CN"/>
        </w:rPr>
        <w:t>；</w:t>
      </w:r>
    </w:p>
    <w:p w14:paraId="099E7586">
      <w:pPr>
        <w:spacing w:line="400" w:lineRule="exact"/>
        <w:ind w:firstLine="422" w:firstLineChars="200"/>
        <w:rPr>
          <w:color w:val="000000"/>
          <w:szCs w:val="21"/>
        </w:rPr>
      </w:pPr>
      <w:r>
        <w:rPr>
          <w:b/>
          <w:color w:val="000000"/>
          <w:szCs w:val="21"/>
        </w:rPr>
        <w:t>2</w:t>
      </w:r>
      <w:r>
        <w:rPr>
          <w:color w:val="000000"/>
          <w:szCs w:val="21"/>
        </w:rPr>
        <w:t xml:space="preserve">  疏散指示标志安装时，其正面或邻近应无妨碍视线的障碍物，如无法避免时，应在障碍物上增设标志或变换位置。消防安全疏散标志的疏散方向应明确，不应出现相互矛盾或误导疏散人员的情况；</w:t>
      </w:r>
    </w:p>
    <w:p w14:paraId="63F6A6C4">
      <w:pPr>
        <w:spacing w:line="400" w:lineRule="exact"/>
        <w:ind w:firstLine="422" w:firstLineChars="200"/>
        <w:rPr>
          <w:color w:val="000000"/>
          <w:szCs w:val="21"/>
        </w:rPr>
      </w:pPr>
      <w:r>
        <w:rPr>
          <w:b/>
          <w:color w:val="000000"/>
          <w:szCs w:val="21"/>
        </w:rPr>
        <w:t xml:space="preserve">3  </w:t>
      </w:r>
      <w:r>
        <w:rPr>
          <w:color w:val="000000"/>
          <w:szCs w:val="21"/>
        </w:rPr>
        <w:t>消防安全疏散标志灯应安装牢固、平直，不应有破损、污染现象，照度应符合设计要求；</w:t>
      </w:r>
    </w:p>
    <w:p w14:paraId="16254707">
      <w:pPr>
        <w:spacing w:line="400" w:lineRule="exact"/>
        <w:ind w:firstLine="422" w:firstLineChars="200"/>
        <w:rPr>
          <w:color w:val="000000"/>
          <w:szCs w:val="21"/>
        </w:rPr>
      </w:pPr>
      <w:r>
        <w:rPr>
          <w:b/>
          <w:color w:val="000000"/>
          <w:szCs w:val="21"/>
        </w:rPr>
        <w:t xml:space="preserve">4  </w:t>
      </w:r>
      <w:r>
        <w:rPr>
          <w:color w:val="000000"/>
          <w:szCs w:val="21"/>
        </w:rPr>
        <w:t>安全出口标志宜设在安全出口的上方，底部距地面不宜低于2 m。安全出口标志安装在门上方时，其底边距门上沿距离应符合设计要求，设计没有明确要求时宜为200 mm。同一建筑物安全出口标志距门上沿高度宜一致；</w:t>
      </w:r>
    </w:p>
    <w:p w14:paraId="40C9645F">
      <w:pPr>
        <w:spacing w:line="400" w:lineRule="exact"/>
        <w:ind w:firstLine="422" w:firstLineChars="200"/>
        <w:rPr>
          <w:color w:val="000000"/>
          <w:szCs w:val="21"/>
        </w:rPr>
      </w:pPr>
      <w:r>
        <w:rPr>
          <w:b/>
          <w:color w:val="000000"/>
          <w:szCs w:val="21"/>
        </w:rPr>
        <w:t xml:space="preserve">5  </w:t>
      </w:r>
      <w:r>
        <w:rPr>
          <w:color w:val="000000"/>
          <w:szCs w:val="21"/>
        </w:rPr>
        <w:t>走道疏散标志灯设置在墙面、柱上时，疏散灯距地面距离应小于1 m，并宜采用暗装方式，安装位置应符合设计要求；</w:t>
      </w:r>
    </w:p>
    <w:p w14:paraId="2EF8C406">
      <w:pPr>
        <w:spacing w:line="400" w:lineRule="exact"/>
        <w:ind w:firstLine="422" w:firstLineChars="200"/>
        <w:rPr>
          <w:color w:val="000000"/>
          <w:szCs w:val="21"/>
        </w:rPr>
      </w:pPr>
      <w:r>
        <w:rPr>
          <w:b/>
          <w:color w:val="000000"/>
          <w:szCs w:val="21"/>
        </w:rPr>
        <w:t xml:space="preserve">6  </w:t>
      </w:r>
      <w:r>
        <w:rPr>
          <w:color w:val="000000"/>
          <w:szCs w:val="21"/>
        </w:rPr>
        <w:t>疏散标志灯采用悬挂方式安装时，宜采用金属管吊装，</w:t>
      </w:r>
      <w:r>
        <w:rPr>
          <w:rFonts w:hint="eastAsia"/>
          <w:color w:val="000000"/>
          <w:szCs w:val="21"/>
        </w:rPr>
        <w:t>室内高度不大于3.5</w:t>
      </w:r>
      <w:r>
        <w:rPr>
          <w:color w:val="000000"/>
          <w:szCs w:val="21"/>
        </w:rPr>
        <w:t xml:space="preserve"> </w:t>
      </w:r>
      <w:r>
        <w:rPr>
          <w:rFonts w:hint="eastAsia"/>
          <w:color w:val="000000"/>
          <w:szCs w:val="21"/>
        </w:rPr>
        <w:t>m的场所，标志灯底边距地面的高度宜为2.2</w:t>
      </w:r>
      <w:r>
        <w:rPr>
          <w:color w:val="000000"/>
          <w:szCs w:val="21"/>
        </w:rPr>
        <w:t xml:space="preserve"> </w:t>
      </w:r>
      <w:r>
        <w:rPr>
          <w:rFonts w:hint="eastAsia"/>
          <w:color w:val="000000"/>
          <w:szCs w:val="21"/>
        </w:rPr>
        <w:t>m</w:t>
      </w:r>
      <w:r>
        <w:rPr>
          <w:rFonts w:hint="eastAsia" w:ascii="宋体" w:hAnsi="宋体"/>
          <w:color w:val="000000"/>
          <w:szCs w:val="21"/>
        </w:rPr>
        <w:t>～</w:t>
      </w:r>
      <w:r>
        <w:rPr>
          <w:rFonts w:hint="eastAsia"/>
          <w:color w:val="000000"/>
          <w:szCs w:val="21"/>
        </w:rPr>
        <w:t>2.5</w:t>
      </w:r>
      <w:r>
        <w:rPr>
          <w:color w:val="000000"/>
          <w:szCs w:val="21"/>
        </w:rPr>
        <w:t xml:space="preserve"> </w:t>
      </w:r>
      <w:r>
        <w:rPr>
          <w:rFonts w:hint="eastAsia"/>
          <w:color w:val="000000"/>
          <w:szCs w:val="21"/>
        </w:rPr>
        <w:t>m。</w:t>
      </w:r>
      <w:r>
        <w:rPr>
          <w:color w:val="000000"/>
          <w:szCs w:val="21"/>
        </w:rPr>
        <w:t>其电源线应穿入管内，吊管应有防火措施；</w:t>
      </w:r>
    </w:p>
    <w:p w14:paraId="58824B1E">
      <w:pPr>
        <w:spacing w:line="400" w:lineRule="exact"/>
        <w:ind w:firstLine="422" w:firstLineChars="200"/>
        <w:rPr>
          <w:color w:val="000000"/>
          <w:szCs w:val="21"/>
        </w:rPr>
      </w:pPr>
      <w:r>
        <w:rPr>
          <w:b/>
          <w:color w:val="000000"/>
          <w:szCs w:val="21"/>
        </w:rPr>
        <w:t>7</w:t>
      </w:r>
      <w:r>
        <w:rPr>
          <w:color w:val="000000"/>
          <w:szCs w:val="21"/>
        </w:rPr>
        <w:t xml:space="preserve">  消防安全疏散标志、应急照明灯具的金属外壳应可靠接地。</w:t>
      </w:r>
    </w:p>
    <w:p w14:paraId="66224D4E">
      <w:pPr>
        <w:spacing w:line="400" w:lineRule="exact"/>
        <w:rPr>
          <w:color w:val="000000"/>
          <w:szCs w:val="21"/>
        </w:rPr>
      </w:pPr>
      <w:r>
        <w:rPr>
          <w:b/>
          <w:bCs/>
          <w:color w:val="000000"/>
          <w:szCs w:val="21"/>
        </w:rPr>
        <w:t>8.3.4</w:t>
      </w:r>
      <w:r>
        <w:rPr>
          <w:color w:val="000000"/>
          <w:szCs w:val="21"/>
        </w:rPr>
        <w:t xml:space="preserve">  建筑物内电子系统的防雷施工应符合以下要求：</w:t>
      </w:r>
    </w:p>
    <w:p w14:paraId="79233B6A">
      <w:pPr>
        <w:spacing w:line="400" w:lineRule="exact"/>
        <w:ind w:firstLine="422" w:firstLineChars="200"/>
        <w:rPr>
          <w:color w:val="000000"/>
          <w:szCs w:val="21"/>
        </w:rPr>
      </w:pPr>
      <w:r>
        <w:rPr>
          <w:b/>
          <w:color w:val="000000"/>
          <w:szCs w:val="21"/>
        </w:rPr>
        <w:t xml:space="preserve">1  </w:t>
      </w:r>
      <w:r>
        <w:rPr>
          <w:color w:val="000000"/>
          <w:szCs w:val="21"/>
        </w:rPr>
        <w:t>需要防雷保护的电子信息系统必须按设计要求采取等电位连接与接地保护措施；</w:t>
      </w:r>
    </w:p>
    <w:p w14:paraId="4B327A90">
      <w:pPr>
        <w:spacing w:line="400" w:lineRule="exact"/>
        <w:ind w:firstLine="422" w:firstLineChars="200"/>
        <w:rPr>
          <w:color w:val="000000"/>
          <w:szCs w:val="21"/>
        </w:rPr>
      </w:pPr>
      <w:r>
        <w:rPr>
          <w:b/>
          <w:color w:val="000000"/>
          <w:szCs w:val="21"/>
        </w:rPr>
        <w:t xml:space="preserve">2  </w:t>
      </w:r>
      <w:r>
        <w:rPr>
          <w:color w:val="000000"/>
          <w:szCs w:val="21"/>
        </w:rPr>
        <w:t>电子信息机房应按设计要求设等电位连接网络，等电位连接网络应与建筑物共用接地网连接；</w:t>
      </w:r>
    </w:p>
    <w:p w14:paraId="2422462D">
      <w:pPr>
        <w:spacing w:line="400" w:lineRule="exact"/>
        <w:ind w:firstLine="422" w:firstLineChars="200"/>
        <w:rPr>
          <w:color w:val="000000"/>
          <w:szCs w:val="21"/>
        </w:rPr>
      </w:pPr>
      <w:r>
        <w:rPr>
          <w:b/>
          <w:color w:val="000000"/>
          <w:szCs w:val="21"/>
        </w:rPr>
        <w:t xml:space="preserve">3  </w:t>
      </w:r>
      <w:r>
        <w:rPr>
          <w:color w:val="000000"/>
          <w:szCs w:val="21"/>
        </w:rPr>
        <w:t>电子设备的金属外壳，机柜、机架、金属配管、金属槽盒、屏蔽线缆的金属外层及电涌保护器，均应以最短的距离与等电位连接网络连接；</w:t>
      </w:r>
    </w:p>
    <w:p w14:paraId="4AC5788F">
      <w:pPr>
        <w:spacing w:line="400" w:lineRule="exact"/>
        <w:ind w:firstLine="422" w:firstLineChars="200"/>
        <w:rPr>
          <w:color w:val="000000"/>
          <w:szCs w:val="21"/>
        </w:rPr>
      </w:pPr>
      <w:r>
        <w:rPr>
          <w:b/>
          <w:color w:val="000000"/>
          <w:szCs w:val="21"/>
        </w:rPr>
        <w:t xml:space="preserve">4  </w:t>
      </w:r>
      <w:r>
        <w:rPr>
          <w:color w:val="000000"/>
          <w:szCs w:val="21"/>
        </w:rPr>
        <w:t>应按设计要求的位置设置总等电位接地端子板、楼层等电位接地端子板、电子信息系统设备机房局部等电位接地端子板，各类等电位连接端子板之间的连接导线的材质、最小截面应符合设计要求；</w:t>
      </w:r>
    </w:p>
    <w:p w14:paraId="4C2329C3">
      <w:pPr>
        <w:spacing w:line="400" w:lineRule="exact"/>
        <w:ind w:firstLine="422" w:firstLineChars="200"/>
        <w:rPr>
          <w:color w:val="000000"/>
          <w:szCs w:val="21"/>
        </w:rPr>
      </w:pPr>
      <w:r>
        <w:rPr>
          <w:b/>
          <w:color w:val="000000"/>
          <w:szCs w:val="21"/>
        </w:rPr>
        <w:t xml:space="preserve">5  </w:t>
      </w:r>
      <w:r>
        <w:rPr>
          <w:color w:val="000000"/>
          <w:szCs w:val="21"/>
        </w:rPr>
        <w:t>当设计选用屏蔽电缆时，应在屏蔽层两端及雷电防护区交界处做等电位连接并接地；</w:t>
      </w:r>
    </w:p>
    <w:p w14:paraId="669478EE">
      <w:pPr>
        <w:spacing w:line="400" w:lineRule="exact"/>
        <w:ind w:firstLine="422" w:firstLineChars="200"/>
        <w:rPr>
          <w:color w:val="000000"/>
          <w:szCs w:val="21"/>
        </w:rPr>
      </w:pPr>
      <w:r>
        <w:rPr>
          <w:b/>
          <w:color w:val="000000"/>
          <w:szCs w:val="21"/>
        </w:rPr>
        <w:t xml:space="preserve">6  </w:t>
      </w:r>
      <w:r>
        <w:rPr>
          <w:color w:val="000000"/>
          <w:szCs w:val="21"/>
        </w:rPr>
        <w:t>弱电竖井接地干线应按设计要求施工，在设计无明确要求时，竖井内金属线槽与接地干线的连接应不少于每三层一处，连接应牢固可靠；</w:t>
      </w:r>
    </w:p>
    <w:p w14:paraId="1AC8021B">
      <w:pPr>
        <w:spacing w:line="400" w:lineRule="exact"/>
        <w:ind w:firstLine="422" w:firstLineChars="200"/>
        <w:rPr>
          <w:color w:val="000000"/>
          <w:szCs w:val="21"/>
        </w:rPr>
      </w:pPr>
      <w:r>
        <w:rPr>
          <w:b/>
          <w:color w:val="000000"/>
          <w:szCs w:val="21"/>
        </w:rPr>
        <w:t xml:space="preserve">7  </w:t>
      </w:r>
      <w:r>
        <w:rPr>
          <w:color w:val="000000"/>
          <w:szCs w:val="21"/>
        </w:rPr>
        <w:t>电涌保护器的设备选型和安装部位必须符合设计规定。浪涌保护器的连接导线应平直，长度不宜大于500 mm，其连接导线的最小截面应</w:t>
      </w:r>
      <w:r>
        <w:rPr>
          <w:rFonts w:hint="eastAsia"/>
          <w:color w:val="000000"/>
          <w:szCs w:val="21"/>
        </w:rPr>
        <w:t>符合</w:t>
      </w:r>
      <w:r>
        <w:rPr>
          <w:rFonts w:hint="eastAsia"/>
          <w:color w:val="000000"/>
          <w:szCs w:val="21"/>
          <w:lang w:val="en-US" w:eastAsia="zh-CN"/>
        </w:rPr>
        <w:t>现行国家标准</w:t>
      </w:r>
      <w:r>
        <w:rPr>
          <w:rFonts w:hint="eastAsia"/>
          <w:color w:val="000000"/>
          <w:szCs w:val="21"/>
        </w:rPr>
        <w:t>《建筑物电子信息系统防雷技术规范》GB</w:t>
      </w:r>
      <w:r>
        <w:rPr>
          <w:rFonts w:hint="eastAsia"/>
          <w:color w:val="000000"/>
          <w:szCs w:val="21"/>
          <w:lang w:val="en-US" w:eastAsia="zh-CN"/>
        </w:rPr>
        <w:t xml:space="preserve"> </w:t>
      </w:r>
      <w:r>
        <w:rPr>
          <w:rFonts w:hint="eastAsia"/>
          <w:color w:val="000000"/>
          <w:szCs w:val="21"/>
        </w:rPr>
        <w:t>50343的</w:t>
      </w:r>
      <w:r>
        <w:rPr>
          <w:color w:val="000000"/>
          <w:szCs w:val="21"/>
        </w:rPr>
        <w:t>规定；</w:t>
      </w:r>
    </w:p>
    <w:p w14:paraId="31D5E11A">
      <w:pPr>
        <w:spacing w:line="400" w:lineRule="exact"/>
        <w:ind w:firstLine="422" w:firstLineChars="200"/>
        <w:rPr>
          <w:color w:val="000000"/>
          <w:szCs w:val="21"/>
        </w:rPr>
      </w:pPr>
      <w:r>
        <w:rPr>
          <w:b/>
          <w:color w:val="000000"/>
          <w:szCs w:val="21"/>
        </w:rPr>
        <w:t>8</w:t>
      </w:r>
      <w:r>
        <w:rPr>
          <w:color w:val="000000"/>
          <w:szCs w:val="21"/>
        </w:rPr>
        <w:t xml:space="preserve">  电子信息系统的线缆和其</w:t>
      </w:r>
      <w:r>
        <w:rPr>
          <w:rFonts w:hint="eastAsia"/>
          <w:color w:val="000000"/>
          <w:szCs w:val="21"/>
        </w:rPr>
        <w:t>他</w:t>
      </w:r>
      <w:r>
        <w:rPr>
          <w:color w:val="000000"/>
          <w:szCs w:val="21"/>
        </w:rPr>
        <w:t>管线的间距及与电力电缆、电气设备的最小间距，应</w:t>
      </w:r>
      <w:r>
        <w:rPr>
          <w:rFonts w:hint="eastAsia"/>
          <w:color w:val="000000"/>
          <w:szCs w:val="21"/>
        </w:rPr>
        <w:t>符合</w:t>
      </w:r>
      <w:r>
        <w:rPr>
          <w:rFonts w:hint="eastAsia"/>
          <w:color w:val="000000"/>
          <w:szCs w:val="21"/>
          <w:lang w:val="en-US" w:eastAsia="zh-CN"/>
        </w:rPr>
        <w:t>现行国家标准</w:t>
      </w:r>
      <w:r>
        <w:rPr>
          <w:rFonts w:hint="eastAsia"/>
          <w:color w:val="000000"/>
          <w:szCs w:val="21"/>
        </w:rPr>
        <w:t>《综合布线系统工程验收规范》GB</w:t>
      </w:r>
      <w:r>
        <w:rPr>
          <w:color w:val="000000"/>
          <w:szCs w:val="21"/>
        </w:rPr>
        <w:t xml:space="preserve"> </w:t>
      </w:r>
      <w:r>
        <w:rPr>
          <w:rFonts w:hint="eastAsia"/>
          <w:color w:val="000000"/>
          <w:szCs w:val="21"/>
        </w:rPr>
        <w:t>50312的</w:t>
      </w:r>
      <w:r>
        <w:rPr>
          <w:color w:val="000000"/>
          <w:szCs w:val="21"/>
        </w:rPr>
        <w:t>规定</w:t>
      </w:r>
      <w:r>
        <w:rPr>
          <w:rFonts w:hint="eastAsia"/>
          <w:color w:val="000000"/>
          <w:szCs w:val="21"/>
        </w:rPr>
        <w:t>；</w:t>
      </w:r>
    </w:p>
    <w:p w14:paraId="46393E14">
      <w:pPr>
        <w:spacing w:line="400" w:lineRule="exact"/>
        <w:ind w:firstLine="422" w:firstLineChars="200"/>
        <w:rPr>
          <w:color w:val="000000"/>
          <w:szCs w:val="21"/>
        </w:rPr>
      </w:pPr>
      <w:r>
        <w:rPr>
          <w:b/>
          <w:color w:val="000000"/>
          <w:szCs w:val="21"/>
        </w:rPr>
        <w:t xml:space="preserve">9 </w:t>
      </w:r>
      <w:r>
        <w:rPr>
          <w:color w:val="000000"/>
          <w:szCs w:val="21"/>
        </w:rPr>
        <w:t xml:space="preserve"> 通信基站的天线必须置于直击雷防护区内。</w:t>
      </w:r>
    </w:p>
    <w:p w14:paraId="22C8ED3D">
      <w:pPr>
        <w:spacing w:line="400" w:lineRule="exact"/>
        <w:rPr>
          <w:color w:val="000000"/>
          <w:szCs w:val="21"/>
        </w:rPr>
      </w:pPr>
      <w:r>
        <w:rPr>
          <w:b/>
          <w:bCs/>
          <w:color w:val="000000"/>
          <w:szCs w:val="21"/>
        </w:rPr>
        <w:t xml:space="preserve">8.3.5  </w:t>
      </w:r>
      <w:r>
        <w:rPr>
          <w:color w:val="000000"/>
          <w:szCs w:val="21"/>
        </w:rPr>
        <w:t>不间断电源柜（UPS）的安装应符合以下要求：</w:t>
      </w:r>
    </w:p>
    <w:p w14:paraId="1703AE37">
      <w:pPr>
        <w:spacing w:line="400" w:lineRule="exact"/>
        <w:ind w:firstLine="422" w:firstLineChars="200"/>
        <w:rPr>
          <w:color w:val="000000"/>
          <w:szCs w:val="21"/>
        </w:rPr>
      </w:pPr>
      <w:r>
        <w:rPr>
          <w:b/>
          <w:color w:val="000000"/>
          <w:szCs w:val="21"/>
        </w:rPr>
        <w:t xml:space="preserve">1  </w:t>
      </w:r>
      <w:r>
        <w:rPr>
          <w:color w:val="000000"/>
          <w:szCs w:val="21"/>
        </w:rPr>
        <w:t>电源柜（UPS）的型号、规格应符合设计要求，安装的垂直度允许偏差应不大于1.5 ‰，符合规范要求，接线应牢固，金属外壳及基础应保证接地可靠；</w:t>
      </w:r>
    </w:p>
    <w:p w14:paraId="7AC25EDA">
      <w:pPr>
        <w:spacing w:line="400" w:lineRule="exact"/>
        <w:ind w:firstLine="422" w:firstLineChars="200"/>
        <w:rPr>
          <w:color w:val="000000"/>
          <w:szCs w:val="21"/>
        </w:rPr>
      </w:pPr>
      <w:r>
        <w:rPr>
          <w:b/>
          <w:color w:val="000000"/>
          <w:szCs w:val="21"/>
        </w:rPr>
        <w:t>2</w:t>
      </w:r>
      <w:r>
        <w:rPr>
          <w:color w:val="000000"/>
          <w:szCs w:val="21"/>
        </w:rPr>
        <w:t xml:space="preserve">  在TN-S供电系统中，当UPS输出端的隔离变压器为TN-S、TT接地形式时，输出端中性线应接地可靠。</w:t>
      </w:r>
    </w:p>
    <w:p w14:paraId="4F633F6B">
      <w:pPr>
        <w:pStyle w:val="4"/>
        <w:numPr>
          <w:ilvl w:val="1"/>
          <w:numId w:val="0"/>
        </w:numPr>
        <w:spacing w:before="312" w:beforeLines="100" w:line="400" w:lineRule="exact"/>
        <w:jc w:val="center"/>
        <w:rPr>
          <w:rFonts w:ascii="Times New Roman" w:hAnsi="Times New Roman" w:eastAsia="黑体"/>
          <w:sz w:val="24"/>
          <w:szCs w:val="24"/>
          <w:lang w:val="en-US"/>
        </w:rPr>
      </w:pPr>
      <w:bookmarkStart w:id="460" w:name="_Toc63"/>
      <w:bookmarkStart w:id="461" w:name="_Toc29276"/>
      <w:bookmarkStart w:id="462" w:name="_Toc32126"/>
      <w:bookmarkStart w:id="463" w:name="_Toc23250"/>
      <w:bookmarkStart w:id="464" w:name="_Toc11214"/>
      <w:bookmarkStart w:id="465" w:name="_Toc23490"/>
      <w:bookmarkStart w:id="466" w:name="_Toc9583"/>
      <w:bookmarkStart w:id="467" w:name="_Toc13434"/>
      <w:bookmarkStart w:id="468" w:name="_Toc27149"/>
      <w:r>
        <w:rPr>
          <w:rFonts w:ascii="Times New Roman" w:hAnsi="Times New Roman" w:eastAsia="黑体"/>
          <w:b/>
          <w:bCs/>
          <w:sz w:val="24"/>
          <w:szCs w:val="24"/>
        </w:rPr>
        <w:t>8.4</w:t>
      </w:r>
      <w:r>
        <w:rPr>
          <w:rFonts w:ascii="Times New Roman" w:hAnsi="Times New Roman" w:eastAsia="黑体"/>
          <w:sz w:val="24"/>
          <w:szCs w:val="24"/>
        </w:rPr>
        <w:t xml:space="preserve">  电梯安装工程</w:t>
      </w:r>
      <w:bookmarkEnd w:id="460"/>
      <w:bookmarkEnd w:id="461"/>
      <w:bookmarkEnd w:id="462"/>
      <w:bookmarkEnd w:id="463"/>
      <w:bookmarkEnd w:id="464"/>
      <w:bookmarkEnd w:id="465"/>
      <w:bookmarkEnd w:id="466"/>
      <w:bookmarkEnd w:id="467"/>
      <w:bookmarkEnd w:id="468"/>
      <w:r>
        <w:rPr>
          <w:rFonts w:hint="eastAsia" w:ascii="Times New Roman" w:hAnsi="Times New Roman" w:eastAsia="黑体"/>
          <w:sz w:val="24"/>
          <w:szCs w:val="24"/>
          <w:lang w:val="en-US"/>
        </w:rPr>
        <w:t xml:space="preserve"> </w:t>
      </w:r>
    </w:p>
    <w:p w14:paraId="4649BFF3">
      <w:pPr>
        <w:spacing w:line="400" w:lineRule="exact"/>
        <w:rPr>
          <w:color w:val="000000"/>
          <w:szCs w:val="21"/>
        </w:rPr>
      </w:pPr>
      <w:r>
        <w:rPr>
          <w:b/>
          <w:color w:val="000000"/>
          <w:szCs w:val="21"/>
        </w:rPr>
        <w:t xml:space="preserve">8.4.1  </w:t>
      </w:r>
      <w:r>
        <w:rPr>
          <w:color w:val="000000"/>
          <w:szCs w:val="21"/>
        </w:rPr>
        <w:t>电梯安装工程包括电力驱动的曵引或强制驱动的电梯、液压电梯、自动扶梯和自动人行道。电梯工程提交长城杯检查时，应</w:t>
      </w:r>
      <w:r>
        <w:rPr>
          <w:rFonts w:hint="eastAsia"/>
          <w:color w:val="000000"/>
          <w:szCs w:val="21"/>
        </w:rPr>
        <w:t>有</w:t>
      </w:r>
      <w:r>
        <w:rPr>
          <w:color w:val="000000"/>
          <w:szCs w:val="21"/>
        </w:rPr>
        <w:t>检验合格</w:t>
      </w:r>
      <w:r>
        <w:rPr>
          <w:rFonts w:hint="eastAsia"/>
          <w:color w:val="000000"/>
          <w:szCs w:val="21"/>
        </w:rPr>
        <w:t>证</w:t>
      </w:r>
      <w:r>
        <w:rPr>
          <w:color w:val="000000"/>
          <w:szCs w:val="21"/>
        </w:rPr>
        <w:t>，检验</w:t>
      </w:r>
      <w:r>
        <w:rPr>
          <w:rFonts w:hint="eastAsia"/>
          <w:color w:val="000000"/>
          <w:szCs w:val="21"/>
        </w:rPr>
        <w:t>合格</w:t>
      </w:r>
      <w:r>
        <w:rPr>
          <w:color w:val="000000"/>
          <w:szCs w:val="21"/>
        </w:rPr>
        <w:t>标</w:t>
      </w:r>
      <w:r>
        <w:rPr>
          <w:rFonts w:hint="eastAsia"/>
          <w:color w:val="000000"/>
          <w:szCs w:val="21"/>
        </w:rPr>
        <w:t>识应</w:t>
      </w:r>
      <w:r>
        <w:rPr>
          <w:color w:val="000000"/>
          <w:szCs w:val="21"/>
        </w:rPr>
        <w:t>置于电梯的</w:t>
      </w:r>
      <w:r>
        <w:rPr>
          <w:rFonts w:hint="eastAsia"/>
          <w:color w:val="000000"/>
          <w:szCs w:val="21"/>
        </w:rPr>
        <w:t>明</w:t>
      </w:r>
      <w:r>
        <w:rPr>
          <w:color w:val="000000"/>
          <w:szCs w:val="21"/>
        </w:rPr>
        <w:t>显位置。</w:t>
      </w:r>
    </w:p>
    <w:p w14:paraId="6F99908F">
      <w:pPr>
        <w:spacing w:line="400" w:lineRule="exact"/>
        <w:rPr>
          <w:color w:val="000000"/>
          <w:szCs w:val="21"/>
        </w:rPr>
      </w:pPr>
      <w:r>
        <w:rPr>
          <w:b/>
          <w:bCs/>
          <w:color w:val="000000"/>
          <w:szCs w:val="21"/>
        </w:rPr>
        <w:t xml:space="preserve">8.4.2  </w:t>
      </w:r>
      <w:r>
        <w:rPr>
          <w:color w:val="000000"/>
          <w:szCs w:val="21"/>
        </w:rPr>
        <w:t>电梯安装工程应符合现行国家标准《电梯工程施工质量验收规范》GB 50310的有关规定。</w:t>
      </w:r>
    </w:p>
    <w:p w14:paraId="1C242F17">
      <w:pPr>
        <w:spacing w:line="400" w:lineRule="exact"/>
        <w:rPr>
          <w:color w:val="000000"/>
          <w:szCs w:val="21"/>
        </w:rPr>
      </w:pPr>
      <w:r>
        <w:rPr>
          <w:b/>
          <w:bCs/>
          <w:color w:val="000000"/>
          <w:szCs w:val="21"/>
        </w:rPr>
        <w:t>8.4.3</w:t>
      </w:r>
      <w:r>
        <w:rPr>
          <w:color w:val="000000"/>
          <w:szCs w:val="21"/>
        </w:rPr>
        <w:t xml:space="preserve">  电梯电源柜、控制柜的安装和接线、槽盒的敷设等，应符合本标准第8.2.2</w:t>
      </w:r>
      <w:r>
        <w:rPr>
          <w:rFonts w:hint="eastAsia"/>
          <w:color w:val="000000"/>
          <w:szCs w:val="21"/>
        </w:rPr>
        <w:t>、</w:t>
      </w:r>
      <w:r>
        <w:rPr>
          <w:color w:val="000000"/>
          <w:szCs w:val="21"/>
        </w:rPr>
        <w:t>8.2.3</w:t>
      </w:r>
      <w:r>
        <w:rPr>
          <w:rFonts w:hint="eastAsia"/>
          <w:color w:val="000000"/>
          <w:szCs w:val="21"/>
        </w:rPr>
        <w:t>和8</w:t>
      </w:r>
      <w:r>
        <w:rPr>
          <w:color w:val="000000"/>
          <w:szCs w:val="21"/>
        </w:rPr>
        <w:t>.2.6条的相关规定。电梯机房的电源柜应靠近机房入口，电源柜接线应正确、牢固，开关、线缆标识应正确、清晰，接地应可靠。</w:t>
      </w:r>
    </w:p>
    <w:p w14:paraId="66C932E4">
      <w:pPr>
        <w:spacing w:line="400" w:lineRule="exact"/>
        <w:rPr>
          <w:color w:val="000000"/>
          <w:szCs w:val="21"/>
        </w:rPr>
      </w:pPr>
      <w:r>
        <w:rPr>
          <w:b/>
          <w:bCs/>
          <w:color w:val="000000"/>
          <w:szCs w:val="21"/>
        </w:rPr>
        <w:t>8.4.4</w:t>
      </w:r>
      <w:r>
        <w:rPr>
          <w:color w:val="000000"/>
          <w:szCs w:val="21"/>
        </w:rPr>
        <w:t xml:space="preserve">  电梯机房的所有电气设备及导管、槽盒的外露可导电部分和电梯的金属设备基础、金属护栏，应可靠接地。导轨的等电位连接应符合设计要求。用电缆芯线做轿厢接地线时，应不少于两根2.5 mm</w:t>
      </w:r>
      <w:r>
        <w:rPr>
          <w:color w:val="000000"/>
          <w:szCs w:val="21"/>
          <w:vertAlign w:val="superscript"/>
        </w:rPr>
        <w:t xml:space="preserve"> 2</w:t>
      </w:r>
      <w:r>
        <w:rPr>
          <w:color w:val="000000"/>
          <w:szCs w:val="21"/>
        </w:rPr>
        <w:t>铜芯导体。</w:t>
      </w:r>
    </w:p>
    <w:p w14:paraId="6DC3ED7E">
      <w:pPr>
        <w:spacing w:line="400" w:lineRule="exact"/>
        <w:rPr>
          <w:color w:val="000000"/>
          <w:szCs w:val="21"/>
        </w:rPr>
      </w:pPr>
      <w:r>
        <w:rPr>
          <w:b/>
          <w:bCs/>
          <w:color w:val="000000"/>
          <w:szCs w:val="21"/>
        </w:rPr>
        <w:t xml:space="preserve">8.4.5 </w:t>
      </w:r>
      <w:r>
        <w:rPr>
          <w:color w:val="000000"/>
          <w:szCs w:val="21"/>
        </w:rPr>
        <w:t xml:space="preserve"> 电梯机房应清洁，无杂物，无其</w:t>
      </w:r>
      <w:r>
        <w:rPr>
          <w:rFonts w:hint="eastAsia"/>
          <w:color w:val="000000"/>
          <w:szCs w:val="21"/>
        </w:rPr>
        <w:t>他</w:t>
      </w:r>
      <w:r>
        <w:rPr>
          <w:color w:val="000000"/>
          <w:szCs w:val="21"/>
        </w:rPr>
        <w:t>设备管道和其</w:t>
      </w:r>
      <w:r>
        <w:rPr>
          <w:rFonts w:hint="eastAsia"/>
          <w:color w:val="000000"/>
          <w:szCs w:val="21"/>
        </w:rPr>
        <w:t>他</w:t>
      </w:r>
      <w:r>
        <w:rPr>
          <w:color w:val="000000"/>
          <w:szCs w:val="21"/>
        </w:rPr>
        <w:t>与电梯无关的设备。</w:t>
      </w:r>
    </w:p>
    <w:p w14:paraId="7E5E61F2">
      <w:pPr>
        <w:spacing w:line="400" w:lineRule="exact"/>
        <w:rPr>
          <w:color w:val="000000"/>
          <w:szCs w:val="21"/>
        </w:rPr>
      </w:pPr>
      <w:r>
        <w:rPr>
          <w:b/>
          <w:bCs/>
          <w:color w:val="000000"/>
          <w:szCs w:val="21"/>
        </w:rPr>
        <w:t>8.4.6</w:t>
      </w:r>
      <w:r>
        <w:rPr>
          <w:color w:val="000000"/>
          <w:szCs w:val="21"/>
        </w:rPr>
        <w:t xml:space="preserve">  电梯应运行平稳，轿门带动层门开关应无刮碰，平层准确度应符合</w:t>
      </w:r>
      <w:r>
        <w:rPr>
          <w:rFonts w:hint="eastAsia"/>
          <w:color w:val="000000"/>
          <w:szCs w:val="21"/>
          <w:lang w:val="en-US" w:eastAsia="zh-CN"/>
        </w:rPr>
        <w:t>现行国家标准</w:t>
      </w:r>
      <w:r>
        <w:rPr>
          <w:color w:val="000000"/>
          <w:szCs w:val="21"/>
        </w:rPr>
        <w:t>《电梯工程施工质量验收规范》GB 50310</w:t>
      </w:r>
      <w:r>
        <w:rPr>
          <w:rFonts w:hint="eastAsia"/>
          <w:color w:val="000000"/>
          <w:szCs w:val="21"/>
        </w:rPr>
        <w:t>的</w:t>
      </w:r>
      <w:r>
        <w:rPr>
          <w:color w:val="000000"/>
          <w:szCs w:val="21"/>
        </w:rPr>
        <w:t>规定。</w:t>
      </w:r>
    </w:p>
    <w:p w14:paraId="0AEF33B4">
      <w:pPr>
        <w:spacing w:line="400" w:lineRule="exact"/>
        <w:rPr>
          <w:color w:val="000000"/>
          <w:szCs w:val="21"/>
        </w:rPr>
      </w:pPr>
      <w:r>
        <w:rPr>
          <w:b/>
          <w:bCs/>
          <w:color w:val="000000"/>
          <w:szCs w:val="21"/>
        </w:rPr>
        <w:t xml:space="preserve">8.4.7 </w:t>
      </w:r>
      <w:r>
        <w:rPr>
          <w:color w:val="000000"/>
          <w:szCs w:val="21"/>
        </w:rPr>
        <w:t xml:space="preserve"> 消防电梯的电源应符合设计</w:t>
      </w:r>
      <w:r>
        <w:rPr>
          <w:rFonts w:hint="eastAsia"/>
          <w:color w:val="000000"/>
          <w:szCs w:val="21"/>
        </w:rPr>
        <w:t>要求</w:t>
      </w:r>
      <w:r>
        <w:rPr>
          <w:color w:val="000000"/>
          <w:szCs w:val="21"/>
        </w:rPr>
        <w:t>，并在箱、柜表面有明显“消防”标识。消防电梯机房应为独立防火分区，装饰材料应满足防火等级的要求。</w:t>
      </w:r>
    </w:p>
    <w:bookmarkEnd w:id="428"/>
    <w:bookmarkEnd w:id="429"/>
    <w:bookmarkEnd w:id="430"/>
    <w:bookmarkEnd w:id="431"/>
    <w:bookmarkEnd w:id="432"/>
    <w:p w14:paraId="770086C7">
      <w:pPr>
        <w:spacing w:before="156" w:beforeLines="50" w:after="156" w:afterLines="50" w:line="400" w:lineRule="exact"/>
        <w:jc w:val="center"/>
        <w:rPr>
          <w:rStyle w:val="32"/>
          <w:rFonts w:ascii="Times New Roman" w:hAnsi="Times New Roman" w:eastAsia="黑体"/>
          <w:sz w:val="28"/>
          <w:szCs w:val="28"/>
          <w:lang w:val="en-US"/>
        </w:rPr>
      </w:pPr>
      <w:bookmarkStart w:id="469" w:name="_Toc16824"/>
      <w:bookmarkStart w:id="470" w:name="_Toc23187"/>
      <w:bookmarkStart w:id="471" w:name="_Toc16804"/>
      <w:bookmarkStart w:id="472" w:name="_Toc24444"/>
      <w:r>
        <w:rPr>
          <w:rStyle w:val="32"/>
          <w:rFonts w:ascii="Times New Roman" w:hAnsi="Times New Roman" w:eastAsia="黑体"/>
          <w:b/>
          <w:bCs/>
          <w:sz w:val="28"/>
          <w:szCs w:val="28"/>
          <w:lang w:val="en-US"/>
        </w:rPr>
        <w:br w:type="page"/>
      </w:r>
      <w:r>
        <w:rPr>
          <w:rStyle w:val="32"/>
          <w:rFonts w:ascii="Times New Roman" w:hAnsi="Times New Roman" w:eastAsia="黑体"/>
          <w:b/>
          <w:bCs/>
          <w:sz w:val="28"/>
          <w:szCs w:val="28"/>
          <w:lang w:val="en-US"/>
        </w:rPr>
        <w:t>9</w:t>
      </w:r>
      <w:r>
        <w:rPr>
          <w:rStyle w:val="32"/>
          <w:rFonts w:ascii="Times New Roman" w:hAnsi="Times New Roman" w:eastAsia="黑体"/>
          <w:sz w:val="28"/>
          <w:szCs w:val="28"/>
          <w:lang w:val="en-US"/>
        </w:rPr>
        <w:t xml:space="preserve">  建筑设备安装工程</w:t>
      </w:r>
    </w:p>
    <w:bookmarkEnd w:id="469"/>
    <w:bookmarkEnd w:id="470"/>
    <w:bookmarkEnd w:id="471"/>
    <w:bookmarkEnd w:id="472"/>
    <w:p w14:paraId="706A03D3">
      <w:pPr>
        <w:pStyle w:val="4"/>
        <w:numPr>
          <w:ilvl w:val="1"/>
          <w:numId w:val="0"/>
        </w:numPr>
        <w:spacing w:before="312" w:beforeLines="100" w:line="400" w:lineRule="exact"/>
        <w:jc w:val="center"/>
        <w:rPr>
          <w:rFonts w:ascii="Times New Roman" w:hAnsi="Times New Roman" w:eastAsia="黑体"/>
          <w:sz w:val="24"/>
          <w:szCs w:val="24"/>
        </w:rPr>
      </w:pPr>
      <w:bookmarkStart w:id="473" w:name="_Toc28780"/>
      <w:bookmarkStart w:id="474" w:name="_Toc13784"/>
      <w:bookmarkStart w:id="475" w:name="_Toc8003"/>
      <w:bookmarkStart w:id="476" w:name="_Toc4566"/>
      <w:bookmarkStart w:id="477" w:name="_Toc7334"/>
      <w:bookmarkStart w:id="478" w:name="_Toc3318"/>
      <w:bookmarkStart w:id="479" w:name="_Toc10036"/>
      <w:bookmarkStart w:id="480" w:name="_Toc1943"/>
      <w:bookmarkStart w:id="481" w:name="_Toc12069"/>
      <w:r>
        <w:rPr>
          <w:rFonts w:ascii="Times New Roman" w:hAnsi="Times New Roman" w:eastAsia="黑体"/>
          <w:b/>
          <w:bCs/>
          <w:sz w:val="24"/>
          <w:szCs w:val="24"/>
        </w:rPr>
        <w:t>9.1</w:t>
      </w:r>
      <w:r>
        <w:rPr>
          <w:rFonts w:ascii="Times New Roman" w:hAnsi="Times New Roman" w:eastAsia="黑体"/>
          <w:b/>
          <w:bCs/>
          <w:sz w:val="24"/>
          <w:szCs w:val="24"/>
          <w:lang w:val="en-US"/>
        </w:rPr>
        <w:t xml:space="preserve"> </w:t>
      </w:r>
      <w:r>
        <w:rPr>
          <w:rFonts w:ascii="Times New Roman" w:hAnsi="Times New Roman" w:eastAsia="黑体"/>
          <w:sz w:val="24"/>
          <w:szCs w:val="24"/>
        </w:rPr>
        <w:t xml:space="preserve"> 一般规定</w:t>
      </w:r>
      <w:bookmarkEnd w:id="473"/>
      <w:bookmarkEnd w:id="474"/>
      <w:bookmarkEnd w:id="475"/>
      <w:bookmarkEnd w:id="476"/>
      <w:bookmarkEnd w:id="477"/>
      <w:bookmarkEnd w:id="478"/>
      <w:bookmarkEnd w:id="479"/>
      <w:bookmarkEnd w:id="480"/>
      <w:bookmarkEnd w:id="481"/>
    </w:p>
    <w:p w14:paraId="28D5B722">
      <w:pPr>
        <w:spacing w:line="400" w:lineRule="exact"/>
        <w:rPr>
          <w:color w:val="000000"/>
          <w:szCs w:val="21"/>
          <w:u w:val="single"/>
        </w:rPr>
      </w:pPr>
      <w:r>
        <w:rPr>
          <w:b/>
          <w:color w:val="000000"/>
          <w:szCs w:val="21"/>
        </w:rPr>
        <w:t>9.1.1</w:t>
      </w:r>
      <w:r>
        <w:rPr>
          <w:color w:val="000000"/>
          <w:szCs w:val="21"/>
        </w:rPr>
        <w:t xml:space="preserve">  建筑设备安装工程包括建筑工程室内的给水、排水、热水、中水、雨水、消防、供暖、燃气、通风、空调等系统内管道和</w:t>
      </w:r>
      <w:r>
        <w:rPr>
          <w:rFonts w:hint="eastAsia"/>
          <w:color w:val="000000"/>
          <w:szCs w:val="21"/>
        </w:rPr>
        <w:t>设备安装</w:t>
      </w:r>
      <w:r>
        <w:rPr>
          <w:color w:val="000000"/>
          <w:szCs w:val="21"/>
        </w:rPr>
        <w:t>工程。</w:t>
      </w:r>
    </w:p>
    <w:p w14:paraId="293F356B">
      <w:pPr>
        <w:spacing w:line="400" w:lineRule="exact"/>
        <w:rPr>
          <w:color w:val="000000"/>
          <w:szCs w:val="21"/>
        </w:rPr>
      </w:pPr>
      <w:r>
        <w:rPr>
          <w:b/>
          <w:bCs/>
          <w:color w:val="000000"/>
          <w:szCs w:val="21"/>
        </w:rPr>
        <w:t>9.1.2</w:t>
      </w:r>
      <w:r>
        <w:rPr>
          <w:color w:val="000000"/>
          <w:szCs w:val="21"/>
        </w:rPr>
        <w:t xml:space="preserve">  管道及设备的安装应位置正确、布局合理、排列整齐、安装牢固、成排成线，管道应坡向合理，坡度符合</w:t>
      </w:r>
      <w:r>
        <w:rPr>
          <w:rFonts w:hint="eastAsia"/>
          <w:color w:val="000000"/>
          <w:szCs w:val="21"/>
        </w:rPr>
        <w:t>现行国家标准《建筑给排水及采暖工程施工质量验收规范》GB</w:t>
      </w:r>
      <w:r>
        <w:rPr>
          <w:color w:val="000000"/>
          <w:szCs w:val="21"/>
        </w:rPr>
        <w:t xml:space="preserve"> </w:t>
      </w:r>
      <w:r>
        <w:rPr>
          <w:rFonts w:hint="eastAsia"/>
          <w:color w:val="000000"/>
          <w:szCs w:val="21"/>
        </w:rPr>
        <w:t>50242和《通风与空调工程施工质量验收规范》GB</w:t>
      </w:r>
      <w:r>
        <w:rPr>
          <w:color w:val="000000"/>
          <w:szCs w:val="21"/>
        </w:rPr>
        <w:t xml:space="preserve"> </w:t>
      </w:r>
      <w:r>
        <w:rPr>
          <w:rFonts w:hint="eastAsia"/>
          <w:color w:val="000000"/>
          <w:szCs w:val="21"/>
        </w:rPr>
        <w:t>5024</w:t>
      </w:r>
      <w:r>
        <w:rPr>
          <w:color w:val="000000"/>
          <w:szCs w:val="21"/>
        </w:rPr>
        <w:t>3</w:t>
      </w:r>
      <w:r>
        <w:rPr>
          <w:rFonts w:hint="eastAsia"/>
          <w:color w:val="000000"/>
          <w:szCs w:val="21"/>
        </w:rPr>
        <w:t>的</w:t>
      </w:r>
      <w:r>
        <w:rPr>
          <w:color w:val="000000"/>
          <w:szCs w:val="21"/>
        </w:rPr>
        <w:t>规定和设计要求。同类设备的安装标高应一致，并应符合</w:t>
      </w:r>
      <w:r>
        <w:rPr>
          <w:rFonts w:hint="eastAsia"/>
          <w:color w:val="000000"/>
          <w:szCs w:val="21"/>
        </w:rPr>
        <w:t>下列规定</w:t>
      </w:r>
      <w:r>
        <w:rPr>
          <w:color w:val="000000"/>
          <w:szCs w:val="21"/>
        </w:rPr>
        <w:t>：</w:t>
      </w:r>
    </w:p>
    <w:p w14:paraId="0DDB6193">
      <w:pPr>
        <w:spacing w:line="400" w:lineRule="exact"/>
        <w:ind w:firstLine="422" w:firstLineChars="200"/>
        <w:rPr>
          <w:color w:val="000000"/>
          <w:szCs w:val="21"/>
        </w:rPr>
      </w:pPr>
      <w:r>
        <w:rPr>
          <w:b/>
          <w:color w:val="000000"/>
          <w:szCs w:val="21"/>
        </w:rPr>
        <w:t>1</w:t>
      </w:r>
      <w:r>
        <w:rPr>
          <w:color w:val="000000"/>
          <w:szCs w:val="21"/>
        </w:rPr>
        <w:t xml:space="preserve">  各类管道系统的排列和交叉应符合设计要求，管线之间的平行距离、上下交叉关系及间距，应确保安全。各种附属设备及阀类的设置位置应满足</w:t>
      </w:r>
      <w:r>
        <w:rPr>
          <w:rFonts w:hint="eastAsia"/>
          <w:color w:val="000000"/>
          <w:szCs w:val="21"/>
        </w:rPr>
        <w:t>安装、</w:t>
      </w:r>
      <w:r>
        <w:rPr>
          <w:color w:val="000000"/>
          <w:szCs w:val="21"/>
        </w:rPr>
        <w:t>使用</w:t>
      </w:r>
      <w:r>
        <w:rPr>
          <w:rFonts w:hint="eastAsia"/>
          <w:color w:val="000000"/>
          <w:szCs w:val="21"/>
        </w:rPr>
        <w:t>和</w:t>
      </w:r>
      <w:r>
        <w:rPr>
          <w:color w:val="000000"/>
          <w:szCs w:val="21"/>
        </w:rPr>
        <w:t>检修要求；</w:t>
      </w:r>
    </w:p>
    <w:p w14:paraId="13A59F4B">
      <w:pPr>
        <w:spacing w:line="400" w:lineRule="exact"/>
        <w:ind w:firstLine="422" w:firstLineChars="200"/>
        <w:rPr>
          <w:color w:val="000000"/>
          <w:szCs w:val="21"/>
        </w:rPr>
      </w:pPr>
      <w:r>
        <w:rPr>
          <w:b/>
          <w:color w:val="000000"/>
          <w:szCs w:val="21"/>
        </w:rPr>
        <w:t>2</w:t>
      </w:r>
      <w:r>
        <w:rPr>
          <w:color w:val="000000"/>
          <w:szCs w:val="21"/>
        </w:rPr>
        <w:t xml:space="preserve">  各类管道和设备距墙体、地面、顶部的距离，应按</w:t>
      </w:r>
      <w:r>
        <w:rPr>
          <w:rFonts w:hint="eastAsia"/>
          <w:color w:val="000000"/>
          <w:szCs w:val="21"/>
        </w:rPr>
        <w:t>设计</w:t>
      </w:r>
      <w:r>
        <w:rPr>
          <w:color w:val="000000"/>
          <w:szCs w:val="21"/>
        </w:rPr>
        <w:t>要求设置合理间距及</w:t>
      </w:r>
      <w:r>
        <w:rPr>
          <w:rFonts w:hint="eastAsia"/>
          <w:color w:val="000000"/>
          <w:szCs w:val="21"/>
        </w:rPr>
        <w:t>检修通道</w:t>
      </w:r>
      <w:r>
        <w:rPr>
          <w:color w:val="000000"/>
          <w:kern w:val="21"/>
          <w:szCs w:val="21"/>
        </w:rPr>
        <w:t>；</w:t>
      </w:r>
    </w:p>
    <w:p w14:paraId="0B571133">
      <w:pPr>
        <w:spacing w:line="400" w:lineRule="exact"/>
        <w:ind w:firstLine="422" w:firstLineChars="200"/>
        <w:rPr>
          <w:color w:val="000000"/>
          <w:szCs w:val="21"/>
        </w:rPr>
      </w:pPr>
      <w:r>
        <w:rPr>
          <w:b/>
          <w:color w:val="000000"/>
          <w:szCs w:val="21"/>
        </w:rPr>
        <w:t>3</w:t>
      </w:r>
      <w:r>
        <w:rPr>
          <w:color w:val="000000"/>
          <w:szCs w:val="21"/>
        </w:rPr>
        <w:t xml:space="preserve">  压力管道高点应有排气装置，低点应有泄水装置，非承压管道不得倒坡。不同类别的管道坡度均应满足气、水流动及排出功能。</w:t>
      </w:r>
    </w:p>
    <w:p w14:paraId="27E2BA78">
      <w:pPr>
        <w:spacing w:line="400" w:lineRule="exact"/>
        <w:rPr>
          <w:color w:val="000000"/>
          <w:szCs w:val="21"/>
        </w:rPr>
      </w:pPr>
      <w:r>
        <w:rPr>
          <w:b/>
          <w:bCs/>
          <w:color w:val="000000"/>
          <w:szCs w:val="21"/>
        </w:rPr>
        <w:t>9.1.3</w:t>
      </w:r>
      <w:r>
        <w:rPr>
          <w:color w:val="000000"/>
          <w:szCs w:val="21"/>
        </w:rPr>
        <w:t xml:space="preserve">  管道及设备支、</w:t>
      </w:r>
      <w:r>
        <w:rPr>
          <w:rFonts w:hint="eastAsia"/>
          <w:color w:val="000000"/>
          <w:szCs w:val="21"/>
        </w:rPr>
        <w:t>吊架</w:t>
      </w:r>
      <w:r>
        <w:rPr>
          <w:color w:val="000000"/>
          <w:szCs w:val="21"/>
        </w:rPr>
        <w:t>安装应符合</w:t>
      </w:r>
      <w:r>
        <w:rPr>
          <w:rFonts w:hint="eastAsia"/>
          <w:color w:val="000000"/>
          <w:szCs w:val="21"/>
        </w:rPr>
        <w:t>下列规定</w:t>
      </w:r>
      <w:r>
        <w:rPr>
          <w:color w:val="000000"/>
          <w:szCs w:val="21"/>
        </w:rPr>
        <w:t>：</w:t>
      </w:r>
    </w:p>
    <w:p w14:paraId="5687BCE4">
      <w:pPr>
        <w:spacing w:line="400" w:lineRule="exact"/>
        <w:ind w:firstLine="422" w:firstLineChars="200"/>
        <w:rPr>
          <w:color w:val="000000"/>
          <w:szCs w:val="21"/>
        </w:rPr>
      </w:pPr>
      <w:r>
        <w:rPr>
          <w:b/>
          <w:color w:val="000000"/>
          <w:szCs w:val="21"/>
        </w:rPr>
        <w:t>1</w:t>
      </w:r>
      <w:r>
        <w:rPr>
          <w:color w:val="000000"/>
          <w:szCs w:val="21"/>
        </w:rPr>
        <w:t xml:space="preserve">  主</w:t>
      </w:r>
      <w:r>
        <w:rPr>
          <w:rFonts w:hint="eastAsia"/>
          <w:color w:val="000000"/>
          <w:szCs w:val="21"/>
        </w:rPr>
        <w:t>干</w:t>
      </w:r>
      <w:r>
        <w:rPr>
          <w:color w:val="000000"/>
          <w:szCs w:val="21"/>
        </w:rPr>
        <w:t>管道及设备承重支、</w:t>
      </w:r>
      <w:r>
        <w:rPr>
          <w:rFonts w:hint="eastAsia"/>
          <w:color w:val="000000"/>
          <w:szCs w:val="21"/>
        </w:rPr>
        <w:t>吊架</w:t>
      </w:r>
      <w:r>
        <w:rPr>
          <w:color w:val="000000"/>
          <w:szCs w:val="21"/>
        </w:rPr>
        <w:t>的材质、类型、构造、规格及固定措施、减振形式、多根管道共用的支、</w:t>
      </w:r>
      <w:r>
        <w:rPr>
          <w:rFonts w:hint="eastAsia"/>
          <w:color w:val="000000"/>
          <w:szCs w:val="21"/>
        </w:rPr>
        <w:t>吊架</w:t>
      </w:r>
      <w:r>
        <w:rPr>
          <w:color w:val="000000"/>
          <w:szCs w:val="21"/>
        </w:rPr>
        <w:t>等，应符合设计要求；</w:t>
      </w:r>
    </w:p>
    <w:p w14:paraId="1647F0AF">
      <w:pPr>
        <w:spacing w:line="400" w:lineRule="exact"/>
        <w:ind w:firstLine="422" w:firstLineChars="200"/>
        <w:rPr>
          <w:color w:val="000000"/>
          <w:szCs w:val="21"/>
        </w:rPr>
      </w:pPr>
      <w:r>
        <w:rPr>
          <w:b/>
          <w:color w:val="000000"/>
          <w:szCs w:val="21"/>
        </w:rPr>
        <w:t>2</w:t>
      </w:r>
      <w:r>
        <w:rPr>
          <w:color w:val="000000"/>
          <w:szCs w:val="21"/>
        </w:rPr>
        <w:t xml:space="preserve">  支、吊架设置位置和间距应符合</w:t>
      </w:r>
      <w:r>
        <w:rPr>
          <w:rFonts w:hint="eastAsia"/>
          <w:color w:val="000000"/>
          <w:szCs w:val="21"/>
        </w:rPr>
        <w:t>设计</w:t>
      </w:r>
      <w:r>
        <w:rPr>
          <w:color w:val="000000"/>
          <w:szCs w:val="21"/>
        </w:rPr>
        <w:t>要求，各类支、</w:t>
      </w:r>
      <w:r>
        <w:rPr>
          <w:rFonts w:hint="eastAsia"/>
          <w:color w:val="000000"/>
          <w:szCs w:val="21"/>
        </w:rPr>
        <w:t>吊架</w:t>
      </w:r>
      <w:r>
        <w:rPr>
          <w:color w:val="000000"/>
          <w:szCs w:val="21"/>
        </w:rPr>
        <w:t>应与支撑物接触紧密，安装应平整牢固；</w:t>
      </w:r>
    </w:p>
    <w:p w14:paraId="28B97F1F">
      <w:pPr>
        <w:spacing w:line="400" w:lineRule="exact"/>
        <w:ind w:firstLine="422" w:firstLineChars="200"/>
        <w:rPr>
          <w:color w:val="000000"/>
          <w:szCs w:val="21"/>
        </w:rPr>
      </w:pPr>
      <w:r>
        <w:rPr>
          <w:b/>
          <w:color w:val="000000"/>
          <w:szCs w:val="21"/>
        </w:rPr>
        <w:t>3</w:t>
      </w:r>
      <w:r>
        <w:rPr>
          <w:color w:val="000000"/>
          <w:szCs w:val="21"/>
        </w:rPr>
        <w:t xml:space="preserve">  </w:t>
      </w:r>
      <w:r>
        <w:rPr>
          <w:rFonts w:hint="eastAsia"/>
          <w:color w:val="000000"/>
          <w:szCs w:val="21"/>
        </w:rPr>
        <w:t>有振动产生</w:t>
      </w:r>
      <w:r>
        <w:rPr>
          <w:color w:val="000000"/>
          <w:szCs w:val="21"/>
        </w:rPr>
        <w:t>的设备，其减振柔性接口内侧短管或弯头不应设置承重支架，柔性接口外侧管道及附属设备应设置承重支架；</w:t>
      </w:r>
    </w:p>
    <w:p w14:paraId="271CC0D0">
      <w:pPr>
        <w:spacing w:line="400" w:lineRule="exact"/>
        <w:ind w:firstLine="422" w:firstLineChars="200"/>
        <w:rPr>
          <w:color w:val="000000"/>
          <w:szCs w:val="21"/>
        </w:rPr>
      </w:pPr>
      <w:r>
        <w:rPr>
          <w:b/>
          <w:color w:val="000000"/>
          <w:szCs w:val="21"/>
        </w:rPr>
        <w:t>4</w:t>
      </w:r>
      <w:r>
        <w:rPr>
          <w:color w:val="000000"/>
          <w:szCs w:val="21"/>
        </w:rPr>
        <w:t xml:space="preserve">  带有隔热、隔冷层和保护层的支、</w:t>
      </w:r>
      <w:r>
        <w:rPr>
          <w:rFonts w:hint="eastAsia"/>
          <w:color w:val="000000"/>
          <w:szCs w:val="21"/>
        </w:rPr>
        <w:t>吊架</w:t>
      </w:r>
      <w:r>
        <w:rPr>
          <w:color w:val="000000"/>
          <w:szCs w:val="21"/>
        </w:rPr>
        <w:t>，不应有脱落、松散和活动现象，整体支架应平整牢固；</w:t>
      </w:r>
    </w:p>
    <w:p w14:paraId="0E3140DD">
      <w:pPr>
        <w:spacing w:line="400" w:lineRule="exact"/>
        <w:ind w:firstLine="422" w:firstLineChars="200"/>
        <w:rPr>
          <w:color w:val="000000"/>
          <w:szCs w:val="21"/>
        </w:rPr>
      </w:pPr>
      <w:r>
        <w:rPr>
          <w:b/>
          <w:color w:val="000000"/>
          <w:szCs w:val="21"/>
        </w:rPr>
        <w:t>5</w:t>
      </w:r>
      <w:r>
        <w:rPr>
          <w:color w:val="000000"/>
          <w:szCs w:val="21"/>
        </w:rPr>
        <w:t xml:space="preserve">  设备的配管及防火阀、水表、大型阀类等附件应按规范要求设置独立支架。防晃支架本体不得活动，活动支架应保证管道自由伸缩，固定支架应保证管道固定牢固。</w:t>
      </w:r>
      <w:r>
        <w:rPr>
          <w:color w:val="000000"/>
          <w:kern w:val="2"/>
          <w:szCs w:val="21"/>
        </w:rPr>
        <w:t>任何支架均不应与风管、水管及设备</w:t>
      </w:r>
      <w:r>
        <w:rPr>
          <w:bCs/>
          <w:color w:val="000000"/>
          <w:szCs w:val="21"/>
        </w:rPr>
        <w:t>本体</w:t>
      </w:r>
      <w:r>
        <w:rPr>
          <w:color w:val="000000"/>
          <w:kern w:val="2"/>
          <w:szCs w:val="21"/>
        </w:rPr>
        <w:t>直接焊接固定，必要时增设焊件背板或预留焊件接头；</w:t>
      </w:r>
    </w:p>
    <w:p w14:paraId="3256EAF9">
      <w:pPr>
        <w:spacing w:line="400" w:lineRule="exact"/>
        <w:ind w:firstLine="422" w:firstLineChars="200"/>
        <w:rPr>
          <w:color w:val="000000"/>
          <w:szCs w:val="21"/>
        </w:rPr>
      </w:pPr>
      <w:r>
        <w:rPr>
          <w:b/>
          <w:color w:val="000000"/>
          <w:szCs w:val="21"/>
        </w:rPr>
        <w:t>6</w:t>
      </w:r>
      <w:r>
        <w:rPr>
          <w:color w:val="000000"/>
          <w:szCs w:val="21"/>
        </w:rPr>
        <w:t xml:space="preserve">  风管、水管吊架的吊杆应顺直，不</w:t>
      </w:r>
      <w:r>
        <w:rPr>
          <w:rFonts w:hint="eastAsia"/>
          <w:color w:val="000000"/>
          <w:szCs w:val="21"/>
        </w:rPr>
        <w:t>应</w:t>
      </w:r>
      <w:r>
        <w:rPr>
          <w:color w:val="000000"/>
          <w:szCs w:val="21"/>
        </w:rPr>
        <w:t>有松动现象；</w:t>
      </w:r>
      <w:r>
        <w:rPr>
          <w:rFonts w:hint="eastAsia"/>
          <w:color w:val="000000"/>
          <w:szCs w:val="21"/>
        </w:rPr>
        <w:t>支、吊架的设置不应影响阀门、自控机构的正常动作；</w:t>
      </w:r>
    </w:p>
    <w:p w14:paraId="6EBFB648">
      <w:pPr>
        <w:spacing w:line="400" w:lineRule="exact"/>
        <w:ind w:firstLine="422" w:firstLineChars="200"/>
        <w:rPr>
          <w:bCs/>
          <w:color w:val="000000"/>
          <w:szCs w:val="21"/>
        </w:rPr>
      </w:pPr>
      <w:r>
        <w:rPr>
          <w:b/>
          <w:color w:val="000000"/>
          <w:szCs w:val="21"/>
        </w:rPr>
        <w:t>7</w:t>
      </w:r>
      <w:r>
        <w:rPr>
          <w:bCs/>
          <w:color w:val="000000"/>
          <w:szCs w:val="21"/>
        </w:rPr>
        <w:t xml:space="preserve">  设备和管道应按设计要求设置</w:t>
      </w:r>
      <w:r>
        <w:rPr>
          <w:rFonts w:hint="eastAsia"/>
          <w:bCs/>
          <w:color w:val="000000"/>
          <w:szCs w:val="21"/>
        </w:rPr>
        <w:t>、</w:t>
      </w:r>
      <w:r>
        <w:rPr>
          <w:bCs/>
          <w:color w:val="000000"/>
          <w:szCs w:val="21"/>
        </w:rPr>
        <w:t>安装抗震支吊架；</w:t>
      </w:r>
    </w:p>
    <w:p w14:paraId="2B3099C4">
      <w:pPr>
        <w:spacing w:line="400" w:lineRule="exact"/>
        <w:ind w:firstLine="422" w:firstLineChars="200"/>
        <w:rPr>
          <w:bCs/>
          <w:color w:val="000000"/>
          <w:szCs w:val="21"/>
        </w:rPr>
      </w:pPr>
      <w:r>
        <w:rPr>
          <w:b/>
          <w:color w:val="000000"/>
          <w:szCs w:val="21"/>
        </w:rPr>
        <w:t>8</w:t>
      </w:r>
      <w:r>
        <w:rPr>
          <w:bCs/>
          <w:color w:val="000000"/>
          <w:szCs w:val="21"/>
        </w:rPr>
        <w:t xml:space="preserve">  当设备、管道材质与支、吊架材质不一致时，应在设备、管道与支、吊架间采取</w:t>
      </w:r>
      <w:r>
        <w:rPr>
          <w:rFonts w:hint="eastAsia"/>
          <w:bCs/>
          <w:color w:val="000000"/>
          <w:szCs w:val="21"/>
        </w:rPr>
        <w:t>防电化学腐蚀措施。</w:t>
      </w:r>
    </w:p>
    <w:p w14:paraId="63F2F547">
      <w:pPr>
        <w:spacing w:line="400" w:lineRule="exact"/>
        <w:rPr>
          <w:color w:val="000000"/>
          <w:szCs w:val="21"/>
        </w:rPr>
      </w:pPr>
      <w:r>
        <w:rPr>
          <w:b/>
          <w:bCs/>
          <w:color w:val="000000"/>
          <w:szCs w:val="21"/>
        </w:rPr>
        <w:t>9.1.4</w:t>
      </w:r>
      <w:r>
        <w:rPr>
          <w:color w:val="000000"/>
          <w:szCs w:val="21"/>
        </w:rPr>
        <w:t xml:space="preserve">  管道及设备的连接应平整、严密、无渗漏，其备甩接口应封闭严密。管道及设备的柔性接头和管道接口不得承担管道和配件重量。各类连接形式应符合</w:t>
      </w:r>
      <w:r>
        <w:rPr>
          <w:rFonts w:hint="eastAsia"/>
          <w:color w:val="000000"/>
          <w:szCs w:val="21"/>
        </w:rPr>
        <w:t>下列规定</w:t>
      </w:r>
      <w:r>
        <w:rPr>
          <w:color w:val="000000"/>
          <w:szCs w:val="21"/>
        </w:rPr>
        <w:t>：</w:t>
      </w:r>
    </w:p>
    <w:p w14:paraId="198FB071">
      <w:pPr>
        <w:spacing w:line="400" w:lineRule="exact"/>
        <w:ind w:firstLine="422" w:firstLineChars="200"/>
        <w:rPr>
          <w:color w:val="000000"/>
          <w:szCs w:val="21"/>
        </w:rPr>
      </w:pPr>
      <w:r>
        <w:rPr>
          <w:b/>
          <w:color w:val="000000"/>
          <w:szCs w:val="21"/>
        </w:rPr>
        <w:t>1</w:t>
      </w:r>
      <w:r>
        <w:rPr>
          <w:color w:val="000000"/>
          <w:szCs w:val="21"/>
        </w:rPr>
        <w:t xml:space="preserve">  管道焊接的焊缝高度、宽度应符合</w:t>
      </w:r>
      <w:r>
        <w:rPr>
          <w:rFonts w:hint="eastAsia"/>
          <w:color w:val="000000"/>
          <w:szCs w:val="21"/>
        </w:rPr>
        <w:t>要求</w:t>
      </w:r>
      <w:r>
        <w:rPr>
          <w:color w:val="000000"/>
          <w:szCs w:val="21"/>
        </w:rPr>
        <w:t>，接口应均匀，弧线应圆滑，不应有焊瘤、夹渣、气孔、咬肉及未熔合、未焊透现象。对口焊接和分支管焊接错口不应大于2 mm，表面间隙应符合规范规定；</w:t>
      </w:r>
    </w:p>
    <w:p w14:paraId="71582E64">
      <w:pPr>
        <w:spacing w:line="400" w:lineRule="exact"/>
        <w:ind w:firstLine="422" w:firstLineChars="200"/>
        <w:rPr>
          <w:color w:val="000000"/>
          <w:szCs w:val="21"/>
        </w:rPr>
      </w:pPr>
      <w:r>
        <w:rPr>
          <w:b/>
          <w:color w:val="000000"/>
          <w:szCs w:val="21"/>
        </w:rPr>
        <w:t>2</w:t>
      </w:r>
      <w:r>
        <w:rPr>
          <w:color w:val="000000"/>
          <w:szCs w:val="21"/>
        </w:rPr>
        <w:t xml:space="preserve">  螺纹连接时，选用管件应正确，螺纹应规整，不应有断丝、缺丝、外露填料。螺纹应外露2扣～3扣，连接后应清理多余的麻丝并做好防腐处理，不应有锈蚀及损坏螺纹现象；</w:t>
      </w:r>
    </w:p>
    <w:p w14:paraId="136C9A3B">
      <w:pPr>
        <w:spacing w:line="400" w:lineRule="exact"/>
        <w:ind w:firstLine="422" w:firstLineChars="200"/>
        <w:rPr>
          <w:color w:val="000000"/>
          <w:szCs w:val="21"/>
        </w:rPr>
      </w:pPr>
      <w:r>
        <w:rPr>
          <w:b/>
          <w:color w:val="000000"/>
          <w:szCs w:val="21"/>
        </w:rPr>
        <w:t>3</w:t>
      </w:r>
      <w:r>
        <w:rPr>
          <w:color w:val="000000"/>
          <w:szCs w:val="21"/>
        </w:rPr>
        <w:t xml:space="preserve">  法兰连接时，法兰和衬垫规格、材质、厚度应符合设计要求，对接应平行、紧密，并应与管中心线垂直。不得使用双垫、偏垫，不应有衬垫外露现象。螺杆突出螺母长度应一致，并不应大于螺杆直径的1/2。朝向应合理，应无锈蚀。大型螺栓应涂以黄油养护；</w:t>
      </w:r>
    </w:p>
    <w:p w14:paraId="4C5A6FCE">
      <w:pPr>
        <w:spacing w:line="400" w:lineRule="exact"/>
        <w:ind w:firstLine="422" w:firstLineChars="200"/>
        <w:rPr>
          <w:color w:val="000000"/>
          <w:szCs w:val="21"/>
        </w:rPr>
      </w:pPr>
      <w:r>
        <w:rPr>
          <w:b/>
          <w:color w:val="000000"/>
          <w:szCs w:val="21"/>
        </w:rPr>
        <w:t>4</w:t>
      </w:r>
      <w:r>
        <w:rPr>
          <w:color w:val="000000"/>
          <w:szCs w:val="21"/>
        </w:rPr>
        <w:t xml:space="preserve">  承插、套箍、卡箍接口时，接口的构造和使用的材料、填料、垫圈，粘结剂的品种、性能、质量，应符合设计要求。接口填料应密实，接口应平整严密、无扭曲，接口间隙应一致；</w:t>
      </w:r>
    </w:p>
    <w:p w14:paraId="22181C31">
      <w:pPr>
        <w:spacing w:line="400" w:lineRule="exact"/>
        <w:ind w:firstLine="422" w:firstLineChars="200"/>
        <w:rPr>
          <w:b/>
          <w:color w:val="000000"/>
          <w:szCs w:val="21"/>
        </w:rPr>
      </w:pPr>
      <w:r>
        <w:rPr>
          <w:rFonts w:hint="eastAsia"/>
          <w:b/>
          <w:color w:val="000000"/>
          <w:szCs w:val="21"/>
        </w:rPr>
        <w:t>5</w:t>
      </w:r>
      <w:r>
        <w:rPr>
          <w:b/>
          <w:color w:val="000000"/>
          <w:szCs w:val="21"/>
        </w:rPr>
        <w:t xml:space="preserve"> </w:t>
      </w:r>
      <w:r>
        <w:rPr>
          <w:rFonts w:hint="eastAsia"/>
          <w:bCs/>
          <w:color w:val="000000"/>
          <w:szCs w:val="21"/>
        </w:rPr>
        <w:t>塑料管道热熔、电熔连接的连接件应采用管道同质材料。热熔管道焊接面应平整吻合，焊缝均匀圆滑，无错位、虚焊现象。电熔接头与管道贴合严密；</w:t>
      </w:r>
    </w:p>
    <w:p w14:paraId="5E829976">
      <w:pPr>
        <w:spacing w:line="400" w:lineRule="exact"/>
        <w:ind w:firstLine="422" w:firstLineChars="200"/>
        <w:rPr>
          <w:color w:val="000000"/>
          <w:szCs w:val="21"/>
        </w:rPr>
      </w:pPr>
      <w:r>
        <w:rPr>
          <w:b/>
          <w:color w:val="000000"/>
          <w:szCs w:val="21"/>
        </w:rPr>
        <w:t xml:space="preserve">6 </w:t>
      </w:r>
      <w:r>
        <w:rPr>
          <w:color w:val="000000"/>
          <w:szCs w:val="21"/>
        </w:rPr>
        <w:t xml:space="preserve"> 各类可拆卸的活动接口所使用的填料应按规范规定和设计要求选择品种。对防水、防火、耐热等有要求的，应选用有检测证明的防水、耐热、阻燃或不燃的填料。所有填料应平整、密实、无外露现象。</w:t>
      </w:r>
    </w:p>
    <w:p w14:paraId="3EBD775F">
      <w:pPr>
        <w:spacing w:line="400" w:lineRule="exact"/>
        <w:rPr>
          <w:color w:val="000000"/>
          <w:szCs w:val="21"/>
        </w:rPr>
      </w:pPr>
      <w:r>
        <w:rPr>
          <w:b/>
          <w:bCs/>
          <w:color w:val="000000"/>
          <w:szCs w:val="21"/>
        </w:rPr>
        <w:t>9.1.5</w:t>
      </w:r>
      <w:r>
        <w:rPr>
          <w:color w:val="000000"/>
          <w:szCs w:val="21"/>
        </w:rPr>
        <w:t xml:space="preserve">  穿墙、穿楼板的管道套管安装应符合</w:t>
      </w:r>
      <w:r>
        <w:rPr>
          <w:rFonts w:hint="eastAsia"/>
          <w:color w:val="000000"/>
          <w:szCs w:val="21"/>
        </w:rPr>
        <w:t>下列规定</w:t>
      </w:r>
      <w:r>
        <w:rPr>
          <w:color w:val="000000"/>
          <w:szCs w:val="21"/>
        </w:rPr>
        <w:t>：</w:t>
      </w:r>
    </w:p>
    <w:p w14:paraId="13F1C52E">
      <w:pPr>
        <w:spacing w:line="400" w:lineRule="exact"/>
        <w:ind w:firstLine="422" w:firstLineChars="200"/>
        <w:rPr>
          <w:color w:val="000000"/>
          <w:szCs w:val="21"/>
        </w:rPr>
      </w:pPr>
      <w:r>
        <w:rPr>
          <w:b/>
          <w:color w:val="000000"/>
          <w:szCs w:val="21"/>
        </w:rPr>
        <w:t>1</w:t>
      </w:r>
      <w:r>
        <w:rPr>
          <w:color w:val="000000"/>
          <w:szCs w:val="21"/>
        </w:rPr>
        <w:t xml:space="preserve">  风管及水管系统的套管材质、规格、尺寸、位置、形式，均应符合</w:t>
      </w:r>
      <w:r>
        <w:rPr>
          <w:rFonts w:hint="eastAsia"/>
          <w:color w:val="000000"/>
          <w:szCs w:val="21"/>
        </w:rPr>
        <w:t>现行国家标准《建筑给水排水及采暖工程施工质量验收规范》GB</w:t>
      </w:r>
      <w:r>
        <w:rPr>
          <w:color w:val="000000"/>
          <w:szCs w:val="21"/>
        </w:rPr>
        <w:t xml:space="preserve"> </w:t>
      </w:r>
      <w:r>
        <w:rPr>
          <w:rFonts w:hint="eastAsia"/>
          <w:color w:val="000000"/>
          <w:szCs w:val="21"/>
        </w:rPr>
        <w:t>50242和《通风与空调工程施工质量验收规范》GB</w:t>
      </w:r>
      <w:r>
        <w:rPr>
          <w:color w:val="000000"/>
          <w:szCs w:val="21"/>
        </w:rPr>
        <w:t xml:space="preserve"> </w:t>
      </w:r>
      <w:r>
        <w:rPr>
          <w:rFonts w:hint="eastAsia"/>
          <w:color w:val="000000"/>
          <w:szCs w:val="21"/>
        </w:rPr>
        <w:t>50243的</w:t>
      </w:r>
      <w:r>
        <w:rPr>
          <w:color w:val="000000"/>
          <w:szCs w:val="21"/>
        </w:rPr>
        <w:t>规定和设计要求。管道套管尺寸应考虑保温层厚度合理设置，套管应位置准确、平整、居中，套管内填料材质应符合设计要求且填料严密。防火、防水套管，应有完整的隐蔽验收记录；</w:t>
      </w:r>
    </w:p>
    <w:p w14:paraId="4D13591E">
      <w:pPr>
        <w:spacing w:line="400" w:lineRule="exact"/>
        <w:ind w:firstLine="422" w:firstLineChars="200"/>
        <w:rPr>
          <w:color w:val="000000"/>
          <w:szCs w:val="21"/>
        </w:rPr>
      </w:pPr>
      <w:r>
        <w:rPr>
          <w:b/>
          <w:color w:val="000000"/>
          <w:szCs w:val="21"/>
        </w:rPr>
        <w:t>2</w:t>
      </w:r>
      <w:r>
        <w:rPr>
          <w:color w:val="000000"/>
          <w:szCs w:val="21"/>
        </w:rPr>
        <w:t xml:space="preserve">  带有伸缩性的蒸气、热水、供暖、空调水等管道穿越楼板、墙体、地面时，应加设套管；</w:t>
      </w:r>
    </w:p>
    <w:p w14:paraId="4A1C11D6">
      <w:pPr>
        <w:spacing w:line="400" w:lineRule="exact"/>
        <w:ind w:firstLine="422" w:firstLineChars="200"/>
        <w:rPr>
          <w:color w:val="000000"/>
          <w:szCs w:val="21"/>
        </w:rPr>
      </w:pPr>
      <w:r>
        <w:rPr>
          <w:b/>
          <w:color w:val="000000"/>
          <w:szCs w:val="21"/>
        </w:rPr>
        <w:t>3</w:t>
      </w:r>
      <w:r>
        <w:rPr>
          <w:bCs/>
          <w:color w:val="000000"/>
          <w:szCs w:val="21"/>
        </w:rPr>
        <w:t xml:space="preserve">  </w:t>
      </w:r>
      <w:r>
        <w:rPr>
          <w:color w:val="000000"/>
          <w:szCs w:val="21"/>
        </w:rPr>
        <w:t>穿越防火分区和防火设备间的风管、</w:t>
      </w:r>
      <w:r>
        <w:rPr>
          <w:bCs/>
          <w:color w:val="000000"/>
          <w:szCs w:val="21"/>
        </w:rPr>
        <w:t>水管</w:t>
      </w:r>
      <w:r>
        <w:rPr>
          <w:color w:val="000000"/>
          <w:szCs w:val="21"/>
        </w:rPr>
        <w:t>，应加设</w:t>
      </w:r>
      <w:r>
        <w:rPr>
          <w:rFonts w:hint="eastAsia"/>
          <w:color w:val="000000"/>
          <w:szCs w:val="21"/>
        </w:rPr>
        <w:t>钢制防护</w:t>
      </w:r>
      <w:r>
        <w:rPr>
          <w:color w:val="000000"/>
          <w:szCs w:val="21"/>
        </w:rPr>
        <w:t>套管，其钢板厚度不应小于</w:t>
      </w:r>
      <w:r>
        <w:rPr>
          <w:bCs/>
          <w:color w:val="000000"/>
          <w:szCs w:val="21"/>
        </w:rPr>
        <w:t>1.6 mm</w:t>
      </w:r>
      <w:r>
        <w:rPr>
          <w:color w:val="000000"/>
          <w:szCs w:val="21"/>
        </w:rPr>
        <w:t>，填料应使用不燃材料；</w:t>
      </w:r>
    </w:p>
    <w:p w14:paraId="2B5108A1">
      <w:pPr>
        <w:spacing w:line="400" w:lineRule="exact"/>
        <w:ind w:firstLine="422" w:firstLineChars="200"/>
        <w:rPr>
          <w:color w:val="000000"/>
          <w:szCs w:val="21"/>
        </w:rPr>
      </w:pPr>
      <w:r>
        <w:rPr>
          <w:b/>
          <w:color w:val="000000"/>
          <w:szCs w:val="21"/>
        </w:rPr>
        <w:t>4</w:t>
      </w:r>
      <w:r>
        <w:rPr>
          <w:bCs/>
          <w:color w:val="000000"/>
          <w:szCs w:val="21"/>
        </w:rPr>
        <w:t xml:space="preserve">  </w:t>
      </w:r>
      <w:r>
        <w:rPr>
          <w:color w:val="000000"/>
          <w:szCs w:val="21"/>
        </w:rPr>
        <w:t>穿越建筑外围结构和有防水要求的房间墙面、地面等构筑物的管道，应设防水套管，其采用的填料应具备防水功能，应按设计要求选用刚性或柔性填料；</w:t>
      </w:r>
    </w:p>
    <w:p w14:paraId="4497C914">
      <w:pPr>
        <w:spacing w:line="400" w:lineRule="exact"/>
        <w:ind w:firstLine="422" w:firstLineChars="200"/>
        <w:rPr>
          <w:color w:val="000000"/>
          <w:szCs w:val="21"/>
        </w:rPr>
      </w:pPr>
      <w:r>
        <w:rPr>
          <w:b/>
          <w:color w:val="000000"/>
          <w:szCs w:val="21"/>
        </w:rPr>
        <w:t xml:space="preserve">5  </w:t>
      </w:r>
      <w:r>
        <w:rPr>
          <w:color w:val="000000"/>
          <w:szCs w:val="21"/>
        </w:rPr>
        <w:t>外表面有</w:t>
      </w:r>
      <w:r>
        <w:rPr>
          <w:bCs/>
          <w:color w:val="000000"/>
          <w:szCs w:val="21"/>
        </w:rPr>
        <w:t>保护</w:t>
      </w:r>
      <w:r>
        <w:rPr>
          <w:color w:val="000000"/>
          <w:szCs w:val="21"/>
        </w:rPr>
        <w:t>要求的管道，应安装保护性套管；</w:t>
      </w:r>
    </w:p>
    <w:p w14:paraId="1EC4A79C">
      <w:pPr>
        <w:spacing w:line="400" w:lineRule="exact"/>
        <w:ind w:firstLine="422" w:firstLineChars="200"/>
        <w:rPr>
          <w:color w:val="000000"/>
          <w:szCs w:val="21"/>
        </w:rPr>
      </w:pPr>
      <w:r>
        <w:rPr>
          <w:b/>
          <w:color w:val="000000"/>
          <w:szCs w:val="21"/>
        </w:rPr>
        <w:t>6</w:t>
      </w:r>
      <w:r>
        <w:rPr>
          <w:color w:val="000000"/>
          <w:szCs w:val="21"/>
        </w:rPr>
        <w:t xml:space="preserve">  套管安装的</w:t>
      </w:r>
      <w:r>
        <w:rPr>
          <w:bCs/>
          <w:color w:val="000000"/>
          <w:szCs w:val="21"/>
        </w:rPr>
        <w:t>轴线</w:t>
      </w:r>
      <w:r>
        <w:rPr>
          <w:color w:val="000000"/>
          <w:szCs w:val="21"/>
        </w:rPr>
        <w:t>应与管道轴线一致，套管与管道间隙应均匀，穿墙套管两端应与墙装饰面平齐。穿楼板套管的顶部应高出</w:t>
      </w:r>
      <w:r>
        <w:rPr>
          <w:rFonts w:hint="eastAsia"/>
          <w:color w:val="000000"/>
          <w:kern w:val="21"/>
          <w:szCs w:val="21"/>
        </w:rPr>
        <w:t>完成面</w:t>
      </w:r>
      <w:r>
        <w:rPr>
          <w:color w:val="000000"/>
          <w:szCs w:val="21"/>
        </w:rPr>
        <w:t>20 mm，有排水的地面应高出</w:t>
      </w:r>
      <w:r>
        <w:rPr>
          <w:rFonts w:hint="eastAsia"/>
          <w:color w:val="000000"/>
          <w:kern w:val="21"/>
          <w:szCs w:val="21"/>
        </w:rPr>
        <w:t>完成面</w:t>
      </w:r>
      <w:r>
        <w:rPr>
          <w:color w:val="000000"/>
          <w:szCs w:val="21"/>
        </w:rPr>
        <w:t>50 mm。套管底部应与楼板面平齐，各类套管内不得有管道接口。套管内填料应密实、规整，填料品种、性能应符合</w:t>
      </w:r>
      <w:r>
        <w:rPr>
          <w:rFonts w:hint="eastAsia"/>
          <w:color w:val="000000"/>
          <w:szCs w:val="21"/>
        </w:rPr>
        <w:t>设计要求</w:t>
      </w:r>
      <w:r>
        <w:rPr>
          <w:color w:val="000000"/>
          <w:szCs w:val="21"/>
        </w:rPr>
        <w:t>。</w:t>
      </w:r>
    </w:p>
    <w:p w14:paraId="7C85EF74">
      <w:pPr>
        <w:spacing w:line="400" w:lineRule="exact"/>
        <w:rPr>
          <w:color w:val="000000"/>
          <w:szCs w:val="21"/>
        </w:rPr>
      </w:pPr>
      <w:r>
        <w:rPr>
          <w:b/>
          <w:bCs/>
          <w:color w:val="000000"/>
          <w:szCs w:val="21"/>
        </w:rPr>
        <w:t>9.1.6</w:t>
      </w:r>
      <w:r>
        <w:rPr>
          <w:color w:val="000000"/>
          <w:szCs w:val="21"/>
        </w:rPr>
        <w:t xml:space="preserve">  各类风管、水管、金属支吊架和设备的防腐应无遗漏，面漆应涂刷均匀、表面光洁无锈蚀。各类管道和设备标识应清楚，并应符合</w:t>
      </w:r>
      <w:r>
        <w:rPr>
          <w:rFonts w:hint="eastAsia"/>
          <w:color w:val="000000"/>
          <w:szCs w:val="21"/>
        </w:rPr>
        <w:t>下列规定</w:t>
      </w:r>
      <w:r>
        <w:rPr>
          <w:color w:val="000000"/>
          <w:szCs w:val="21"/>
        </w:rPr>
        <w:t>：</w:t>
      </w:r>
    </w:p>
    <w:p w14:paraId="62811016">
      <w:pPr>
        <w:spacing w:line="400" w:lineRule="exact"/>
        <w:ind w:firstLine="422" w:firstLineChars="200"/>
        <w:rPr>
          <w:color w:val="000000"/>
          <w:szCs w:val="21"/>
        </w:rPr>
      </w:pPr>
      <w:r>
        <w:rPr>
          <w:b/>
          <w:color w:val="000000"/>
          <w:szCs w:val="21"/>
        </w:rPr>
        <w:t>1</w:t>
      </w:r>
      <w:r>
        <w:rPr>
          <w:color w:val="000000"/>
          <w:szCs w:val="21"/>
        </w:rPr>
        <w:t xml:space="preserve">  防腐应根据不同管道材质和明装、暗装、埋设的不同要求，由设计确定防腐材料的品种、性能、涂刷厚度和遍数。管道、金属支吊架和设备的涂漆应附着牢固，不应有脱皮、起泡、流坠、漏涂等现象；</w:t>
      </w:r>
    </w:p>
    <w:p w14:paraId="116B53AD">
      <w:pPr>
        <w:spacing w:line="400" w:lineRule="exact"/>
        <w:ind w:firstLine="422" w:firstLineChars="200"/>
        <w:rPr>
          <w:color w:val="000000"/>
          <w:szCs w:val="21"/>
        </w:rPr>
      </w:pPr>
      <w:r>
        <w:rPr>
          <w:b/>
          <w:color w:val="000000"/>
          <w:szCs w:val="21"/>
        </w:rPr>
        <w:t>2</w:t>
      </w:r>
      <w:r>
        <w:rPr>
          <w:bCs/>
          <w:color w:val="000000"/>
          <w:szCs w:val="21"/>
        </w:rPr>
        <w:t xml:space="preserve">  </w:t>
      </w:r>
      <w:r>
        <w:rPr>
          <w:color w:val="000000"/>
          <w:szCs w:val="21"/>
        </w:rPr>
        <w:t>管道、金属支架、设备的面漆颜色应符合设计要求，</w:t>
      </w:r>
      <w:r>
        <w:rPr>
          <w:rFonts w:hint="eastAsia" w:ascii="宋体" w:hAnsi="宋体"/>
          <w:color w:val="000000"/>
          <w:szCs w:val="21"/>
        </w:rPr>
        <w:t>明装管道及支架应涂刷面漆；</w:t>
      </w:r>
      <w:r>
        <w:rPr>
          <w:color w:val="000000"/>
          <w:szCs w:val="21"/>
        </w:rPr>
        <w:t>同类管道和设备的面漆颜色、色环应</w:t>
      </w:r>
      <w:r>
        <w:rPr>
          <w:bCs/>
          <w:color w:val="000000"/>
          <w:szCs w:val="21"/>
        </w:rPr>
        <w:t>统一</w:t>
      </w:r>
      <w:r>
        <w:rPr>
          <w:color w:val="000000"/>
          <w:szCs w:val="21"/>
        </w:rPr>
        <w:t>，表面涂刷应均匀美观；</w:t>
      </w:r>
    </w:p>
    <w:p w14:paraId="3C0AC129">
      <w:pPr>
        <w:spacing w:line="400" w:lineRule="exact"/>
        <w:ind w:firstLine="422" w:firstLineChars="200"/>
        <w:rPr>
          <w:bCs/>
          <w:color w:val="000000"/>
          <w:szCs w:val="21"/>
        </w:rPr>
      </w:pPr>
      <w:r>
        <w:rPr>
          <w:b/>
          <w:color w:val="000000"/>
          <w:szCs w:val="21"/>
        </w:rPr>
        <w:t>3</w:t>
      </w:r>
      <w:r>
        <w:rPr>
          <w:bCs/>
          <w:color w:val="000000"/>
          <w:szCs w:val="21"/>
        </w:rPr>
        <w:t xml:space="preserve">  管道、设备的标识、标牌应清晰、明确、醒目；管道标识的设置位置应合理，成排管道标识应统一策划，位置协调一致，间距符合要求；标识标牌的内容、颜色、规格等</w:t>
      </w:r>
      <w:r>
        <w:rPr>
          <w:rFonts w:hint="eastAsia"/>
          <w:bCs/>
          <w:color w:val="000000"/>
          <w:szCs w:val="21"/>
        </w:rPr>
        <w:t>设置</w:t>
      </w:r>
      <w:r>
        <w:rPr>
          <w:bCs/>
          <w:color w:val="000000"/>
          <w:szCs w:val="21"/>
        </w:rPr>
        <w:t>应</w:t>
      </w:r>
      <w:r>
        <w:rPr>
          <w:rFonts w:hint="eastAsia"/>
          <w:bCs/>
          <w:color w:val="000000"/>
          <w:szCs w:val="21"/>
        </w:rPr>
        <w:t>便于调试、运行人员进行观察和操作</w:t>
      </w:r>
      <w:r>
        <w:rPr>
          <w:bCs/>
          <w:color w:val="000000"/>
          <w:szCs w:val="21"/>
        </w:rPr>
        <w:t>。</w:t>
      </w:r>
    </w:p>
    <w:p w14:paraId="2539BECE">
      <w:pPr>
        <w:spacing w:line="400" w:lineRule="exact"/>
        <w:rPr>
          <w:color w:val="000000"/>
          <w:szCs w:val="21"/>
        </w:rPr>
      </w:pPr>
      <w:r>
        <w:rPr>
          <w:b/>
          <w:bCs/>
          <w:color w:val="000000"/>
          <w:szCs w:val="21"/>
        </w:rPr>
        <w:t>9.1.7</w:t>
      </w:r>
      <w:r>
        <w:rPr>
          <w:color w:val="000000"/>
          <w:szCs w:val="21"/>
        </w:rPr>
        <w:t xml:space="preserve">  管道和设备保温层应平整、密实、牢固，不应有漏保、松散、脱落和破损现象。管道和设备的保温隔热应符合</w:t>
      </w:r>
      <w:r>
        <w:rPr>
          <w:rFonts w:hint="eastAsia"/>
          <w:color w:val="000000"/>
          <w:szCs w:val="21"/>
        </w:rPr>
        <w:t>下列规定</w:t>
      </w:r>
      <w:r>
        <w:rPr>
          <w:color w:val="000000"/>
          <w:szCs w:val="21"/>
        </w:rPr>
        <w:t>：</w:t>
      </w:r>
    </w:p>
    <w:p w14:paraId="5BC305AE">
      <w:pPr>
        <w:spacing w:line="400" w:lineRule="exact"/>
        <w:ind w:firstLine="422" w:firstLineChars="200"/>
        <w:rPr>
          <w:color w:val="000000"/>
          <w:szCs w:val="21"/>
        </w:rPr>
      </w:pPr>
      <w:r>
        <w:rPr>
          <w:b/>
          <w:color w:val="000000"/>
          <w:szCs w:val="21"/>
        </w:rPr>
        <w:t>1</w:t>
      </w:r>
      <w:r>
        <w:rPr>
          <w:bCs/>
          <w:color w:val="000000"/>
          <w:szCs w:val="21"/>
        </w:rPr>
        <w:t xml:space="preserve">  </w:t>
      </w:r>
      <w:r>
        <w:rPr>
          <w:color w:val="000000"/>
          <w:szCs w:val="21"/>
        </w:rPr>
        <w:t>因环境可能造成管道和设备结冻而影响使用的，管道和设备</w:t>
      </w:r>
      <w:r>
        <w:rPr>
          <w:rFonts w:hint="eastAsia"/>
          <w:color w:val="000000"/>
          <w:szCs w:val="21"/>
        </w:rPr>
        <w:t>应</w:t>
      </w:r>
      <w:r>
        <w:rPr>
          <w:color w:val="000000"/>
          <w:szCs w:val="21"/>
        </w:rPr>
        <w:t>进行防冻保温；</w:t>
      </w:r>
    </w:p>
    <w:p w14:paraId="3B7815EC">
      <w:pPr>
        <w:spacing w:line="400" w:lineRule="exact"/>
        <w:ind w:firstLine="422" w:firstLineChars="200"/>
        <w:rPr>
          <w:color w:val="000000"/>
          <w:szCs w:val="21"/>
        </w:rPr>
      </w:pPr>
      <w:r>
        <w:rPr>
          <w:b/>
          <w:color w:val="000000"/>
          <w:szCs w:val="21"/>
        </w:rPr>
        <w:t>2</w:t>
      </w:r>
      <w:r>
        <w:rPr>
          <w:bCs/>
          <w:color w:val="000000"/>
          <w:szCs w:val="21"/>
        </w:rPr>
        <w:t xml:space="preserve">  </w:t>
      </w:r>
      <w:r>
        <w:rPr>
          <w:color w:val="000000"/>
          <w:szCs w:val="21"/>
        </w:rPr>
        <w:t>能产生结露而</w:t>
      </w:r>
      <w:r>
        <w:rPr>
          <w:rFonts w:hint="eastAsia"/>
          <w:color w:val="000000"/>
          <w:szCs w:val="21"/>
        </w:rPr>
        <w:t>妨碍</w:t>
      </w:r>
      <w:r>
        <w:rPr>
          <w:color w:val="000000"/>
          <w:szCs w:val="21"/>
        </w:rPr>
        <w:t>使用和影响寿命的，管道和设备应做好防结露保温；</w:t>
      </w:r>
    </w:p>
    <w:p w14:paraId="315A2B89">
      <w:pPr>
        <w:spacing w:line="400" w:lineRule="exact"/>
        <w:rPr>
          <w:color w:val="000000"/>
          <w:szCs w:val="21"/>
        </w:rPr>
      </w:pPr>
      <w:r>
        <w:rPr>
          <w:color w:val="000000"/>
          <w:szCs w:val="21"/>
        </w:rPr>
        <w:t xml:space="preserve"> </w:t>
      </w:r>
      <w:r>
        <w:rPr>
          <w:bCs/>
          <w:color w:val="000000"/>
          <w:szCs w:val="21"/>
        </w:rPr>
        <w:t xml:space="preserve">   </w:t>
      </w:r>
      <w:r>
        <w:rPr>
          <w:b/>
          <w:color w:val="000000"/>
          <w:szCs w:val="21"/>
        </w:rPr>
        <w:t>3</w:t>
      </w:r>
      <w:r>
        <w:rPr>
          <w:bCs/>
          <w:color w:val="000000"/>
          <w:szCs w:val="21"/>
        </w:rPr>
        <w:t xml:space="preserve">  </w:t>
      </w:r>
      <w:r>
        <w:rPr>
          <w:rFonts w:hint="eastAsia"/>
          <w:color w:val="000000"/>
          <w:szCs w:val="21"/>
        </w:rPr>
        <w:t>产生</w:t>
      </w:r>
      <w:r>
        <w:rPr>
          <w:color w:val="000000"/>
          <w:szCs w:val="21"/>
        </w:rPr>
        <w:t>冷热损失的管道和设备应做好隔冷、隔热保温；</w:t>
      </w:r>
    </w:p>
    <w:p w14:paraId="1E4C0280">
      <w:pPr>
        <w:spacing w:line="400" w:lineRule="exact"/>
        <w:ind w:firstLine="422" w:firstLineChars="200"/>
        <w:rPr>
          <w:color w:val="000000"/>
          <w:szCs w:val="21"/>
        </w:rPr>
      </w:pPr>
      <w:r>
        <w:rPr>
          <w:b/>
          <w:color w:val="000000"/>
          <w:szCs w:val="21"/>
        </w:rPr>
        <w:t>4</w:t>
      </w:r>
      <w:r>
        <w:rPr>
          <w:bCs/>
          <w:color w:val="000000"/>
          <w:szCs w:val="21"/>
        </w:rPr>
        <w:t xml:space="preserve">  </w:t>
      </w:r>
      <w:r>
        <w:rPr>
          <w:color w:val="000000"/>
          <w:szCs w:val="21"/>
        </w:rPr>
        <w:t>管道和设备保温材料应使用不燃或阻燃材料，其品种、规格、导热系数、密度、吸水率、保温层厚度和保护层，应符合设计要求，并应有相应的检测依据。有节能要求的保温绝热材料应进行见证取样复验；</w:t>
      </w:r>
    </w:p>
    <w:p w14:paraId="6877F2D4">
      <w:pPr>
        <w:spacing w:line="400" w:lineRule="exact"/>
        <w:ind w:firstLine="422" w:firstLineChars="200"/>
        <w:rPr>
          <w:color w:val="000000"/>
          <w:szCs w:val="21"/>
        </w:rPr>
      </w:pPr>
      <w:r>
        <w:rPr>
          <w:b/>
          <w:color w:val="000000"/>
          <w:szCs w:val="21"/>
        </w:rPr>
        <w:t>5</w:t>
      </w:r>
      <w:r>
        <w:rPr>
          <w:bCs/>
          <w:color w:val="000000"/>
          <w:szCs w:val="21"/>
        </w:rPr>
        <w:t xml:space="preserve">  </w:t>
      </w:r>
      <w:r>
        <w:rPr>
          <w:color w:val="000000"/>
          <w:szCs w:val="21"/>
        </w:rPr>
        <w:t>保温层外观应平整、密实、牢固、美观。支、吊架部位采用木枕时，木衬垫应进行防腐处理，外观应齐整。保温层、</w:t>
      </w:r>
      <w:r>
        <w:rPr>
          <w:bCs/>
          <w:color w:val="000000"/>
          <w:szCs w:val="21"/>
        </w:rPr>
        <w:t>防潮</w:t>
      </w:r>
      <w:r>
        <w:rPr>
          <w:color w:val="000000"/>
          <w:szCs w:val="21"/>
        </w:rPr>
        <w:t>层和保护层应具备符合设计要求的防水、防火、防腐功能，且应厚度均匀一致。保温管道之间应有合理的间距，应一管一保。保温管道安装不应贴墙，不应有半明半暗的现象。保温层穿越管道套管时，应连续、完整，厚度一致。</w:t>
      </w:r>
    </w:p>
    <w:p w14:paraId="2ADB600B">
      <w:pPr>
        <w:spacing w:line="400" w:lineRule="exact"/>
        <w:rPr>
          <w:color w:val="000000"/>
          <w:szCs w:val="21"/>
        </w:rPr>
      </w:pPr>
      <w:r>
        <w:rPr>
          <w:b/>
          <w:bCs/>
          <w:color w:val="000000"/>
          <w:szCs w:val="21"/>
        </w:rPr>
        <w:t>9.1.8</w:t>
      </w:r>
      <w:r>
        <w:rPr>
          <w:color w:val="000000"/>
          <w:szCs w:val="21"/>
        </w:rPr>
        <w:t xml:space="preserve">  设备安装工程的附属设备、装置应安装齐全、有效，不得随意增减和改变。安装位置和方向应便于观察、操作和调试。并应符合</w:t>
      </w:r>
      <w:r>
        <w:rPr>
          <w:rFonts w:hint="eastAsia"/>
          <w:color w:val="000000"/>
          <w:szCs w:val="21"/>
        </w:rPr>
        <w:t>下列规定</w:t>
      </w:r>
      <w:r>
        <w:rPr>
          <w:color w:val="000000"/>
          <w:szCs w:val="21"/>
        </w:rPr>
        <w:t>：</w:t>
      </w:r>
    </w:p>
    <w:p w14:paraId="79E2E079">
      <w:pPr>
        <w:spacing w:line="400" w:lineRule="exact"/>
        <w:ind w:firstLine="422" w:firstLineChars="200"/>
        <w:rPr>
          <w:color w:val="000000"/>
          <w:szCs w:val="21"/>
        </w:rPr>
      </w:pPr>
      <w:r>
        <w:rPr>
          <w:b/>
          <w:color w:val="000000"/>
          <w:szCs w:val="21"/>
        </w:rPr>
        <w:t>1</w:t>
      </w:r>
      <w:r>
        <w:rPr>
          <w:color w:val="000000"/>
          <w:szCs w:val="21"/>
        </w:rPr>
        <w:t xml:space="preserve">  管道系统的调压、定压、稳压设备应安装安全阀、调压阀等装置。阀类安装位置应正确，规格、型号应符合设计要求，阀类调整应符合系统工作压力要求并应有调整报告。安全阀及安全阀排放管不得装设阀门，紧急排放管路应独立排放至安全地点，并应便于观察；</w:t>
      </w:r>
    </w:p>
    <w:p w14:paraId="19C9E6D3">
      <w:pPr>
        <w:spacing w:line="400" w:lineRule="exact"/>
        <w:ind w:firstLine="422" w:firstLineChars="200"/>
        <w:rPr>
          <w:bCs/>
          <w:color w:val="000000"/>
          <w:szCs w:val="21"/>
        </w:rPr>
      </w:pPr>
      <w:r>
        <w:rPr>
          <w:b/>
          <w:color w:val="000000"/>
          <w:szCs w:val="21"/>
        </w:rPr>
        <w:t>2</w:t>
      </w:r>
      <w:r>
        <w:rPr>
          <w:bCs/>
          <w:color w:val="000000"/>
          <w:szCs w:val="21"/>
        </w:rPr>
        <w:t xml:space="preserve">  风管、水管与有振</w:t>
      </w:r>
      <w:r>
        <w:rPr>
          <w:rFonts w:hint="eastAsia"/>
          <w:bCs/>
          <w:color w:val="000000"/>
          <w:szCs w:val="21"/>
        </w:rPr>
        <w:t>动产生的</w:t>
      </w:r>
      <w:r>
        <w:rPr>
          <w:bCs/>
          <w:color w:val="000000"/>
          <w:szCs w:val="21"/>
        </w:rPr>
        <w:t>设备连接时，应安装柔性接口</w:t>
      </w:r>
      <w:r>
        <w:rPr>
          <w:rFonts w:hint="eastAsia"/>
          <w:bCs/>
          <w:color w:val="000000"/>
          <w:szCs w:val="21"/>
        </w:rPr>
        <w:t>；</w:t>
      </w:r>
      <w:r>
        <w:rPr>
          <w:rFonts w:hint="eastAsia" w:ascii="宋体" w:hAnsi="宋体"/>
          <w:bCs/>
          <w:color w:val="000000"/>
          <w:szCs w:val="21"/>
        </w:rPr>
        <w:t>防排烟系统作为独立系统时，风机与风管应采用直接连接，不应加设柔性短管。</w:t>
      </w:r>
      <w:r>
        <w:rPr>
          <w:bCs/>
          <w:color w:val="000000"/>
          <w:szCs w:val="21"/>
        </w:rPr>
        <w:t>柔性接口安装位置应贴近设备本体，不得扭曲、变形，并应与管道和设备轴心一致、松紧适度、连接牢固、减振和防噪</w:t>
      </w:r>
      <w:r>
        <w:rPr>
          <w:rFonts w:hint="eastAsia"/>
          <w:bCs/>
          <w:color w:val="000000"/>
          <w:szCs w:val="21"/>
        </w:rPr>
        <w:t>声</w:t>
      </w:r>
      <w:r>
        <w:rPr>
          <w:bCs/>
          <w:color w:val="000000"/>
          <w:szCs w:val="21"/>
        </w:rPr>
        <w:t>功能有效。有防火要求的应使用不燃材料或阻燃材料。柔性接口的品种、规格、承压、耐热应符合设计要求。</w:t>
      </w:r>
    </w:p>
    <w:p w14:paraId="2B2F0EC6">
      <w:pPr>
        <w:spacing w:line="400" w:lineRule="exact"/>
        <w:rPr>
          <w:color w:val="000000"/>
          <w:szCs w:val="21"/>
        </w:rPr>
      </w:pPr>
      <w:r>
        <w:rPr>
          <w:b/>
          <w:bCs/>
          <w:color w:val="000000"/>
          <w:szCs w:val="21"/>
        </w:rPr>
        <w:t>9.1.9</w:t>
      </w:r>
      <w:r>
        <w:rPr>
          <w:color w:val="000000"/>
          <w:szCs w:val="21"/>
        </w:rPr>
        <w:t xml:space="preserve">  水位计、压力表的安装位置应防高温、防振动、防冻，便于观测。并应符合</w:t>
      </w:r>
      <w:r>
        <w:rPr>
          <w:rFonts w:hint="eastAsia"/>
          <w:color w:val="000000"/>
          <w:szCs w:val="21"/>
        </w:rPr>
        <w:t>下列规定</w:t>
      </w:r>
      <w:r>
        <w:rPr>
          <w:color w:val="000000"/>
          <w:szCs w:val="21"/>
        </w:rPr>
        <w:t>。</w:t>
      </w:r>
    </w:p>
    <w:p w14:paraId="77D89F09">
      <w:pPr>
        <w:spacing w:line="400" w:lineRule="exact"/>
        <w:ind w:firstLine="422" w:firstLineChars="200"/>
        <w:rPr>
          <w:color w:val="000000"/>
          <w:szCs w:val="21"/>
        </w:rPr>
      </w:pPr>
      <w:r>
        <w:rPr>
          <w:b/>
          <w:color w:val="000000"/>
          <w:szCs w:val="21"/>
        </w:rPr>
        <w:t xml:space="preserve">1  </w:t>
      </w:r>
      <w:r>
        <w:rPr>
          <w:color w:val="000000"/>
          <w:szCs w:val="21"/>
        </w:rPr>
        <w:t>压力表附件应齐全，应有</w:t>
      </w:r>
      <w:r>
        <w:rPr>
          <w:rFonts w:hint="eastAsia"/>
          <w:color w:val="000000"/>
          <w:szCs w:val="21"/>
        </w:rPr>
        <w:t>缓冲</w:t>
      </w:r>
      <w:r>
        <w:rPr>
          <w:color w:val="000000"/>
          <w:szCs w:val="21"/>
        </w:rPr>
        <w:t>弯管和三通旋塞，应垂直安装。</w:t>
      </w:r>
      <w:r>
        <w:rPr>
          <w:rFonts w:hint="eastAsia"/>
          <w:color w:val="000000"/>
          <w:szCs w:val="21"/>
        </w:rPr>
        <w:t>压力表</w:t>
      </w:r>
      <w:r>
        <w:rPr>
          <w:color w:val="000000"/>
          <w:szCs w:val="21"/>
        </w:rPr>
        <w:t>量程范围、表盘直径、刻度、精度</w:t>
      </w:r>
      <w:r>
        <w:rPr>
          <w:rFonts w:hint="eastAsia"/>
          <w:color w:val="000000"/>
          <w:szCs w:val="21"/>
        </w:rPr>
        <w:t>应正确</w:t>
      </w:r>
      <w:r>
        <w:rPr>
          <w:color w:val="000000"/>
          <w:szCs w:val="21"/>
        </w:rPr>
        <w:t>；</w:t>
      </w:r>
    </w:p>
    <w:p w14:paraId="31A5F757">
      <w:pPr>
        <w:spacing w:line="400" w:lineRule="exact"/>
        <w:ind w:firstLine="422" w:firstLineChars="200"/>
        <w:rPr>
          <w:color w:val="000000"/>
          <w:szCs w:val="21"/>
        </w:rPr>
      </w:pPr>
      <w:r>
        <w:rPr>
          <w:b/>
          <w:color w:val="000000"/>
          <w:szCs w:val="21"/>
        </w:rPr>
        <w:t xml:space="preserve">2 </w:t>
      </w:r>
      <w:r>
        <w:rPr>
          <w:bCs/>
          <w:color w:val="000000"/>
          <w:szCs w:val="21"/>
        </w:rPr>
        <w:t xml:space="preserve"> </w:t>
      </w:r>
      <w:r>
        <w:rPr>
          <w:color w:val="000000"/>
          <w:szCs w:val="21"/>
        </w:rPr>
        <w:t>水位计应有最高、最低水位标志，安装应垂直，易损坏的表管应有保护装置。水位计顶部阀门应</w:t>
      </w:r>
      <w:r>
        <w:rPr>
          <w:rFonts w:hint="eastAsia"/>
          <w:color w:val="000000"/>
          <w:szCs w:val="21"/>
        </w:rPr>
        <w:t>高</w:t>
      </w:r>
      <w:r>
        <w:rPr>
          <w:color w:val="000000"/>
          <w:szCs w:val="21"/>
        </w:rPr>
        <w:t>于溢流管水位，底部应有泄水旋塞。水位计应有冲洗、防冻措施；</w:t>
      </w:r>
    </w:p>
    <w:p w14:paraId="5670A5DE">
      <w:pPr>
        <w:spacing w:line="400" w:lineRule="exact"/>
        <w:ind w:firstLine="422" w:firstLineChars="200"/>
        <w:rPr>
          <w:color w:val="000000"/>
          <w:szCs w:val="21"/>
        </w:rPr>
      </w:pPr>
      <w:r>
        <w:rPr>
          <w:b/>
          <w:color w:val="000000"/>
          <w:szCs w:val="21"/>
        </w:rPr>
        <w:t xml:space="preserve">3  </w:t>
      </w:r>
      <w:r>
        <w:rPr>
          <w:color w:val="000000"/>
          <w:szCs w:val="21"/>
        </w:rPr>
        <w:t>计量装置、温控阀、过滤器、温度</w:t>
      </w:r>
      <w:r>
        <w:rPr>
          <w:rFonts w:hint="eastAsia"/>
          <w:color w:val="000000"/>
          <w:szCs w:val="21"/>
        </w:rPr>
        <w:t>计</w:t>
      </w:r>
      <w:r>
        <w:rPr>
          <w:color w:val="000000"/>
          <w:szCs w:val="21"/>
        </w:rPr>
        <w:t>的安装方向及位置应正确，应便于观察、检测和维护。</w:t>
      </w:r>
    </w:p>
    <w:p w14:paraId="7A9C136D">
      <w:pPr>
        <w:spacing w:line="400" w:lineRule="exact"/>
        <w:rPr>
          <w:rFonts w:eastAsia="黑体"/>
          <w:dstrike/>
          <w:color w:val="000000"/>
          <w:szCs w:val="21"/>
        </w:rPr>
      </w:pPr>
      <w:r>
        <w:rPr>
          <w:b/>
          <w:bCs/>
          <w:color w:val="000000"/>
          <w:szCs w:val="21"/>
        </w:rPr>
        <w:t>9.1.10</w:t>
      </w:r>
      <w:r>
        <w:rPr>
          <w:color w:val="000000"/>
          <w:szCs w:val="21"/>
        </w:rPr>
        <w:t xml:space="preserve">  主要设备安装应符合</w:t>
      </w:r>
      <w:r>
        <w:rPr>
          <w:rFonts w:hint="eastAsia"/>
          <w:color w:val="000000"/>
          <w:szCs w:val="21"/>
        </w:rPr>
        <w:t>下列规定</w:t>
      </w:r>
      <w:r>
        <w:rPr>
          <w:color w:val="000000"/>
          <w:szCs w:val="21"/>
        </w:rPr>
        <w:t>：</w:t>
      </w:r>
    </w:p>
    <w:p w14:paraId="3C0D326A">
      <w:pPr>
        <w:spacing w:line="400" w:lineRule="exact"/>
        <w:ind w:firstLine="422" w:firstLineChars="200"/>
        <w:rPr>
          <w:color w:val="000000"/>
          <w:szCs w:val="21"/>
        </w:rPr>
      </w:pPr>
      <w:r>
        <w:rPr>
          <w:b/>
          <w:color w:val="000000"/>
          <w:szCs w:val="21"/>
        </w:rPr>
        <w:t>1</w:t>
      </w:r>
      <w:r>
        <w:rPr>
          <w:color w:val="000000"/>
          <w:szCs w:val="21"/>
        </w:rPr>
        <w:t xml:space="preserve">  各类水泵安装应位置正确、减振良好、固定牢固。成排水泵基础标高应一致，高出地面不应低于100 mm，并应预留检修通道。水泵吸水管柔性接口外侧应设阀门和压力表，出水管柔性接口外侧应设压力表、止回阀及阀门。水泵轴与电机轴应同心，联轴器间隙应一致，压兰应松紧适度、无渗漏，水泵运转时噪</w:t>
      </w:r>
      <w:r>
        <w:rPr>
          <w:rFonts w:hint="eastAsia"/>
          <w:color w:val="000000"/>
          <w:szCs w:val="21"/>
        </w:rPr>
        <w:t>声</w:t>
      </w:r>
      <w:r>
        <w:rPr>
          <w:color w:val="000000"/>
          <w:szCs w:val="21"/>
        </w:rPr>
        <w:t>不得超标，泵体应无污染；</w:t>
      </w:r>
    </w:p>
    <w:p w14:paraId="36301231">
      <w:pPr>
        <w:spacing w:line="400" w:lineRule="exact"/>
        <w:ind w:firstLine="422" w:firstLineChars="200"/>
        <w:rPr>
          <w:color w:val="000000"/>
          <w:szCs w:val="21"/>
        </w:rPr>
      </w:pPr>
      <w:r>
        <w:rPr>
          <w:b/>
          <w:color w:val="000000"/>
          <w:szCs w:val="21"/>
        </w:rPr>
        <w:t>2</w:t>
      </w:r>
      <w:r>
        <w:rPr>
          <w:bCs/>
          <w:color w:val="000000"/>
          <w:szCs w:val="21"/>
        </w:rPr>
        <w:t xml:space="preserve">  各类风机应按设计要求设置减振</w:t>
      </w:r>
      <w:r>
        <w:rPr>
          <w:rFonts w:hint="eastAsia"/>
          <w:bCs/>
          <w:color w:val="000000"/>
          <w:szCs w:val="21"/>
        </w:rPr>
        <w:t>，</w:t>
      </w:r>
      <w:r>
        <w:rPr>
          <w:rFonts w:hint="eastAsia" w:ascii="宋体" w:hAnsi="宋体"/>
          <w:bCs/>
          <w:color w:val="000000"/>
          <w:szCs w:val="21"/>
        </w:rPr>
        <w:t>防烟风机、排烟风机不应设置减振装置，排烟与通风空调系统共用的风机设置减振装置时，不应使用橡胶减振。</w:t>
      </w:r>
      <w:r>
        <w:rPr>
          <w:rFonts w:hint="eastAsia"/>
          <w:bCs/>
          <w:color w:val="000000"/>
          <w:szCs w:val="21"/>
        </w:rPr>
        <w:t>风机</w:t>
      </w:r>
      <w:r>
        <w:rPr>
          <w:color w:val="000000"/>
          <w:szCs w:val="21"/>
        </w:rPr>
        <w:t>安装应良好、平正牢固、进出口方向正确、叶轮旋转平稳且与外壳无摩擦。叶轮与筒体应间隙一致，固定风机螺栓应拧紧，防松装置应齐全。风机与风管连接应使用柔性接口</w:t>
      </w:r>
      <w:r>
        <w:rPr>
          <w:rFonts w:hint="eastAsia"/>
          <w:color w:val="000000"/>
          <w:szCs w:val="21"/>
        </w:rPr>
        <w:t>，</w:t>
      </w:r>
      <w:r>
        <w:rPr>
          <w:color w:val="000000"/>
          <w:szCs w:val="21"/>
        </w:rPr>
        <w:t>柔性接口材质、长度符合要求，与风机接口连接牢固、严密。风机传动装置的外露部位及直通大气的进出口，</w:t>
      </w:r>
      <w:r>
        <w:rPr>
          <w:rFonts w:hint="eastAsia"/>
          <w:color w:val="000000"/>
          <w:szCs w:val="21"/>
        </w:rPr>
        <w:t>应</w:t>
      </w:r>
      <w:r>
        <w:rPr>
          <w:color w:val="000000"/>
          <w:szCs w:val="21"/>
        </w:rPr>
        <w:t>安装安全防护网罩；</w:t>
      </w:r>
    </w:p>
    <w:p w14:paraId="018A9027">
      <w:pPr>
        <w:spacing w:line="400" w:lineRule="exact"/>
        <w:ind w:firstLine="422" w:firstLineChars="200"/>
        <w:rPr>
          <w:color w:val="000000"/>
          <w:szCs w:val="21"/>
        </w:rPr>
      </w:pPr>
      <w:r>
        <w:rPr>
          <w:b/>
          <w:color w:val="000000"/>
          <w:szCs w:val="21"/>
        </w:rPr>
        <w:t xml:space="preserve">3 </w:t>
      </w:r>
      <w:r>
        <w:rPr>
          <w:bCs/>
          <w:color w:val="000000"/>
          <w:szCs w:val="21"/>
        </w:rPr>
        <w:t xml:space="preserve"> </w:t>
      </w:r>
      <w:r>
        <w:rPr>
          <w:color w:val="000000"/>
          <w:szCs w:val="21"/>
        </w:rPr>
        <w:t>空调机组、新风机组安装应位置正确、整体平直并留有检修通道，应固定牢固，底座减振应合理可靠，过滤设备检修应清洗方便。表冷器、过滤网应无划痕、损伤。各类过滤器、消音器及空调器内各连接段应连接严密、密封可靠，不应有变形和污染。消音、过滤、加湿等附属装置和与空调器连接的风管、水管，应设置独立支架并固定牢固。风管、水管与空调器连接的柔性接口应无破损，松紧适度，无扭曲变形。噪</w:t>
      </w:r>
      <w:r>
        <w:rPr>
          <w:rFonts w:hint="eastAsia"/>
          <w:color w:val="000000"/>
          <w:szCs w:val="21"/>
        </w:rPr>
        <w:t>声</w:t>
      </w:r>
      <w:r>
        <w:rPr>
          <w:color w:val="000000"/>
          <w:szCs w:val="21"/>
        </w:rPr>
        <w:t>不得超标，严密性试验应合格。冷凝水排水水封高度应符合设计及产品说明书的要求，就近排放</w:t>
      </w:r>
      <w:r>
        <w:rPr>
          <w:rFonts w:hint="eastAsia"/>
          <w:color w:val="000000"/>
          <w:szCs w:val="21"/>
        </w:rPr>
        <w:t>至排水设施</w:t>
      </w:r>
      <w:r>
        <w:rPr>
          <w:color w:val="000000"/>
          <w:szCs w:val="21"/>
        </w:rPr>
        <w:t>；</w:t>
      </w:r>
    </w:p>
    <w:p w14:paraId="026AC564">
      <w:pPr>
        <w:spacing w:line="400" w:lineRule="exact"/>
        <w:ind w:firstLine="422" w:firstLineChars="200"/>
        <w:rPr>
          <w:color w:val="000000"/>
          <w:szCs w:val="21"/>
        </w:rPr>
      </w:pPr>
      <w:r>
        <w:rPr>
          <w:b/>
          <w:color w:val="000000"/>
          <w:szCs w:val="21"/>
        </w:rPr>
        <w:t xml:space="preserve">4  </w:t>
      </w:r>
      <w:r>
        <w:rPr>
          <w:color w:val="000000"/>
          <w:szCs w:val="21"/>
        </w:rPr>
        <w:t>制冷和制热、换热设备的型号、规格和技术参数应符合设计要求，安装位置、标高应正确，检修空间合理，地脚螺栓和垫铁应固定牢固、接触紧密且应有防松装置。带有振动的设备应减振可靠，并应符合设计及出厂说明书要求。各项试验应合格，各项附属装置和仪表安装应合理可靠，与各类管道连接应严密，减振应有效。燃油、燃气系统安装应符合设计和消防要求；</w:t>
      </w:r>
    </w:p>
    <w:p w14:paraId="2ED12C63">
      <w:pPr>
        <w:spacing w:line="400" w:lineRule="exact"/>
        <w:ind w:firstLine="422" w:firstLineChars="200"/>
        <w:rPr>
          <w:color w:val="000000"/>
          <w:szCs w:val="21"/>
        </w:rPr>
      </w:pPr>
      <w:r>
        <w:rPr>
          <w:b/>
          <w:color w:val="000000"/>
          <w:szCs w:val="21"/>
        </w:rPr>
        <w:t>5</w:t>
      </w:r>
      <w:r>
        <w:rPr>
          <w:bCs/>
          <w:color w:val="000000"/>
          <w:szCs w:val="21"/>
        </w:rPr>
        <w:t xml:space="preserve">  </w:t>
      </w:r>
      <w:r>
        <w:rPr>
          <w:color w:val="000000"/>
          <w:szCs w:val="21"/>
        </w:rPr>
        <w:t>设备基础应在验收后进行设备安装。基础坐标、标高、结构强度应符合设计和设备说明书要求，设备基础应坚固、美观。</w:t>
      </w:r>
      <w:r>
        <w:rPr>
          <w:rFonts w:hint="eastAsia"/>
          <w:color w:val="000000"/>
          <w:szCs w:val="21"/>
        </w:rPr>
        <w:t>设置</w:t>
      </w:r>
      <w:r>
        <w:rPr>
          <w:color w:val="000000"/>
          <w:szCs w:val="21"/>
        </w:rPr>
        <w:t>减振装置的基础</w:t>
      </w:r>
      <w:r>
        <w:rPr>
          <w:rFonts w:hint="eastAsia"/>
          <w:color w:val="000000"/>
          <w:szCs w:val="21"/>
        </w:rPr>
        <w:t>应</w:t>
      </w:r>
      <w:r>
        <w:rPr>
          <w:color w:val="000000"/>
          <w:szCs w:val="21"/>
        </w:rPr>
        <w:t>满足设备的减振设计要求，基础面层不应污损减振材料。减振装置应平整、齐全、有效，表面应无污染。</w:t>
      </w:r>
    </w:p>
    <w:p w14:paraId="2F689880">
      <w:pPr>
        <w:spacing w:line="400" w:lineRule="exact"/>
        <w:rPr>
          <w:color w:val="000000"/>
          <w:szCs w:val="21"/>
        </w:rPr>
      </w:pPr>
      <w:r>
        <w:rPr>
          <w:b/>
          <w:bCs/>
          <w:color w:val="000000"/>
          <w:szCs w:val="21"/>
        </w:rPr>
        <w:t>9.1.11</w:t>
      </w:r>
      <w:r>
        <w:rPr>
          <w:color w:val="000000"/>
          <w:szCs w:val="21"/>
        </w:rPr>
        <w:t xml:space="preserve">  住宅</w:t>
      </w:r>
      <w:r>
        <w:rPr>
          <w:rFonts w:hint="eastAsia"/>
          <w:color w:val="000000"/>
          <w:szCs w:val="21"/>
        </w:rPr>
        <w:t>建筑</w:t>
      </w:r>
      <w:r>
        <w:rPr>
          <w:color w:val="000000"/>
          <w:szCs w:val="21"/>
        </w:rPr>
        <w:t>的给水总立管、雨水立管、消防立管、</w:t>
      </w:r>
      <w:r>
        <w:rPr>
          <w:rFonts w:hint="eastAsia"/>
          <w:color w:val="000000"/>
          <w:szCs w:val="21"/>
        </w:rPr>
        <w:t>供</w:t>
      </w:r>
      <w:r>
        <w:rPr>
          <w:color w:val="000000"/>
          <w:szCs w:val="21"/>
        </w:rPr>
        <w:t>暖主立管不应设在户内，具有公共功能的阀类和用于总体调节和检修的部件，应设在公共部位。</w:t>
      </w:r>
    </w:p>
    <w:p w14:paraId="527BC882">
      <w:pPr>
        <w:pStyle w:val="4"/>
        <w:numPr>
          <w:ilvl w:val="1"/>
          <w:numId w:val="0"/>
        </w:numPr>
        <w:spacing w:before="312" w:beforeLines="100" w:line="400" w:lineRule="exact"/>
        <w:jc w:val="center"/>
        <w:rPr>
          <w:rFonts w:ascii="Times New Roman" w:hAnsi="Times New Roman" w:eastAsia="黑体"/>
          <w:sz w:val="24"/>
          <w:szCs w:val="24"/>
        </w:rPr>
      </w:pPr>
      <w:bookmarkStart w:id="482" w:name="_Toc12548"/>
      <w:bookmarkStart w:id="483" w:name="_Toc23645"/>
      <w:bookmarkStart w:id="484" w:name="_Toc2239"/>
      <w:bookmarkStart w:id="485" w:name="_Toc19472"/>
      <w:bookmarkStart w:id="486" w:name="_Toc1807"/>
      <w:bookmarkStart w:id="487" w:name="_Toc3690"/>
      <w:bookmarkStart w:id="488" w:name="_Toc17227"/>
      <w:bookmarkStart w:id="489" w:name="_Toc20671"/>
      <w:bookmarkStart w:id="490" w:name="_Toc25726"/>
      <w:r>
        <w:rPr>
          <w:rFonts w:ascii="Times New Roman" w:hAnsi="Times New Roman" w:eastAsia="黑体"/>
          <w:b/>
          <w:bCs/>
          <w:sz w:val="24"/>
          <w:szCs w:val="24"/>
        </w:rPr>
        <w:t xml:space="preserve">9.2 </w:t>
      </w:r>
      <w:r>
        <w:rPr>
          <w:rFonts w:ascii="Times New Roman" w:hAnsi="Times New Roman" w:eastAsia="黑体"/>
          <w:sz w:val="24"/>
          <w:szCs w:val="24"/>
          <w:lang w:val="en-US"/>
        </w:rPr>
        <w:t xml:space="preserve"> </w:t>
      </w:r>
      <w:r>
        <w:rPr>
          <w:rFonts w:ascii="Times New Roman" w:hAnsi="Times New Roman" w:eastAsia="黑体"/>
          <w:sz w:val="24"/>
          <w:szCs w:val="24"/>
        </w:rPr>
        <w:t>建筑给水、排水工程</w:t>
      </w:r>
      <w:bookmarkEnd w:id="482"/>
      <w:bookmarkEnd w:id="483"/>
      <w:bookmarkEnd w:id="484"/>
      <w:bookmarkEnd w:id="485"/>
      <w:bookmarkEnd w:id="486"/>
      <w:bookmarkEnd w:id="487"/>
      <w:bookmarkEnd w:id="488"/>
      <w:bookmarkEnd w:id="489"/>
      <w:bookmarkEnd w:id="490"/>
    </w:p>
    <w:p w14:paraId="74F3DA77">
      <w:pPr>
        <w:spacing w:line="400" w:lineRule="exact"/>
        <w:rPr>
          <w:color w:val="000000"/>
          <w:szCs w:val="21"/>
        </w:rPr>
      </w:pPr>
      <w:r>
        <w:rPr>
          <w:b/>
          <w:bCs/>
          <w:color w:val="000000"/>
          <w:szCs w:val="21"/>
        </w:rPr>
        <w:t>9.2.1</w:t>
      </w:r>
      <w:r>
        <w:rPr>
          <w:color w:val="000000"/>
          <w:szCs w:val="21"/>
        </w:rPr>
        <w:t xml:space="preserve">  给水管道系统安装应符合</w:t>
      </w:r>
      <w:r>
        <w:rPr>
          <w:rFonts w:hint="eastAsia"/>
          <w:color w:val="000000"/>
          <w:szCs w:val="21"/>
        </w:rPr>
        <w:t>下列规定</w:t>
      </w:r>
      <w:r>
        <w:rPr>
          <w:color w:val="000000"/>
          <w:szCs w:val="21"/>
        </w:rPr>
        <w:t>：</w:t>
      </w:r>
    </w:p>
    <w:p w14:paraId="0D278EDC">
      <w:pPr>
        <w:spacing w:line="400" w:lineRule="exact"/>
        <w:ind w:firstLine="422" w:firstLineChars="200"/>
        <w:rPr>
          <w:bCs/>
          <w:color w:val="000000"/>
          <w:szCs w:val="21"/>
        </w:rPr>
      </w:pPr>
      <w:r>
        <w:rPr>
          <w:b/>
          <w:color w:val="000000"/>
          <w:szCs w:val="21"/>
        </w:rPr>
        <w:t>1</w:t>
      </w:r>
      <w:r>
        <w:rPr>
          <w:bCs/>
          <w:color w:val="000000"/>
          <w:szCs w:val="21"/>
        </w:rPr>
        <w:t xml:space="preserve">  室内给水管道，应选用耐腐蚀和安装连接方便可靠的管材；生活给水系统的管材及箱、罐的材质必须达到生活饮用水标准的要求，并采用与管材相适应的管件</w:t>
      </w:r>
      <w:r>
        <w:rPr>
          <w:rFonts w:hint="eastAsia"/>
          <w:bCs/>
          <w:color w:val="000000"/>
          <w:szCs w:val="21"/>
        </w:rPr>
        <w:t>。</w:t>
      </w:r>
      <w:r>
        <w:rPr>
          <w:bCs/>
          <w:color w:val="000000"/>
          <w:szCs w:val="21"/>
        </w:rPr>
        <w:t>水喷雾系统、自动喷水灭火系统管道的材质、连接方式应符合设计要求，对有二次防腐要求的连接管道应进行防腐处理。</w:t>
      </w:r>
      <w:r>
        <w:rPr>
          <w:rFonts w:hint="eastAsia"/>
          <w:bCs/>
          <w:color w:val="000000"/>
          <w:szCs w:val="21"/>
        </w:rPr>
        <w:t>高层</w:t>
      </w:r>
      <w:r>
        <w:rPr>
          <w:bCs/>
          <w:color w:val="000000"/>
          <w:szCs w:val="21"/>
        </w:rPr>
        <w:t>住宅给水系统立管、干管不应使用塑料材料；</w:t>
      </w:r>
    </w:p>
    <w:p w14:paraId="00F642C1">
      <w:pPr>
        <w:spacing w:line="400" w:lineRule="exact"/>
        <w:ind w:firstLine="422" w:firstLineChars="200"/>
        <w:rPr>
          <w:color w:val="000000"/>
          <w:szCs w:val="21"/>
        </w:rPr>
      </w:pPr>
      <w:r>
        <w:rPr>
          <w:b/>
          <w:color w:val="000000"/>
          <w:szCs w:val="21"/>
        </w:rPr>
        <w:t>2</w:t>
      </w:r>
      <w:r>
        <w:rPr>
          <w:color w:val="000000"/>
          <w:szCs w:val="21"/>
        </w:rPr>
        <w:t xml:space="preserve">  给水管道不应穿越污水井、便池等污染源。给水管道、消防管道穿越外墙、沉降缝、采光井等构筑物时，应采取防冻、防沉降等技术措施；</w:t>
      </w:r>
    </w:p>
    <w:p w14:paraId="3854ED97">
      <w:pPr>
        <w:spacing w:line="400" w:lineRule="exact"/>
        <w:ind w:firstLine="422" w:firstLineChars="200"/>
        <w:rPr>
          <w:bCs/>
          <w:color w:val="000000"/>
          <w:szCs w:val="21"/>
        </w:rPr>
      </w:pPr>
      <w:r>
        <w:rPr>
          <w:b/>
          <w:color w:val="000000"/>
          <w:szCs w:val="21"/>
        </w:rPr>
        <w:t>3</w:t>
      </w:r>
      <w:r>
        <w:rPr>
          <w:bCs/>
          <w:color w:val="000000"/>
          <w:szCs w:val="21"/>
        </w:rPr>
        <w:t xml:space="preserve"> </w:t>
      </w:r>
      <w:r>
        <w:rPr>
          <w:rFonts w:hint="eastAsia"/>
          <w:bCs/>
          <w:color w:val="000000"/>
          <w:szCs w:val="21"/>
        </w:rPr>
        <w:t xml:space="preserve"> </w:t>
      </w:r>
      <w:r>
        <w:rPr>
          <w:bCs/>
          <w:color w:val="000000"/>
          <w:szCs w:val="21"/>
        </w:rPr>
        <w:t>生活给水管道设置倒流防止器时，安装位置符合设计要求。生活饮用水水箱应设置消毒装置</w:t>
      </w:r>
      <w:r>
        <w:rPr>
          <w:rFonts w:hint="eastAsia"/>
          <w:bCs/>
          <w:color w:val="000000"/>
          <w:szCs w:val="21"/>
        </w:rPr>
        <w:t>；</w:t>
      </w:r>
    </w:p>
    <w:p w14:paraId="7A04122A">
      <w:pPr>
        <w:spacing w:line="400" w:lineRule="exact"/>
        <w:ind w:firstLine="422" w:firstLineChars="200"/>
        <w:rPr>
          <w:color w:val="000000"/>
          <w:szCs w:val="21"/>
        </w:rPr>
      </w:pPr>
      <w:r>
        <w:rPr>
          <w:rFonts w:hint="eastAsia"/>
          <w:b/>
          <w:color w:val="000000"/>
          <w:szCs w:val="21"/>
        </w:rPr>
        <w:t>4</w:t>
      </w:r>
      <w:r>
        <w:rPr>
          <w:b/>
          <w:color w:val="000000"/>
          <w:szCs w:val="21"/>
        </w:rPr>
        <w:t xml:space="preserve"> </w:t>
      </w:r>
      <w:r>
        <w:rPr>
          <w:color w:val="000000"/>
          <w:szCs w:val="21"/>
        </w:rPr>
        <w:t xml:space="preserve"> 水表应设置在便于观测计量、检修的位置，水表底部应设独立支撑，表前与阀门间应有不小于8倍水表接口直径的直线管段</w:t>
      </w:r>
      <w:r>
        <w:rPr>
          <w:rFonts w:hint="eastAsia"/>
          <w:color w:val="000000"/>
          <w:kern w:val="21"/>
          <w:szCs w:val="21"/>
        </w:rPr>
        <w:t>。</w:t>
      </w:r>
    </w:p>
    <w:p w14:paraId="2AA28D70">
      <w:pPr>
        <w:spacing w:line="400" w:lineRule="exact"/>
        <w:rPr>
          <w:color w:val="000000"/>
          <w:szCs w:val="21"/>
        </w:rPr>
      </w:pPr>
      <w:r>
        <w:rPr>
          <w:b/>
          <w:bCs/>
          <w:color w:val="000000"/>
          <w:szCs w:val="21"/>
        </w:rPr>
        <w:t>9.2.2</w:t>
      </w:r>
      <w:r>
        <w:rPr>
          <w:color w:val="000000"/>
          <w:szCs w:val="21"/>
        </w:rPr>
        <w:t xml:space="preserve">  中水管道系统安装应符合</w:t>
      </w:r>
      <w:r>
        <w:rPr>
          <w:rFonts w:hint="eastAsia"/>
          <w:color w:val="000000"/>
          <w:szCs w:val="21"/>
        </w:rPr>
        <w:t>下列规定</w:t>
      </w:r>
      <w:r>
        <w:rPr>
          <w:color w:val="000000"/>
          <w:szCs w:val="21"/>
        </w:rPr>
        <w:t>：</w:t>
      </w:r>
    </w:p>
    <w:p w14:paraId="63012754">
      <w:pPr>
        <w:spacing w:line="400" w:lineRule="exact"/>
        <w:ind w:firstLine="422" w:firstLineChars="200"/>
        <w:rPr>
          <w:color w:val="000000"/>
          <w:szCs w:val="21"/>
        </w:rPr>
      </w:pPr>
      <w:r>
        <w:rPr>
          <w:b/>
          <w:color w:val="000000"/>
          <w:szCs w:val="21"/>
        </w:rPr>
        <w:t>1</w:t>
      </w:r>
      <w:r>
        <w:rPr>
          <w:color w:val="000000"/>
          <w:szCs w:val="21"/>
        </w:rPr>
        <w:t xml:space="preserve">  中水供水管道使用的管材和管件应采用耐腐蚀的给水管材及管件，中水原水管道应符合排水管道的安装要求；</w:t>
      </w:r>
    </w:p>
    <w:p w14:paraId="78FE055F">
      <w:pPr>
        <w:spacing w:line="400" w:lineRule="exact"/>
        <w:ind w:firstLine="422" w:firstLineChars="200"/>
        <w:rPr>
          <w:color w:val="000000"/>
          <w:szCs w:val="21"/>
        </w:rPr>
      </w:pPr>
      <w:r>
        <w:rPr>
          <w:b/>
          <w:color w:val="000000"/>
          <w:szCs w:val="21"/>
        </w:rPr>
        <w:t xml:space="preserve">2  </w:t>
      </w:r>
      <w:r>
        <w:rPr>
          <w:color w:val="000000"/>
          <w:szCs w:val="21"/>
        </w:rPr>
        <w:t>中水处理间不得与生活给水设备间使用同一房间，</w:t>
      </w:r>
      <w:r>
        <w:rPr>
          <w:rFonts w:hint="eastAsia"/>
          <w:color w:val="000000"/>
          <w:szCs w:val="21"/>
        </w:rPr>
        <w:t>如条件不允许中水供水箱与生活给水箱只能设在同一房间时，</w:t>
      </w:r>
      <w:r>
        <w:rPr>
          <w:color w:val="000000"/>
          <w:szCs w:val="21"/>
        </w:rPr>
        <w:t>必须保持2 m以上</w:t>
      </w:r>
      <w:r>
        <w:rPr>
          <w:rFonts w:hint="eastAsia"/>
          <w:color w:val="000000"/>
          <w:szCs w:val="21"/>
        </w:rPr>
        <w:t>净</w:t>
      </w:r>
      <w:r>
        <w:rPr>
          <w:color w:val="000000"/>
          <w:szCs w:val="21"/>
        </w:rPr>
        <w:t>距离；</w:t>
      </w:r>
    </w:p>
    <w:p w14:paraId="6876E16B">
      <w:pPr>
        <w:spacing w:line="400" w:lineRule="exact"/>
        <w:ind w:firstLine="422" w:firstLineChars="200"/>
        <w:rPr>
          <w:bCs/>
          <w:color w:val="000000"/>
          <w:szCs w:val="21"/>
        </w:rPr>
      </w:pPr>
      <w:r>
        <w:rPr>
          <w:b/>
          <w:color w:val="000000"/>
          <w:szCs w:val="21"/>
        </w:rPr>
        <w:t>3</w:t>
      </w:r>
      <w:r>
        <w:rPr>
          <w:bCs/>
          <w:color w:val="000000"/>
          <w:szCs w:val="21"/>
        </w:rPr>
        <w:t xml:space="preserve">  中水、回用雨水等非生活饮用水管道严禁与生活饮用水管道连接，中水管道取水应采取防止误饮误用的措施；便器冲洗阀应采用密闭型器具，绿化冲洗的给水栓应采用壁式或地下式；</w:t>
      </w:r>
    </w:p>
    <w:p w14:paraId="02126E1D">
      <w:pPr>
        <w:spacing w:line="400" w:lineRule="exact"/>
        <w:ind w:firstLine="422" w:firstLineChars="200"/>
        <w:rPr>
          <w:color w:val="000000"/>
          <w:szCs w:val="21"/>
        </w:rPr>
      </w:pPr>
      <w:r>
        <w:rPr>
          <w:b/>
          <w:color w:val="000000"/>
          <w:szCs w:val="21"/>
        </w:rPr>
        <w:t>4</w:t>
      </w:r>
      <w:r>
        <w:rPr>
          <w:color w:val="000000"/>
          <w:szCs w:val="21"/>
        </w:rPr>
        <w:t xml:space="preserve">  中水管道及设备必须有明显的浅绿色色环标识和中文字样标识。</w:t>
      </w:r>
    </w:p>
    <w:p w14:paraId="7EF8301E">
      <w:pPr>
        <w:spacing w:line="400" w:lineRule="exact"/>
        <w:rPr>
          <w:color w:val="000000"/>
          <w:szCs w:val="21"/>
        </w:rPr>
      </w:pPr>
      <w:r>
        <w:rPr>
          <w:b/>
          <w:bCs/>
          <w:color w:val="000000"/>
          <w:szCs w:val="21"/>
        </w:rPr>
        <w:t>9.2.3</w:t>
      </w:r>
      <w:r>
        <w:rPr>
          <w:color w:val="000000"/>
          <w:szCs w:val="21"/>
        </w:rPr>
        <w:t xml:space="preserve">  排水管道系统的安装应符合</w:t>
      </w:r>
      <w:r>
        <w:rPr>
          <w:rFonts w:hint="eastAsia"/>
          <w:color w:val="000000"/>
          <w:szCs w:val="21"/>
        </w:rPr>
        <w:t>下列规定</w:t>
      </w:r>
      <w:r>
        <w:rPr>
          <w:color w:val="000000"/>
          <w:szCs w:val="21"/>
        </w:rPr>
        <w:t>：</w:t>
      </w:r>
    </w:p>
    <w:p w14:paraId="47BC6FDE">
      <w:pPr>
        <w:spacing w:line="400" w:lineRule="exact"/>
        <w:ind w:firstLine="422" w:firstLineChars="200"/>
        <w:rPr>
          <w:color w:val="000000"/>
          <w:szCs w:val="21"/>
        </w:rPr>
      </w:pPr>
      <w:r>
        <w:rPr>
          <w:b/>
          <w:color w:val="000000"/>
          <w:szCs w:val="21"/>
        </w:rPr>
        <w:t xml:space="preserve">1 </w:t>
      </w:r>
      <w:r>
        <w:rPr>
          <w:rFonts w:hint="eastAsia"/>
          <w:b/>
          <w:color w:val="000000"/>
          <w:szCs w:val="21"/>
        </w:rPr>
        <w:t xml:space="preserve"> </w:t>
      </w:r>
      <w:r>
        <w:rPr>
          <w:bCs/>
          <w:color w:val="000000"/>
          <w:szCs w:val="21"/>
        </w:rPr>
        <w:t>排水管道不得穿越</w:t>
      </w:r>
      <w:r>
        <w:rPr>
          <w:rFonts w:hint="eastAsia"/>
          <w:bCs/>
          <w:color w:val="000000"/>
          <w:kern w:val="21"/>
          <w:szCs w:val="21"/>
        </w:rPr>
        <w:t>变形缝</w:t>
      </w:r>
      <w:r>
        <w:rPr>
          <w:bCs/>
          <w:color w:val="000000"/>
          <w:szCs w:val="21"/>
        </w:rPr>
        <w:t>和烟道、风道，污水管道不得穿越居住房间和卫生要求严格的房间和生活饮用水箱的上方，雨水管道不得与污水管道相连接。高层建筑的内排雨水管不应使用塑料管材。空调冷凝水管、水箱的溢流管、泄水管，不得直接接入排水管道，并应有不小于100 mm的空气隔断距离；</w:t>
      </w:r>
    </w:p>
    <w:p w14:paraId="724028A0">
      <w:pPr>
        <w:spacing w:line="400" w:lineRule="exact"/>
        <w:ind w:firstLine="422" w:firstLineChars="200"/>
        <w:rPr>
          <w:color w:val="000000"/>
          <w:szCs w:val="21"/>
        </w:rPr>
      </w:pPr>
      <w:r>
        <w:rPr>
          <w:b/>
          <w:color w:val="000000"/>
          <w:szCs w:val="21"/>
        </w:rPr>
        <w:t>2</w:t>
      </w:r>
      <w:r>
        <w:rPr>
          <w:color w:val="000000"/>
          <w:szCs w:val="21"/>
        </w:rPr>
        <w:t xml:space="preserve">  低层带有卫生器具和地漏的高层建筑，排水管应进行高低分区并独立排出室外，分区排放应符合</w:t>
      </w:r>
      <w:r>
        <w:rPr>
          <w:rFonts w:hint="eastAsia"/>
          <w:color w:val="000000"/>
          <w:szCs w:val="21"/>
        </w:rPr>
        <w:t>设计要求</w:t>
      </w:r>
      <w:r>
        <w:rPr>
          <w:color w:val="000000"/>
          <w:szCs w:val="21"/>
        </w:rPr>
        <w:t>；</w:t>
      </w:r>
    </w:p>
    <w:p w14:paraId="31042AA7">
      <w:pPr>
        <w:spacing w:line="400" w:lineRule="exact"/>
        <w:ind w:firstLine="422" w:firstLineChars="200"/>
        <w:rPr>
          <w:color w:val="000000"/>
          <w:szCs w:val="21"/>
        </w:rPr>
      </w:pPr>
      <w:r>
        <w:rPr>
          <w:b/>
          <w:color w:val="000000"/>
          <w:szCs w:val="21"/>
        </w:rPr>
        <w:t>3</w:t>
      </w:r>
      <w:r>
        <w:rPr>
          <w:color w:val="000000"/>
          <w:szCs w:val="21"/>
        </w:rPr>
        <w:t xml:space="preserve">  排水立管底部和排水干管、引出管应支撑固定牢固，不得有下沉现象。排水引出管穿外围结构时，应有防水和防沉降的技术措施。有严格防水要求的建筑物，必须采用柔性防水套管。防水套管和防沉降措施应做隐蔽验收；</w:t>
      </w:r>
    </w:p>
    <w:p w14:paraId="7E89672C">
      <w:pPr>
        <w:spacing w:line="400" w:lineRule="exact"/>
        <w:ind w:firstLine="422" w:firstLineChars="200"/>
        <w:rPr>
          <w:color w:val="000000"/>
          <w:szCs w:val="21"/>
        </w:rPr>
      </w:pPr>
      <w:r>
        <w:rPr>
          <w:b/>
          <w:color w:val="000000"/>
          <w:szCs w:val="21"/>
        </w:rPr>
        <w:t>4</w:t>
      </w:r>
      <w:r>
        <w:rPr>
          <w:color w:val="000000"/>
          <w:szCs w:val="21"/>
        </w:rPr>
        <w:t xml:space="preserve">  排水立管检查口应位置正确、便于检修，不得有遮挡和无法开启的现象。检查口应距楼地面以上1.00 m，并应高于该层卫生间器具上边缘0.15 m。暗装立管检修门应对准检查口；</w:t>
      </w:r>
    </w:p>
    <w:p w14:paraId="38DC1189">
      <w:pPr>
        <w:spacing w:line="400" w:lineRule="exact"/>
        <w:ind w:firstLine="422" w:firstLineChars="200"/>
        <w:rPr>
          <w:color w:val="000000"/>
          <w:szCs w:val="21"/>
        </w:rPr>
      </w:pPr>
      <w:r>
        <w:rPr>
          <w:b/>
          <w:color w:val="000000"/>
          <w:szCs w:val="21"/>
        </w:rPr>
        <w:t>5</w:t>
      </w:r>
      <w:r>
        <w:rPr>
          <w:color w:val="000000"/>
          <w:szCs w:val="21"/>
        </w:rPr>
        <w:t xml:space="preserve">  排水塑料管应按设计要求安装伸缩节、阻火圈，伸缩节间距不得大于4 m；</w:t>
      </w:r>
    </w:p>
    <w:p w14:paraId="220EAF85">
      <w:pPr>
        <w:spacing w:line="400" w:lineRule="exact"/>
        <w:ind w:firstLine="422" w:firstLineChars="200"/>
        <w:rPr>
          <w:color w:val="000000"/>
          <w:szCs w:val="21"/>
        </w:rPr>
      </w:pPr>
      <w:r>
        <w:rPr>
          <w:b/>
          <w:color w:val="000000"/>
          <w:szCs w:val="21"/>
        </w:rPr>
        <w:t>6</w:t>
      </w:r>
      <w:r>
        <w:rPr>
          <w:color w:val="000000"/>
          <w:szCs w:val="21"/>
        </w:rPr>
        <w:t xml:space="preserve">  室内排水水平管道应坡度正确，不得倒坡，保证排水畅通；合理选择管件，不得使用正四通和正三通连接。引出管拐弯应使用两个45°弯头。水平干管末端，乙字弯管的上部，转角小于135°的弯头和带有3个以上卫生器的横管等部位，应设置</w:t>
      </w:r>
      <w:r>
        <w:rPr>
          <w:rFonts w:hint="eastAsia"/>
          <w:color w:val="000000"/>
          <w:kern w:val="21"/>
          <w:szCs w:val="21"/>
        </w:rPr>
        <w:t>清扫口</w:t>
      </w:r>
      <w:r>
        <w:rPr>
          <w:color w:val="000000"/>
          <w:szCs w:val="21"/>
        </w:rPr>
        <w:t>，</w:t>
      </w:r>
      <w:r>
        <w:rPr>
          <w:rFonts w:hint="eastAsia"/>
          <w:color w:val="000000"/>
          <w:szCs w:val="21"/>
        </w:rPr>
        <w:t>清扫口</w:t>
      </w:r>
      <w:r>
        <w:rPr>
          <w:color w:val="000000"/>
          <w:szCs w:val="21"/>
        </w:rPr>
        <w:t>位置应便于检修清堵；</w:t>
      </w:r>
    </w:p>
    <w:p w14:paraId="7E726C89">
      <w:pPr>
        <w:spacing w:line="400" w:lineRule="exact"/>
        <w:ind w:firstLine="422" w:firstLineChars="200"/>
        <w:rPr>
          <w:color w:val="000000"/>
          <w:szCs w:val="21"/>
        </w:rPr>
      </w:pPr>
      <w:r>
        <w:rPr>
          <w:b/>
          <w:color w:val="000000"/>
          <w:szCs w:val="21"/>
        </w:rPr>
        <w:t xml:space="preserve">7  </w:t>
      </w:r>
      <w:r>
        <w:rPr>
          <w:color w:val="000000"/>
          <w:szCs w:val="21"/>
        </w:rPr>
        <w:t>室内地下污水池应设置在安全位置，不应与给水、空调设备合用同一机房。污水池应设有通气管和排风设备。屋面上排水通气管高度应高出屋面</w:t>
      </w:r>
      <w:r>
        <w:rPr>
          <w:rFonts w:hint="eastAsia"/>
          <w:color w:val="000000"/>
          <w:szCs w:val="21"/>
        </w:rPr>
        <w:t>0.5</w:t>
      </w:r>
      <w:r>
        <w:rPr>
          <w:color w:val="000000"/>
          <w:szCs w:val="21"/>
        </w:rPr>
        <w:t xml:space="preserve"> m，经常有人停留屋面的通气管应高出屋面2 m以上，固定应牢固，并应安装防护罩。通气管周边4 m以内有门窗时，应高出窗顶</w:t>
      </w:r>
      <w:r>
        <w:rPr>
          <w:rFonts w:hint="eastAsia"/>
          <w:color w:val="000000"/>
          <w:szCs w:val="21"/>
        </w:rPr>
        <w:t>0.</w:t>
      </w:r>
      <w:r>
        <w:rPr>
          <w:color w:val="000000"/>
          <w:szCs w:val="21"/>
        </w:rPr>
        <w:t>6 m或引向无门窗一侧；</w:t>
      </w:r>
    </w:p>
    <w:p w14:paraId="1C25ACEA">
      <w:pPr>
        <w:spacing w:line="400" w:lineRule="exact"/>
        <w:ind w:firstLine="422" w:firstLineChars="200"/>
        <w:rPr>
          <w:color w:val="000000"/>
          <w:szCs w:val="21"/>
        </w:rPr>
      </w:pPr>
      <w:r>
        <w:rPr>
          <w:b/>
          <w:color w:val="000000"/>
          <w:szCs w:val="21"/>
        </w:rPr>
        <w:t>8</w:t>
      </w:r>
      <w:r>
        <w:rPr>
          <w:color w:val="000000"/>
          <w:szCs w:val="21"/>
        </w:rPr>
        <w:t xml:space="preserve">  排水立管和水平干管应在通水试验之后做通球试验，应一管一试，记录齐全</w:t>
      </w:r>
      <w:r>
        <w:rPr>
          <w:rFonts w:hint="eastAsia"/>
          <w:color w:val="000000"/>
          <w:szCs w:val="21"/>
        </w:rPr>
        <w:t>；</w:t>
      </w:r>
    </w:p>
    <w:p w14:paraId="62B268B0">
      <w:pPr>
        <w:spacing w:line="400" w:lineRule="exact"/>
        <w:ind w:firstLine="422" w:firstLineChars="200"/>
        <w:rPr>
          <w:color w:val="000000"/>
          <w:szCs w:val="21"/>
        </w:rPr>
      </w:pPr>
      <w:r>
        <w:rPr>
          <w:b/>
          <w:color w:val="000000"/>
          <w:szCs w:val="21"/>
        </w:rPr>
        <w:t xml:space="preserve">9 </w:t>
      </w:r>
      <w:r>
        <w:rPr>
          <w:rFonts w:hint="eastAsia"/>
          <w:b/>
          <w:color w:val="000000"/>
          <w:szCs w:val="21"/>
        </w:rPr>
        <w:t xml:space="preserve"> </w:t>
      </w:r>
      <w:r>
        <w:rPr>
          <w:color w:val="000000"/>
          <w:szCs w:val="21"/>
        </w:rPr>
        <w:t>水箱间、泵房</w:t>
      </w:r>
      <w:r>
        <w:rPr>
          <w:rFonts w:hint="eastAsia"/>
          <w:color w:val="000000"/>
          <w:szCs w:val="21"/>
        </w:rPr>
        <w:t>等涉水设备间</w:t>
      </w:r>
      <w:r>
        <w:rPr>
          <w:color w:val="000000"/>
          <w:szCs w:val="21"/>
        </w:rPr>
        <w:t>地面应设有组织排水，排水沟位置应合理、排水顺畅，地面坡度应坡向排水沟。</w:t>
      </w:r>
    </w:p>
    <w:p w14:paraId="5AB8BACB">
      <w:pPr>
        <w:pStyle w:val="2"/>
        <w:spacing w:line="400" w:lineRule="exact"/>
        <w:ind w:left="0" w:leftChars="0" w:firstLine="0" w:firstLineChars="0"/>
        <w:rPr>
          <w:color w:val="000000"/>
          <w:szCs w:val="21"/>
        </w:rPr>
      </w:pPr>
      <w:r>
        <w:rPr>
          <w:rFonts w:hint="eastAsia"/>
          <w:b/>
          <w:bCs/>
          <w:color w:val="000000"/>
        </w:rPr>
        <w:t>9</w:t>
      </w:r>
      <w:r>
        <w:rPr>
          <w:b/>
          <w:bCs/>
          <w:color w:val="000000"/>
        </w:rPr>
        <w:t xml:space="preserve">.2.4 </w:t>
      </w:r>
      <w:r>
        <w:rPr>
          <w:color w:val="000000"/>
          <w:szCs w:val="21"/>
        </w:rPr>
        <w:t>组装水箱、水罐</w:t>
      </w:r>
      <w:r>
        <w:rPr>
          <w:rFonts w:hint="eastAsia"/>
          <w:color w:val="000000"/>
          <w:szCs w:val="21"/>
        </w:rPr>
        <w:t>及配管的安装应符合下列规定：</w:t>
      </w:r>
    </w:p>
    <w:p w14:paraId="027B67B1">
      <w:pPr>
        <w:pStyle w:val="2"/>
        <w:spacing w:line="400" w:lineRule="exact"/>
        <w:ind w:left="134" w:firstLine="285"/>
        <w:rPr>
          <w:color w:val="000000"/>
          <w:kern w:val="0"/>
          <w:szCs w:val="21"/>
        </w:rPr>
      </w:pPr>
      <w:r>
        <w:rPr>
          <w:b/>
          <w:bCs/>
          <w:color w:val="000000"/>
          <w:kern w:val="0"/>
          <w:szCs w:val="21"/>
        </w:rPr>
        <w:t>1</w:t>
      </w:r>
      <w:r>
        <w:rPr>
          <w:rFonts w:hint="eastAsia"/>
          <w:b/>
          <w:bCs/>
          <w:color w:val="000000"/>
          <w:kern w:val="0"/>
          <w:szCs w:val="21"/>
        </w:rPr>
        <w:t xml:space="preserve"> </w:t>
      </w:r>
      <w:r>
        <w:rPr>
          <w:b/>
          <w:bCs/>
          <w:color w:val="000000"/>
          <w:kern w:val="0"/>
          <w:szCs w:val="21"/>
        </w:rPr>
        <w:t xml:space="preserve"> </w:t>
      </w:r>
      <w:r>
        <w:rPr>
          <w:rFonts w:hint="eastAsia"/>
          <w:color w:val="000000"/>
          <w:szCs w:val="21"/>
        </w:rPr>
        <w:t>水箱、水罐</w:t>
      </w:r>
      <w:r>
        <w:rPr>
          <w:color w:val="000000"/>
          <w:szCs w:val="21"/>
        </w:rPr>
        <w:t>应位置正确并应有检修通道</w:t>
      </w:r>
      <w:r>
        <w:rPr>
          <w:rFonts w:hint="eastAsia"/>
          <w:color w:val="000000"/>
          <w:szCs w:val="21"/>
        </w:rPr>
        <w:t>，水箱</w:t>
      </w:r>
      <w:r>
        <w:rPr>
          <w:color w:val="000000"/>
          <w:kern w:val="0"/>
          <w:szCs w:val="21"/>
        </w:rPr>
        <w:t>无管道的侧面，净距不宜小于 0.7 m；安装有管道的侧面，净距不宜小于1.0 m，且管道外壁与建筑本体墙面之间的通道宽度不宜小于0.6 m</w:t>
      </w:r>
      <w:r>
        <w:rPr>
          <w:rFonts w:hint="eastAsia"/>
          <w:color w:val="000000"/>
          <w:kern w:val="0"/>
          <w:szCs w:val="21"/>
        </w:rPr>
        <w:t>；</w:t>
      </w:r>
      <w:r>
        <w:rPr>
          <w:color w:val="000000"/>
          <w:kern w:val="0"/>
          <w:szCs w:val="21"/>
        </w:rPr>
        <w:t>设有人孔的水箱顶，其顶面与其上面的建筑物本体板底的净空不应小于0.8 m</w:t>
      </w:r>
      <w:r>
        <w:rPr>
          <w:rFonts w:hint="eastAsia"/>
          <w:color w:val="000000"/>
          <w:kern w:val="0"/>
          <w:szCs w:val="21"/>
        </w:rPr>
        <w:t>；</w:t>
      </w:r>
    </w:p>
    <w:p w14:paraId="4C672B35">
      <w:pPr>
        <w:pStyle w:val="2"/>
        <w:spacing w:line="400" w:lineRule="exact"/>
        <w:ind w:left="134" w:firstLine="285"/>
        <w:rPr>
          <w:color w:val="000000"/>
          <w:szCs w:val="21"/>
        </w:rPr>
      </w:pPr>
      <w:r>
        <w:rPr>
          <w:b/>
          <w:bCs/>
          <w:color w:val="000000"/>
          <w:kern w:val="0"/>
          <w:szCs w:val="21"/>
        </w:rPr>
        <w:t>2</w:t>
      </w:r>
      <w:r>
        <w:rPr>
          <w:color w:val="000000"/>
          <w:kern w:val="0"/>
          <w:szCs w:val="21"/>
        </w:rPr>
        <w:t xml:space="preserve"> </w:t>
      </w:r>
      <w:r>
        <w:rPr>
          <w:rFonts w:hint="eastAsia"/>
          <w:color w:val="000000"/>
          <w:kern w:val="0"/>
          <w:szCs w:val="21"/>
        </w:rPr>
        <w:t xml:space="preserve"> </w:t>
      </w:r>
      <w:r>
        <w:rPr>
          <w:color w:val="000000"/>
          <w:szCs w:val="21"/>
        </w:rPr>
        <w:t>生活水箱进水管口的最低点高出溢流边缘的空气间隙不应小于进水管管径，但最小不应小于25 mm，最大可不大于150 mm</w:t>
      </w:r>
      <w:r>
        <w:rPr>
          <w:rFonts w:hint="eastAsia"/>
          <w:color w:val="000000"/>
          <w:szCs w:val="21"/>
        </w:rPr>
        <w:t>；</w:t>
      </w:r>
    </w:p>
    <w:p w14:paraId="3EBAE20D">
      <w:pPr>
        <w:pStyle w:val="2"/>
        <w:spacing w:line="400" w:lineRule="exact"/>
        <w:ind w:left="134" w:firstLine="285"/>
        <w:rPr>
          <w:color w:val="000000"/>
          <w:szCs w:val="21"/>
        </w:rPr>
      </w:pPr>
      <w:r>
        <w:rPr>
          <w:b/>
          <w:bCs/>
          <w:color w:val="000000"/>
          <w:szCs w:val="21"/>
        </w:rPr>
        <w:t>3</w:t>
      </w:r>
      <w:r>
        <w:rPr>
          <w:rFonts w:hint="eastAsia"/>
          <w:b/>
          <w:bCs/>
          <w:color w:val="000000"/>
          <w:szCs w:val="21"/>
        </w:rPr>
        <w:t xml:space="preserve">  </w:t>
      </w:r>
      <w:r>
        <w:rPr>
          <w:color w:val="000000"/>
          <w:szCs w:val="21"/>
        </w:rPr>
        <w:t>生活给水管道</w:t>
      </w:r>
      <w:r>
        <w:rPr>
          <w:rFonts w:hint="eastAsia"/>
          <w:color w:val="000000"/>
          <w:kern w:val="21"/>
          <w:szCs w:val="21"/>
        </w:rPr>
        <w:t>向</w:t>
      </w:r>
      <w:r>
        <w:rPr>
          <w:color w:val="000000"/>
          <w:szCs w:val="21"/>
        </w:rPr>
        <w:t>消防、中水水箱补水时，进水管口最低点高出溢流边缘的空气间隙</w:t>
      </w:r>
      <w:r>
        <w:rPr>
          <w:rFonts w:hint="eastAsia"/>
          <w:color w:val="000000"/>
          <w:szCs w:val="21"/>
        </w:rPr>
        <w:t>应符合设计要求；</w:t>
      </w:r>
    </w:p>
    <w:p w14:paraId="0B1F4612">
      <w:pPr>
        <w:pStyle w:val="2"/>
        <w:spacing w:line="400" w:lineRule="exact"/>
        <w:ind w:left="134" w:firstLine="285"/>
        <w:rPr>
          <w:color w:val="000000"/>
          <w:szCs w:val="21"/>
        </w:rPr>
      </w:pPr>
      <w:r>
        <w:rPr>
          <w:b/>
          <w:bCs/>
          <w:color w:val="000000"/>
          <w:szCs w:val="21"/>
        </w:rPr>
        <w:t>4</w:t>
      </w:r>
      <w:r>
        <w:rPr>
          <w:color w:val="000000"/>
          <w:szCs w:val="21"/>
        </w:rPr>
        <w:t xml:space="preserve"> </w:t>
      </w:r>
      <w:r>
        <w:rPr>
          <w:rFonts w:hint="eastAsia"/>
          <w:color w:val="000000"/>
          <w:szCs w:val="21"/>
        </w:rPr>
        <w:t xml:space="preserve"> </w:t>
      </w:r>
      <w:r>
        <w:rPr>
          <w:color w:val="000000"/>
          <w:szCs w:val="21"/>
        </w:rPr>
        <w:t>水箱、水罐、水池的溢流管及泄水管不应与排水管、排水沟直接连接，溢流管、空气管末端应有防护网罩。敞口的水箱、水罐安装完成后应做24 h满水试验</w:t>
      </w:r>
      <w:r>
        <w:rPr>
          <w:rFonts w:hint="eastAsia"/>
          <w:color w:val="000000"/>
          <w:szCs w:val="21"/>
        </w:rPr>
        <w:t>。</w:t>
      </w:r>
    </w:p>
    <w:p w14:paraId="674A76EA">
      <w:pPr>
        <w:widowControl/>
        <w:suppressAutoHyphens w:val="0"/>
        <w:spacing w:line="400" w:lineRule="exact"/>
        <w:jc w:val="left"/>
        <w:rPr>
          <w:color w:val="000000"/>
          <w:szCs w:val="21"/>
        </w:rPr>
      </w:pPr>
      <w:r>
        <w:rPr>
          <w:b/>
          <w:bCs/>
          <w:color w:val="000000"/>
          <w:szCs w:val="21"/>
        </w:rPr>
        <w:t xml:space="preserve">9.2.5  </w:t>
      </w:r>
      <w:r>
        <w:rPr>
          <w:color w:val="000000"/>
          <w:szCs w:val="21"/>
        </w:rPr>
        <w:t>卫生器具安装应符合</w:t>
      </w:r>
      <w:r>
        <w:rPr>
          <w:rFonts w:hint="eastAsia"/>
          <w:color w:val="000000"/>
          <w:szCs w:val="21"/>
        </w:rPr>
        <w:t>下列规定</w:t>
      </w:r>
      <w:r>
        <w:rPr>
          <w:color w:val="000000"/>
          <w:szCs w:val="21"/>
        </w:rPr>
        <w:t>：</w:t>
      </w:r>
    </w:p>
    <w:p w14:paraId="791581BF">
      <w:pPr>
        <w:spacing w:line="400" w:lineRule="exact"/>
        <w:ind w:firstLine="422" w:firstLineChars="200"/>
        <w:rPr>
          <w:color w:val="000000"/>
          <w:szCs w:val="21"/>
        </w:rPr>
      </w:pPr>
      <w:r>
        <w:rPr>
          <w:b/>
          <w:color w:val="000000"/>
          <w:szCs w:val="21"/>
        </w:rPr>
        <w:t>1</w:t>
      </w:r>
      <w:r>
        <w:rPr>
          <w:color w:val="000000"/>
          <w:szCs w:val="21"/>
        </w:rPr>
        <w:t xml:space="preserve">  卫生器具应安装位置准确，固定平稳、牢固，不得有松动、渗漏现象，并应完成满水和通水试验；</w:t>
      </w:r>
    </w:p>
    <w:p w14:paraId="66535A8A">
      <w:pPr>
        <w:spacing w:line="400" w:lineRule="exact"/>
        <w:ind w:firstLine="422" w:firstLineChars="200"/>
        <w:rPr>
          <w:color w:val="000000"/>
          <w:szCs w:val="21"/>
        </w:rPr>
      </w:pPr>
      <w:r>
        <w:rPr>
          <w:b/>
          <w:color w:val="000000"/>
          <w:szCs w:val="21"/>
        </w:rPr>
        <w:t xml:space="preserve">2  </w:t>
      </w:r>
      <w:r>
        <w:rPr>
          <w:color w:val="000000"/>
          <w:szCs w:val="21"/>
        </w:rPr>
        <w:t>卫生器具与排水管道连接，应在排水口</w:t>
      </w:r>
      <w:r>
        <w:rPr>
          <w:rFonts w:hint="eastAsia"/>
          <w:color w:val="000000"/>
          <w:szCs w:val="21"/>
        </w:rPr>
        <w:t>下列</w:t>
      </w:r>
      <w:r>
        <w:rPr>
          <w:color w:val="000000"/>
          <w:szCs w:val="21"/>
        </w:rPr>
        <w:t>设存水弯，存水弯水封深度不得小于50 mm，安装应平直并应与</w:t>
      </w:r>
      <w:r>
        <w:rPr>
          <w:rFonts w:hint="eastAsia"/>
          <w:color w:val="000000"/>
          <w:szCs w:val="21"/>
        </w:rPr>
        <w:t>排</w:t>
      </w:r>
      <w:r>
        <w:rPr>
          <w:color w:val="000000"/>
          <w:szCs w:val="21"/>
        </w:rPr>
        <w:t>水甩口封闭严密。卫生器具本体构造有存水弯时，不应再独立设存水弯；</w:t>
      </w:r>
    </w:p>
    <w:p w14:paraId="0414E9E6">
      <w:pPr>
        <w:spacing w:line="400" w:lineRule="exact"/>
        <w:ind w:firstLine="422" w:firstLineChars="200"/>
        <w:rPr>
          <w:color w:val="000000"/>
          <w:szCs w:val="21"/>
        </w:rPr>
      </w:pPr>
      <w:r>
        <w:rPr>
          <w:b/>
          <w:color w:val="000000"/>
          <w:szCs w:val="21"/>
        </w:rPr>
        <w:t>3</w:t>
      </w:r>
      <w:r>
        <w:rPr>
          <w:color w:val="000000"/>
          <w:szCs w:val="21"/>
        </w:rPr>
        <w:t xml:space="preserve">  卫生器具及配件必须选用节水型和防污染的产品； </w:t>
      </w:r>
    </w:p>
    <w:p w14:paraId="25B2D35E">
      <w:pPr>
        <w:spacing w:line="400" w:lineRule="exact"/>
        <w:ind w:firstLine="422" w:firstLineChars="200"/>
        <w:rPr>
          <w:bCs/>
          <w:color w:val="000000"/>
          <w:szCs w:val="21"/>
        </w:rPr>
      </w:pPr>
      <w:r>
        <w:rPr>
          <w:b/>
          <w:color w:val="000000"/>
          <w:szCs w:val="21"/>
        </w:rPr>
        <w:t xml:space="preserve">4  </w:t>
      </w:r>
      <w:r>
        <w:rPr>
          <w:bCs/>
          <w:color w:val="000000"/>
          <w:szCs w:val="21"/>
        </w:rPr>
        <w:t>卫生器具应完整无损，各类配件应启闭灵活，坐标、标高应符合设计要求，应洁净美观、无污染，成排器具应排列整齐、标高一致，并与装饰面排布协调美观、均匀对称</w:t>
      </w:r>
      <w:r>
        <w:rPr>
          <w:rFonts w:hint="eastAsia"/>
          <w:bCs/>
          <w:color w:val="000000"/>
          <w:szCs w:val="21"/>
        </w:rPr>
        <w:t>；</w:t>
      </w:r>
    </w:p>
    <w:p w14:paraId="67D2B7BA">
      <w:pPr>
        <w:spacing w:line="400" w:lineRule="exact"/>
        <w:ind w:firstLine="422" w:firstLineChars="200"/>
        <w:rPr>
          <w:bCs/>
          <w:color w:val="000000"/>
          <w:szCs w:val="21"/>
        </w:rPr>
      </w:pPr>
      <w:r>
        <w:rPr>
          <w:b/>
          <w:color w:val="000000"/>
          <w:szCs w:val="21"/>
        </w:rPr>
        <w:t>5</w:t>
      </w:r>
      <w:r>
        <w:rPr>
          <w:bCs/>
          <w:color w:val="000000"/>
          <w:szCs w:val="21"/>
        </w:rPr>
        <w:t xml:space="preserve"> 地漏应设置在防水</w:t>
      </w:r>
      <w:r>
        <w:rPr>
          <w:color w:val="000000"/>
          <w:szCs w:val="21"/>
        </w:rPr>
        <w:t>地面</w:t>
      </w:r>
      <w:r>
        <w:rPr>
          <w:bCs/>
          <w:color w:val="000000"/>
          <w:szCs w:val="21"/>
        </w:rPr>
        <w:t>上，非防水地面不得设有地漏。地漏位置应便于检修，并应低于地表5 mm。带水封的地漏，水封高度不得小于50 mm，直通式地漏下应设存水弯。</w:t>
      </w:r>
      <w:r>
        <w:rPr>
          <w:rFonts w:hint="eastAsia"/>
          <w:color w:val="000000"/>
          <w:szCs w:val="21"/>
        </w:rPr>
        <w:t>严禁采用钟罩式结构地漏及采用活动机械活瓣替代水封。</w:t>
      </w:r>
      <w:r>
        <w:rPr>
          <w:bCs/>
          <w:color w:val="000000"/>
          <w:szCs w:val="21"/>
        </w:rPr>
        <w:t>地漏配件应齐全，地漏内应清理洁净，应无灰渣、堵塞现象，篦子应易于开启，不得抹有灰浆及污染，地漏不应有锈蚀、损伤</w:t>
      </w:r>
      <w:r>
        <w:rPr>
          <w:rFonts w:hint="eastAsia"/>
          <w:bCs/>
          <w:color w:val="000000"/>
          <w:szCs w:val="21"/>
        </w:rPr>
        <w:t>。</w:t>
      </w:r>
      <w:r>
        <w:rPr>
          <w:bCs/>
          <w:color w:val="000000"/>
          <w:szCs w:val="21"/>
        </w:rPr>
        <w:t>卫生间地漏的安装位置应布置合理，不妨碍通行，且便于清理</w:t>
      </w:r>
      <w:r>
        <w:rPr>
          <w:rFonts w:hint="eastAsia"/>
          <w:bCs/>
          <w:color w:val="000000"/>
          <w:szCs w:val="21"/>
        </w:rPr>
        <w:t>。</w:t>
      </w:r>
    </w:p>
    <w:p w14:paraId="3E73D4F3">
      <w:pPr>
        <w:spacing w:line="400" w:lineRule="exact"/>
        <w:rPr>
          <w:color w:val="000000"/>
          <w:szCs w:val="21"/>
        </w:rPr>
      </w:pPr>
      <w:r>
        <w:rPr>
          <w:b/>
          <w:bCs/>
          <w:color w:val="000000"/>
          <w:szCs w:val="21"/>
        </w:rPr>
        <w:t>9.2.</w:t>
      </w:r>
      <w:r>
        <w:rPr>
          <w:color w:val="000000"/>
          <w:szCs w:val="21"/>
        </w:rPr>
        <w:t>6</w:t>
      </w:r>
      <w:r>
        <w:rPr>
          <w:b/>
          <w:bCs/>
          <w:color w:val="000000"/>
          <w:szCs w:val="21"/>
        </w:rPr>
        <w:t xml:space="preserve">  </w:t>
      </w:r>
      <w:r>
        <w:rPr>
          <w:color w:val="000000"/>
          <w:szCs w:val="21"/>
        </w:rPr>
        <w:t>生活热水系统及太阳能供热系统管道及设备安装，应符合现行国家标准的有关规定和设计要求。</w:t>
      </w:r>
    </w:p>
    <w:p w14:paraId="0434B9CA">
      <w:pPr>
        <w:pStyle w:val="4"/>
        <w:numPr>
          <w:ilvl w:val="1"/>
          <w:numId w:val="0"/>
        </w:numPr>
        <w:spacing w:before="312" w:beforeLines="100" w:line="400" w:lineRule="exact"/>
        <w:jc w:val="center"/>
        <w:rPr>
          <w:rFonts w:ascii="Times New Roman" w:hAnsi="Times New Roman" w:eastAsia="黑体"/>
          <w:sz w:val="24"/>
          <w:szCs w:val="24"/>
        </w:rPr>
      </w:pPr>
      <w:bookmarkStart w:id="491" w:name="_Toc9674"/>
      <w:bookmarkStart w:id="492" w:name="_Toc30687"/>
      <w:bookmarkStart w:id="493" w:name="_Toc8179"/>
      <w:bookmarkStart w:id="494" w:name="_Toc8354"/>
      <w:bookmarkStart w:id="495" w:name="_Toc20883"/>
      <w:bookmarkStart w:id="496" w:name="_Toc8539"/>
      <w:bookmarkStart w:id="497" w:name="_Toc29620"/>
      <w:bookmarkStart w:id="498" w:name="_Toc32679"/>
      <w:bookmarkStart w:id="499" w:name="_Toc1985"/>
      <w:r>
        <w:rPr>
          <w:rFonts w:ascii="Times New Roman" w:hAnsi="Times New Roman" w:eastAsia="黑体"/>
          <w:b/>
          <w:bCs/>
          <w:sz w:val="24"/>
          <w:szCs w:val="24"/>
        </w:rPr>
        <w:t xml:space="preserve">9.3 </w:t>
      </w:r>
      <w:r>
        <w:rPr>
          <w:rFonts w:ascii="Times New Roman" w:hAnsi="Times New Roman" w:eastAsia="黑体"/>
          <w:sz w:val="24"/>
          <w:szCs w:val="24"/>
        </w:rPr>
        <w:t xml:space="preserve"> 供暖及通风、空调工程</w:t>
      </w:r>
      <w:bookmarkEnd w:id="491"/>
      <w:bookmarkEnd w:id="492"/>
      <w:bookmarkEnd w:id="493"/>
      <w:bookmarkEnd w:id="494"/>
      <w:bookmarkEnd w:id="495"/>
      <w:bookmarkEnd w:id="496"/>
      <w:bookmarkEnd w:id="497"/>
      <w:bookmarkEnd w:id="498"/>
      <w:bookmarkEnd w:id="499"/>
    </w:p>
    <w:p w14:paraId="4E6692A0">
      <w:pPr>
        <w:spacing w:line="400" w:lineRule="exact"/>
        <w:rPr>
          <w:b/>
          <w:bCs/>
          <w:color w:val="000000"/>
          <w:szCs w:val="21"/>
        </w:rPr>
      </w:pPr>
      <w:r>
        <w:rPr>
          <w:b/>
          <w:bCs/>
          <w:color w:val="000000"/>
          <w:szCs w:val="21"/>
        </w:rPr>
        <w:t xml:space="preserve">9.3.1  </w:t>
      </w:r>
      <w:r>
        <w:rPr>
          <w:color w:val="000000"/>
          <w:szCs w:val="21"/>
        </w:rPr>
        <w:t>供暖及冷热源管道系统安装应符合</w:t>
      </w:r>
      <w:r>
        <w:rPr>
          <w:rFonts w:hint="eastAsia"/>
          <w:color w:val="000000"/>
          <w:szCs w:val="21"/>
        </w:rPr>
        <w:t>下列规定</w:t>
      </w:r>
      <w:r>
        <w:rPr>
          <w:color w:val="000000"/>
          <w:szCs w:val="21"/>
        </w:rPr>
        <w:t>：</w:t>
      </w:r>
    </w:p>
    <w:p w14:paraId="47C58019">
      <w:pPr>
        <w:spacing w:line="400" w:lineRule="exact"/>
        <w:ind w:firstLine="422" w:firstLineChars="200"/>
        <w:rPr>
          <w:color w:val="000000"/>
          <w:szCs w:val="21"/>
        </w:rPr>
      </w:pPr>
      <w:r>
        <w:rPr>
          <w:b/>
          <w:color w:val="000000"/>
          <w:szCs w:val="21"/>
        </w:rPr>
        <w:t xml:space="preserve">1 </w:t>
      </w:r>
      <w:r>
        <w:rPr>
          <w:color w:val="000000"/>
          <w:szCs w:val="21"/>
        </w:rPr>
        <w:t xml:space="preserve"> 供暖及冷热源管道的材质、规格及连接形式应符合设计要求，立管、干管不应使用塑料管材。镀锌钢管及带有防腐涂层的钢管不得采用焊接连接，应采用螺纹或法兰连接等。用于输送乙烯乙二醇溶液的管路不得采用内壁镀锌的管材和管件。热水地面辐射供暖塑料加热管的材质和壁厚应根据工程的耐久年限、管材的性能、系统运行水温和工作压力合理选用；</w:t>
      </w:r>
    </w:p>
    <w:p w14:paraId="267F8303">
      <w:pPr>
        <w:spacing w:line="400" w:lineRule="exact"/>
        <w:ind w:firstLine="422" w:firstLineChars="200"/>
        <w:rPr>
          <w:bCs/>
          <w:color w:val="000000"/>
          <w:szCs w:val="21"/>
        </w:rPr>
      </w:pPr>
      <w:r>
        <w:rPr>
          <w:b/>
          <w:color w:val="000000"/>
          <w:szCs w:val="21"/>
        </w:rPr>
        <w:t>2</w:t>
      </w:r>
      <w:r>
        <w:rPr>
          <w:bCs/>
          <w:color w:val="000000"/>
          <w:szCs w:val="21"/>
        </w:rPr>
        <w:t xml:space="preserve">  管道及分支应有防伸缩、防变形的技术措施，补偿器安装应位置正确并应进行预拉伸</w:t>
      </w:r>
      <w:r>
        <w:rPr>
          <w:rFonts w:hint="eastAsia"/>
          <w:bCs/>
          <w:color w:val="000000"/>
          <w:szCs w:val="21"/>
        </w:rPr>
        <w:t>（预压缩）</w:t>
      </w:r>
      <w:r>
        <w:rPr>
          <w:bCs/>
          <w:color w:val="000000"/>
          <w:szCs w:val="21"/>
        </w:rPr>
        <w:t>，补偿器一端的管道应设置固定支架，</w:t>
      </w:r>
      <w:r>
        <w:rPr>
          <w:rFonts w:hint="eastAsia"/>
          <w:bCs/>
          <w:color w:val="000000"/>
          <w:szCs w:val="21"/>
        </w:rPr>
        <w:t>其</w:t>
      </w:r>
      <w:r>
        <w:rPr>
          <w:bCs/>
          <w:color w:val="000000"/>
          <w:szCs w:val="21"/>
        </w:rPr>
        <w:t>结构形式和固定位置应符合要求。干管管道变径应位置合理，不应妨碍系统排气、泄水功能，不得有倒坡现象；</w:t>
      </w:r>
    </w:p>
    <w:p w14:paraId="4B49E30B">
      <w:pPr>
        <w:spacing w:line="400" w:lineRule="exact"/>
        <w:ind w:firstLine="422" w:firstLineChars="200"/>
        <w:rPr>
          <w:color w:val="000000"/>
          <w:szCs w:val="21"/>
        </w:rPr>
      </w:pPr>
      <w:r>
        <w:rPr>
          <w:b/>
          <w:color w:val="000000"/>
          <w:szCs w:val="21"/>
        </w:rPr>
        <w:t>3</w:t>
      </w:r>
      <w:r>
        <w:rPr>
          <w:rFonts w:hint="eastAsia"/>
          <w:b/>
          <w:color w:val="000000"/>
          <w:szCs w:val="21"/>
        </w:rPr>
        <w:t xml:space="preserve">  </w:t>
      </w:r>
      <w:r>
        <w:rPr>
          <w:rFonts w:hint="eastAsia"/>
          <w:bCs/>
          <w:color w:val="000000"/>
          <w:szCs w:val="21"/>
        </w:rPr>
        <w:t>空调水系统</w:t>
      </w:r>
      <w:r>
        <w:rPr>
          <w:bCs/>
          <w:color w:val="000000"/>
          <w:szCs w:val="21"/>
        </w:rPr>
        <w:t>并联水泵的出口进入总管不应采用T形连接，管道进入总管应采用顺水流斜向插接的连接形式，夹角不应大于60</w:t>
      </w:r>
      <w:r>
        <w:rPr>
          <w:rFonts w:hint="eastAsia" w:ascii="宋体" w:hAnsi="宋体" w:cs="宋体"/>
          <w:bCs/>
          <w:color w:val="000000"/>
          <w:sz w:val="28"/>
          <w:szCs w:val="28"/>
        </w:rPr>
        <w:drawing>
          <wp:inline distT="0" distB="0" distL="114300" distR="114300">
            <wp:extent cx="50800" cy="199390"/>
            <wp:effectExtent l="0" t="0" r="0" b="0"/>
            <wp:docPr id="103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图片 4"/>
                    <pic:cNvPicPr>
                      <a:picLocks noChangeAspect="1"/>
                    </pic:cNvPicPr>
                  </pic:nvPicPr>
                  <pic:blipFill>
                    <a:blip r:embed="rId9" cstate="print"/>
                    <a:srcRect/>
                    <a:stretch>
                      <a:fillRect/>
                    </a:stretch>
                  </pic:blipFill>
                  <pic:spPr>
                    <a:xfrm>
                      <a:off x="0" y="0"/>
                      <a:ext cx="50817" cy="199988"/>
                    </a:xfrm>
                    <a:prstGeom prst="rect">
                      <a:avLst/>
                    </a:prstGeom>
                  </pic:spPr>
                </pic:pic>
              </a:graphicData>
            </a:graphic>
          </wp:inline>
        </w:drawing>
      </w:r>
      <w:r>
        <w:rPr>
          <w:bCs/>
          <w:color w:val="000000"/>
          <w:szCs w:val="21"/>
        </w:rPr>
        <w:t>；</w:t>
      </w:r>
    </w:p>
    <w:p w14:paraId="2145ADAC">
      <w:pPr>
        <w:spacing w:line="400" w:lineRule="exact"/>
        <w:ind w:firstLine="422" w:firstLineChars="200"/>
        <w:rPr>
          <w:color w:val="000000"/>
          <w:szCs w:val="21"/>
        </w:rPr>
      </w:pPr>
      <w:r>
        <w:rPr>
          <w:b/>
          <w:color w:val="000000"/>
          <w:szCs w:val="21"/>
        </w:rPr>
        <w:t xml:space="preserve">4 </w:t>
      </w:r>
      <w:r>
        <w:rPr>
          <w:color w:val="000000"/>
          <w:szCs w:val="21"/>
        </w:rPr>
        <w:t xml:space="preserve"> 管道高点应设排气装置，低点应设泄水装置。管道穿墙、穿楼板套管的位置应设置合理，套管长度及套管内填充物应符合使用功能及环境安全要求；</w:t>
      </w:r>
    </w:p>
    <w:p w14:paraId="2395516E">
      <w:pPr>
        <w:spacing w:line="400" w:lineRule="exact"/>
        <w:ind w:firstLine="422" w:firstLineChars="200"/>
        <w:rPr>
          <w:bCs/>
          <w:color w:val="000000"/>
          <w:szCs w:val="21"/>
        </w:rPr>
      </w:pPr>
      <w:r>
        <w:rPr>
          <w:b/>
          <w:color w:val="000000"/>
          <w:szCs w:val="21"/>
        </w:rPr>
        <w:t xml:space="preserve">5  </w:t>
      </w:r>
      <w:r>
        <w:rPr>
          <w:rFonts w:hint="eastAsia"/>
          <w:bCs/>
          <w:color w:val="000000"/>
          <w:szCs w:val="21"/>
        </w:rPr>
        <w:t>散热器供回管</w:t>
      </w:r>
      <w:r>
        <w:rPr>
          <w:bCs/>
          <w:color w:val="000000"/>
          <w:szCs w:val="21"/>
        </w:rPr>
        <w:t>和地面辐射的供暖管在使用各类塑料管及复合管时，</w:t>
      </w:r>
      <w:r>
        <w:rPr>
          <w:rFonts w:hint="eastAsia"/>
          <w:bCs/>
          <w:color w:val="000000"/>
          <w:szCs w:val="21"/>
        </w:rPr>
        <w:t>埋</w:t>
      </w:r>
      <w:r>
        <w:rPr>
          <w:rFonts w:hint="eastAsia"/>
          <w:bCs/>
          <w:color w:val="000000"/>
          <w:kern w:val="21"/>
          <w:szCs w:val="21"/>
        </w:rPr>
        <w:t>地部分</w:t>
      </w:r>
      <w:r>
        <w:rPr>
          <w:bCs/>
          <w:color w:val="000000"/>
          <w:szCs w:val="21"/>
        </w:rPr>
        <w:t>不应有接头；</w:t>
      </w:r>
      <w:r>
        <w:rPr>
          <w:rFonts w:hint="eastAsia"/>
          <w:bCs/>
          <w:color w:val="000000"/>
          <w:szCs w:val="21"/>
        </w:rPr>
        <w:t>散热器供暖进户的供、回水管道采用塑料管时，只允许在连接散热器的支管处安装管件接头，其局部区域的装饰结构做法采取便于维修的措施；</w:t>
      </w:r>
    </w:p>
    <w:p w14:paraId="22895269">
      <w:pPr>
        <w:spacing w:line="400" w:lineRule="exact"/>
        <w:ind w:firstLine="422" w:firstLineChars="200"/>
        <w:rPr>
          <w:color w:val="000000"/>
          <w:szCs w:val="21"/>
        </w:rPr>
      </w:pPr>
      <w:r>
        <w:rPr>
          <w:rFonts w:hint="eastAsia"/>
          <w:b/>
          <w:color w:val="000000"/>
          <w:szCs w:val="21"/>
        </w:rPr>
        <w:t>6</w:t>
      </w:r>
      <w:r>
        <w:rPr>
          <w:b/>
          <w:color w:val="000000"/>
          <w:szCs w:val="21"/>
        </w:rPr>
        <w:t xml:space="preserve"> </w:t>
      </w:r>
      <w:r>
        <w:rPr>
          <w:bCs/>
          <w:color w:val="000000"/>
          <w:szCs w:val="21"/>
        </w:rPr>
        <w:t xml:space="preserve"> </w:t>
      </w:r>
      <w:r>
        <w:rPr>
          <w:color w:val="000000"/>
          <w:szCs w:val="21"/>
        </w:rPr>
        <w:t>散热器、风机盘管和保温材料应按节能产品要求进行复验，安装应位置正确、固定牢固。散热器的选型、材质、规格、片数应符合设计要求，安装距墙尺寸应一致，拉条应安装牢固。散热器表面不得有变形、损伤。幼儿园、老年人和特殊功能要求建筑的散热器应暗装或加防护罩。风机盘管安装坡度应正确，与风口及水管连接应严密，柔性接口不得扭曲破损，噪</w:t>
      </w:r>
      <w:r>
        <w:rPr>
          <w:rFonts w:hint="eastAsia"/>
          <w:color w:val="000000"/>
          <w:szCs w:val="21"/>
        </w:rPr>
        <w:t>声</w:t>
      </w:r>
      <w:r>
        <w:rPr>
          <w:color w:val="000000"/>
          <w:szCs w:val="21"/>
        </w:rPr>
        <w:t>不得超标。</w:t>
      </w:r>
    </w:p>
    <w:p w14:paraId="402BB411">
      <w:pPr>
        <w:spacing w:line="400" w:lineRule="exact"/>
        <w:rPr>
          <w:color w:val="000000"/>
          <w:szCs w:val="21"/>
        </w:rPr>
      </w:pPr>
      <w:r>
        <w:rPr>
          <w:b/>
          <w:bCs/>
          <w:color w:val="000000"/>
          <w:szCs w:val="21"/>
        </w:rPr>
        <w:t>9.3.2</w:t>
      </w:r>
      <w:r>
        <w:rPr>
          <w:color w:val="000000"/>
          <w:szCs w:val="21"/>
        </w:rPr>
        <w:t xml:space="preserve">  通风、空调风管系统风管的制作应符合</w:t>
      </w:r>
      <w:r>
        <w:rPr>
          <w:rFonts w:hint="eastAsia"/>
          <w:color w:val="000000"/>
          <w:szCs w:val="21"/>
        </w:rPr>
        <w:t>下列规定</w:t>
      </w:r>
      <w:r>
        <w:rPr>
          <w:color w:val="000000"/>
          <w:szCs w:val="21"/>
        </w:rPr>
        <w:t>：</w:t>
      </w:r>
    </w:p>
    <w:p w14:paraId="3DF4498F">
      <w:pPr>
        <w:spacing w:line="400" w:lineRule="exact"/>
        <w:ind w:firstLine="422" w:firstLineChars="200"/>
        <w:rPr>
          <w:bCs/>
          <w:color w:val="000000"/>
          <w:szCs w:val="21"/>
        </w:rPr>
      </w:pPr>
      <w:r>
        <w:rPr>
          <w:b/>
          <w:color w:val="000000"/>
          <w:szCs w:val="21"/>
        </w:rPr>
        <w:t>1</w:t>
      </w:r>
      <w:r>
        <w:rPr>
          <w:bCs/>
          <w:color w:val="000000"/>
          <w:szCs w:val="21"/>
        </w:rPr>
        <w:t xml:space="preserve">  风管的材质选择、类别、规格、板材厚度，风管板材拼接方法、风管连接方式、加固形式应符合设计要求；加工质量应满足强度和严密性要求；</w:t>
      </w:r>
    </w:p>
    <w:p w14:paraId="7C38DCE7">
      <w:pPr>
        <w:spacing w:line="400" w:lineRule="exact"/>
        <w:ind w:firstLine="422" w:firstLineChars="200"/>
        <w:rPr>
          <w:color w:val="000000"/>
          <w:szCs w:val="21"/>
        </w:rPr>
      </w:pPr>
      <w:r>
        <w:rPr>
          <w:b/>
          <w:color w:val="000000"/>
          <w:szCs w:val="21"/>
        </w:rPr>
        <w:t xml:space="preserve">2 </w:t>
      </w:r>
      <w:r>
        <w:rPr>
          <w:bCs/>
          <w:color w:val="000000"/>
          <w:szCs w:val="21"/>
        </w:rPr>
        <w:t xml:space="preserve"> </w:t>
      </w:r>
      <w:r>
        <w:rPr>
          <w:color w:val="000000"/>
          <w:szCs w:val="21"/>
        </w:rPr>
        <w:t>镀锌钢板风管的镀锌层厚度应符合设计要求，并不应低于80 g/m</w:t>
      </w:r>
      <w:r>
        <w:rPr>
          <w:color w:val="000000"/>
          <w:szCs w:val="21"/>
          <w:vertAlign w:val="superscript"/>
        </w:rPr>
        <w:t>2</w:t>
      </w:r>
      <w:r>
        <w:rPr>
          <w:color w:val="000000"/>
          <w:szCs w:val="21"/>
        </w:rPr>
        <w:t>，用于净化空调系统时不应低于100 g/m</w:t>
      </w:r>
      <w:r>
        <w:rPr>
          <w:color w:val="000000"/>
          <w:szCs w:val="21"/>
          <w:vertAlign w:val="superscript"/>
        </w:rPr>
        <w:t>2</w:t>
      </w:r>
      <w:r>
        <w:rPr>
          <w:color w:val="000000"/>
          <w:szCs w:val="21"/>
        </w:rPr>
        <w:t xml:space="preserve">，表面白花、锌层粉化不得超过总面积的10 %； </w:t>
      </w:r>
    </w:p>
    <w:p w14:paraId="1D8F9BA6">
      <w:pPr>
        <w:spacing w:line="400" w:lineRule="exact"/>
        <w:ind w:firstLine="422" w:firstLineChars="200"/>
        <w:rPr>
          <w:color w:val="000000"/>
          <w:szCs w:val="21"/>
        </w:rPr>
      </w:pPr>
      <w:r>
        <w:rPr>
          <w:b/>
          <w:color w:val="000000"/>
          <w:szCs w:val="21"/>
        </w:rPr>
        <w:t>3</w:t>
      </w:r>
      <w:r>
        <w:rPr>
          <w:bCs/>
          <w:color w:val="000000"/>
          <w:szCs w:val="21"/>
        </w:rPr>
        <w:t xml:space="preserve">  </w:t>
      </w:r>
      <w:r>
        <w:rPr>
          <w:color w:val="000000"/>
          <w:szCs w:val="21"/>
        </w:rPr>
        <w:t>防火风管的本体、框架与固定材料、密封垫料等必须采用不燃材料，防火风管的耐火极限时间应符合系统防火设计的规定；复合材料风管的覆面材料必须采用不燃材料，内层的绝热材料应采用不燃或难燃且对人体无害的材料；</w:t>
      </w:r>
    </w:p>
    <w:p w14:paraId="6C7BFE21">
      <w:pPr>
        <w:spacing w:line="400" w:lineRule="exact"/>
        <w:ind w:firstLine="422" w:firstLineChars="200"/>
        <w:rPr>
          <w:color w:val="000000"/>
          <w:szCs w:val="21"/>
        </w:rPr>
      </w:pPr>
      <w:r>
        <w:rPr>
          <w:b/>
          <w:color w:val="000000"/>
          <w:szCs w:val="21"/>
        </w:rPr>
        <w:t xml:space="preserve">4 </w:t>
      </w:r>
      <w:r>
        <w:rPr>
          <w:bCs/>
          <w:color w:val="000000"/>
          <w:szCs w:val="21"/>
        </w:rPr>
        <w:t xml:space="preserve"> </w:t>
      </w:r>
      <w:r>
        <w:rPr>
          <w:color w:val="000000"/>
          <w:szCs w:val="21"/>
        </w:rPr>
        <w:t>镀锌钢板及含有复合保护层的钢板应采用咬口连接或铆接，不得焊接连接；不锈钢板风管的拼接根据板材厚度可采用咬口连接、铆接或氩弧焊接</w:t>
      </w:r>
      <w:r>
        <w:rPr>
          <w:rFonts w:hint="eastAsia"/>
          <w:color w:val="000000"/>
          <w:szCs w:val="21"/>
        </w:rPr>
        <w:t>，</w:t>
      </w:r>
      <w:r>
        <w:rPr>
          <w:color w:val="000000"/>
          <w:szCs w:val="21"/>
        </w:rPr>
        <w:t xml:space="preserve">铆接铆钉应采用不锈钢铆钉，风管连接的法兰、螺栓宜采用不锈钢材质，当采用碳素钢时，表面应进行镀锌或镀铬处理；不锈钢风管应用于厨房排油烟系统时，法兰与风管应采用焊接且满焊； </w:t>
      </w:r>
    </w:p>
    <w:p w14:paraId="6A07329A">
      <w:pPr>
        <w:spacing w:line="400" w:lineRule="exact"/>
        <w:ind w:firstLine="422" w:firstLineChars="200"/>
        <w:rPr>
          <w:color w:val="000000"/>
          <w:szCs w:val="21"/>
        </w:rPr>
      </w:pPr>
      <w:r>
        <w:rPr>
          <w:b/>
          <w:color w:val="000000"/>
          <w:szCs w:val="21"/>
        </w:rPr>
        <w:t xml:space="preserve">5 </w:t>
      </w:r>
      <w:r>
        <w:rPr>
          <w:bCs/>
          <w:color w:val="000000"/>
          <w:szCs w:val="21"/>
        </w:rPr>
        <w:t xml:space="preserve"> </w:t>
      </w:r>
      <w:r>
        <w:rPr>
          <w:color w:val="000000"/>
          <w:szCs w:val="21"/>
        </w:rPr>
        <w:t>金属风管板材拼接的咬口缝、焊接缝应错开，不得有十字缝现象。法兰连接风管咬口翻边应平整、宽度应一致并应不小于6 mm。咬接应严密、形状规整，不得有开裂和孔洞，焊接风管的焊缝应平整，不得有裂缝、穿透及夹渣等缺陷；</w:t>
      </w:r>
    </w:p>
    <w:p w14:paraId="7588E671">
      <w:pPr>
        <w:spacing w:line="400" w:lineRule="exact"/>
        <w:ind w:firstLine="422" w:firstLineChars="200"/>
        <w:rPr>
          <w:color w:val="000000"/>
          <w:szCs w:val="21"/>
        </w:rPr>
      </w:pPr>
      <w:r>
        <w:rPr>
          <w:b/>
          <w:color w:val="000000"/>
          <w:szCs w:val="21"/>
        </w:rPr>
        <w:t xml:space="preserve">6 </w:t>
      </w:r>
      <w:r>
        <w:rPr>
          <w:bCs/>
          <w:color w:val="000000"/>
          <w:szCs w:val="21"/>
        </w:rPr>
        <w:t xml:space="preserve"> </w:t>
      </w:r>
      <w:r>
        <w:rPr>
          <w:color w:val="000000"/>
          <w:szCs w:val="21"/>
        </w:rPr>
        <w:t>薄钢板法兰矩形风管不得用于高压风管，弹簧夹连接风管边长不宜大于1500 mm，当法兰采取加固措施时，风管边长不得大于2000 mm；薄钢板法兰连接接口四角应有固定措施，采用C型及S型条插条连接时，风管长边尺寸不应大于630 mm；薄钢板法兰高度应符合要求，弹簧夹、角件厚度不应小于风管本体厚度，且不应小于1 mm，弹簧夹长度宜为120 mm～150 mm；</w:t>
      </w:r>
    </w:p>
    <w:p w14:paraId="55AFFAA7">
      <w:pPr>
        <w:spacing w:line="400" w:lineRule="exact"/>
        <w:ind w:firstLine="422" w:firstLineChars="200"/>
        <w:rPr>
          <w:color w:val="000000"/>
          <w:szCs w:val="21"/>
        </w:rPr>
      </w:pPr>
      <w:r>
        <w:rPr>
          <w:b/>
          <w:color w:val="000000"/>
          <w:szCs w:val="21"/>
        </w:rPr>
        <w:t xml:space="preserve">7  </w:t>
      </w:r>
      <w:r>
        <w:rPr>
          <w:color w:val="000000"/>
          <w:szCs w:val="21"/>
        </w:rPr>
        <w:t>净化空调系统风管边长小于900 mm时，风管底部不得有拼缝；大于900 mm时，风管不得有横向拼缝。净化空调系统洁净度等级为1级～5级的洁净风管不得使用按扣式接口，铆接时不应采用抽芯铆钉；</w:t>
      </w:r>
    </w:p>
    <w:p w14:paraId="1530EB7E">
      <w:pPr>
        <w:spacing w:line="400" w:lineRule="exact"/>
        <w:ind w:firstLine="422" w:firstLineChars="200"/>
        <w:rPr>
          <w:color w:val="000000"/>
          <w:szCs w:val="21"/>
        </w:rPr>
      </w:pPr>
      <w:r>
        <w:rPr>
          <w:rFonts w:hint="eastAsia"/>
          <w:b/>
          <w:bCs/>
          <w:color w:val="000000"/>
          <w:szCs w:val="21"/>
        </w:rPr>
        <w:t>8</w:t>
      </w:r>
      <w:r>
        <w:rPr>
          <w:rFonts w:hint="eastAsia"/>
          <w:color w:val="000000"/>
          <w:szCs w:val="21"/>
        </w:rPr>
        <w:t xml:space="preserve">  </w:t>
      </w:r>
      <w:r>
        <w:rPr>
          <w:color w:val="000000"/>
          <w:szCs w:val="21"/>
        </w:rPr>
        <w:t>圆形风管的曲率半径和分节数应符合</w:t>
      </w:r>
      <w:r>
        <w:rPr>
          <w:rFonts w:hint="eastAsia"/>
          <w:color w:val="000000"/>
          <w:szCs w:val="21"/>
        </w:rPr>
        <w:t>现行国家标准《通风与空调工程施工质量验收规范》GB50243</w:t>
      </w:r>
      <w:r>
        <w:rPr>
          <w:color w:val="000000"/>
          <w:szCs w:val="21"/>
        </w:rPr>
        <w:t>的规定。矩形风管弯管宜采用内外同心弧形，曲率半径宜为一个平面边长，圆弧应均匀，当平面边长大于500 mm，且内弧半径与边长比不能满足要求时应设导流片；</w:t>
      </w:r>
    </w:p>
    <w:p w14:paraId="4F305927">
      <w:pPr>
        <w:spacing w:line="400" w:lineRule="exact"/>
        <w:ind w:firstLine="422" w:firstLineChars="200"/>
        <w:rPr>
          <w:color w:val="000000"/>
        </w:rPr>
      </w:pPr>
      <w:r>
        <w:rPr>
          <w:rFonts w:hint="eastAsia"/>
          <w:b/>
          <w:bCs/>
          <w:color w:val="000000"/>
        </w:rPr>
        <w:t>9</w:t>
      </w:r>
      <w:r>
        <w:rPr>
          <w:rFonts w:hint="eastAsia"/>
          <w:color w:val="000000"/>
        </w:rPr>
        <w:t xml:space="preserve">  </w:t>
      </w:r>
      <w:r>
        <w:rPr>
          <w:color w:val="000000"/>
        </w:rPr>
        <w:t>矩型金属风管应按</w:t>
      </w:r>
      <w:r>
        <w:rPr>
          <w:rFonts w:hint="eastAsia"/>
          <w:color w:val="000000"/>
        </w:rPr>
        <w:t>现行国家标准《通风与空调工程施工质量验收规范》GB</w:t>
      </w:r>
      <w:r>
        <w:rPr>
          <w:color w:val="000000"/>
        </w:rPr>
        <w:t xml:space="preserve"> </w:t>
      </w:r>
      <w:r>
        <w:rPr>
          <w:rFonts w:hint="eastAsia"/>
          <w:color w:val="000000"/>
        </w:rPr>
        <w:t>50243和行业标准《通风管道技术规程》JGJ</w:t>
      </w:r>
      <w:r>
        <w:rPr>
          <w:color w:val="000000"/>
        </w:rPr>
        <w:t xml:space="preserve"> </w:t>
      </w:r>
      <w:r>
        <w:rPr>
          <w:rFonts w:hint="eastAsia"/>
          <w:color w:val="000000"/>
        </w:rPr>
        <w:t>141的相关规定进行加固</w:t>
      </w:r>
      <w:r>
        <w:rPr>
          <w:color w:val="000000"/>
        </w:rPr>
        <w:t>。角钢加固应排列整齐、四周固定到位，不应有断边，不得在加固部位开分支管和风口，如无法避免风口位置时，应在风口周围进行加固并与加固角钢连成整体，净化系统不得在风管内设加固框和加固筋；</w:t>
      </w:r>
    </w:p>
    <w:p w14:paraId="3CE78604">
      <w:pPr>
        <w:spacing w:line="400" w:lineRule="exact"/>
        <w:ind w:firstLine="422" w:firstLineChars="200"/>
        <w:rPr>
          <w:color w:val="000000"/>
        </w:rPr>
      </w:pPr>
      <w:r>
        <w:rPr>
          <w:rFonts w:hint="eastAsia"/>
          <w:b/>
          <w:bCs/>
          <w:color w:val="000000"/>
        </w:rPr>
        <w:t>10</w:t>
      </w:r>
      <w:r>
        <w:rPr>
          <w:rFonts w:hint="eastAsia"/>
          <w:color w:val="000000"/>
        </w:rPr>
        <w:t xml:space="preserve">  玻璃钢风管制作时，应预留风口及配件法兰，不得在现场开孔。玻纤风管应清理干净，不得露有纤维；织物布风管的抗拉强度、健康安全性能、测试压力下渗透率、抗静电及抗凝露性能应合格；</w:t>
      </w:r>
    </w:p>
    <w:p w14:paraId="1130F5AC">
      <w:pPr>
        <w:spacing w:line="400" w:lineRule="exact"/>
        <w:ind w:firstLine="422" w:firstLineChars="200"/>
        <w:rPr>
          <w:color w:val="000000"/>
        </w:rPr>
      </w:pPr>
      <w:r>
        <w:rPr>
          <w:rFonts w:hint="eastAsia"/>
          <w:b/>
          <w:bCs/>
          <w:color w:val="000000"/>
        </w:rPr>
        <w:t>11</w:t>
      </w:r>
      <w:r>
        <w:rPr>
          <w:rFonts w:hint="eastAsia"/>
          <w:color w:val="000000"/>
        </w:rPr>
        <w:t xml:space="preserve">  通风与空调系统的各类风阀及配件应结构正确、牢固，内部构件应使用防腐及耐锈蚀材料。各类风阀、配件，风管加工的成品、半成品，应进行进场检验。</w:t>
      </w:r>
    </w:p>
    <w:p w14:paraId="132856E1">
      <w:pPr>
        <w:spacing w:line="400" w:lineRule="exact"/>
        <w:rPr>
          <w:color w:val="000000"/>
          <w:szCs w:val="21"/>
        </w:rPr>
      </w:pPr>
      <w:r>
        <w:rPr>
          <w:b/>
          <w:bCs/>
          <w:color w:val="000000"/>
          <w:szCs w:val="21"/>
        </w:rPr>
        <w:t>9.3.3</w:t>
      </w:r>
      <w:r>
        <w:rPr>
          <w:color w:val="000000"/>
          <w:szCs w:val="21"/>
        </w:rPr>
        <w:t xml:space="preserve">  通风、空调系统风管及部件的安装应符合</w:t>
      </w:r>
      <w:r>
        <w:rPr>
          <w:rFonts w:hint="eastAsia"/>
          <w:color w:val="000000"/>
          <w:szCs w:val="21"/>
        </w:rPr>
        <w:t>下列规定</w:t>
      </w:r>
      <w:r>
        <w:rPr>
          <w:color w:val="000000"/>
          <w:szCs w:val="21"/>
        </w:rPr>
        <w:t>：</w:t>
      </w:r>
    </w:p>
    <w:p w14:paraId="23C50E32">
      <w:pPr>
        <w:spacing w:line="400" w:lineRule="exact"/>
        <w:ind w:firstLine="422" w:firstLineChars="200"/>
        <w:rPr>
          <w:color w:val="000000"/>
          <w:szCs w:val="21"/>
        </w:rPr>
      </w:pPr>
      <w:r>
        <w:rPr>
          <w:b/>
          <w:color w:val="000000"/>
          <w:szCs w:val="21"/>
        </w:rPr>
        <w:t>1</w:t>
      </w:r>
      <w:r>
        <w:rPr>
          <w:bCs/>
          <w:color w:val="000000"/>
          <w:szCs w:val="21"/>
        </w:rPr>
        <w:t xml:space="preserve">  </w:t>
      </w:r>
      <w:r>
        <w:rPr>
          <w:color w:val="000000"/>
          <w:szCs w:val="21"/>
        </w:rPr>
        <w:t>各类风管及部件安装后应清理干净，不得有污染、破损，位置、标高、坡度应符合设计要求。排列时如有矛盾，可改变风管形状，但不得缩小原设计风管截面积。金属风管应防腐良好、无锈蚀。各类风管应标志清楚、固定牢固，不得有松动和歪斜现象；</w:t>
      </w:r>
    </w:p>
    <w:p w14:paraId="7BC97B56">
      <w:pPr>
        <w:spacing w:line="400" w:lineRule="exact"/>
        <w:ind w:firstLine="422" w:firstLineChars="200"/>
        <w:rPr>
          <w:color w:val="000000"/>
          <w:szCs w:val="21"/>
        </w:rPr>
      </w:pPr>
      <w:r>
        <w:rPr>
          <w:b/>
          <w:color w:val="000000"/>
          <w:szCs w:val="21"/>
        </w:rPr>
        <w:t>2</w:t>
      </w:r>
      <w:r>
        <w:rPr>
          <w:bCs/>
          <w:color w:val="000000"/>
          <w:szCs w:val="21"/>
        </w:rPr>
        <w:t xml:space="preserve">  </w:t>
      </w:r>
      <w:r>
        <w:rPr>
          <w:color w:val="000000"/>
          <w:szCs w:val="21"/>
        </w:rPr>
        <w:t>风管穿越防火分区和防爆的墙体、楼板时，应封闭严密，防护套管与风管之间的封堵应采用不燃材料和对人体无害的材料。风管穿越防火分区、设备机房和防火等级较高的重要房间时，应在分区的墙面、楼板处设置防火阀。各类风管、风道内不得有</w:t>
      </w:r>
      <w:r>
        <w:rPr>
          <w:rFonts w:hint="eastAsia"/>
          <w:color w:val="000000"/>
          <w:szCs w:val="21"/>
        </w:rPr>
        <w:t>其他</w:t>
      </w:r>
      <w:r>
        <w:rPr>
          <w:color w:val="000000"/>
          <w:szCs w:val="21"/>
        </w:rPr>
        <w:t>管线穿越，风阀及风管接口不得设置在墙体和楼板内；</w:t>
      </w:r>
    </w:p>
    <w:p w14:paraId="684759EF">
      <w:pPr>
        <w:spacing w:line="400" w:lineRule="exact"/>
        <w:ind w:firstLine="422" w:firstLineChars="200"/>
        <w:rPr>
          <w:b/>
          <w:dstrike/>
          <w:color w:val="000000"/>
          <w:kern w:val="21"/>
          <w:szCs w:val="21"/>
        </w:rPr>
      </w:pPr>
      <w:r>
        <w:rPr>
          <w:b/>
          <w:color w:val="000000"/>
          <w:szCs w:val="21"/>
        </w:rPr>
        <w:t xml:space="preserve">3  </w:t>
      </w:r>
      <w:r>
        <w:rPr>
          <w:color w:val="000000"/>
          <w:kern w:val="21"/>
          <w:szCs w:val="21"/>
        </w:rPr>
        <w:t>各类风管、风道内不得有</w:t>
      </w:r>
      <w:r>
        <w:rPr>
          <w:rFonts w:hint="eastAsia"/>
          <w:color w:val="000000"/>
          <w:kern w:val="21"/>
          <w:szCs w:val="21"/>
        </w:rPr>
        <w:t>其他</w:t>
      </w:r>
      <w:r>
        <w:rPr>
          <w:color w:val="000000"/>
          <w:kern w:val="21"/>
          <w:szCs w:val="21"/>
        </w:rPr>
        <w:t>管线穿越，风阀及风管接口不得设置在墙体和楼板内；</w:t>
      </w:r>
    </w:p>
    <w:p w14:paraId="2D7B6FE5">
      <w:pPr>
        <w:spacing w:line="400" w:lineRule="exact"/>
        <w:ind w:firstLine="422" w:firstLineChars="200"/>
        <w:rPr>
          <w:color w:val="000000"/>
          <w:szCs w:val="21"/>
        </w:rPr>
      </w:pPr>
      <w:r>
        <w:rPr>
          <w:rFonts w:hint="eastAsia"/>
          <w:b/>
          <w:bCs/>
          <w:color w:val="000000"/>
          <w:szCs w:val="21"/>
        </w:rPr>
        <w:t>4</w:t>
      </w:r>
      <w:r>
        <w:rPr>
          <w:rFonts w:hint="eastAsia"/>
          <w:color w:val="000000"/>
          <w:szCs w:val="21"/>
        </w:rPr>
        <w:t xml:space="preserve">  </w:t>
      </w:r>
      <w:r>
        <w:rPr>
          <w:color w:val="000000"/>
          <w:szCs w:val="21"/>
        </w:rPr>
        <w:t>各类风管和部件、阀类的安装位置、方向应正确，安装应平直，不应扭曲、破损。接口应紧密，折角应平直，圆弧应均匀，两端面平行，风管应无明显翘角，并应平行、间隙一致。法兰螺栓应紧固，螺母应在同侧。</w:t>
      </w:r>
      <w:r>
        <w:rPr>
          <w:color w:val="000000"/>
          <w:kern w:val="21"/>
          <w:szCs w:val="21"/>
        </w:rPr>
        <w:t>弹簧夹及</w:t>
      </w:r>
      <w:r>
        <w:rPr>
          <w:color w:val="000000"/>
          <w:szCs w:val="21"/>
        </w:rPr>
        <w:t>紧固螺栓间距不应大于150 mm。各类风管接口使用的垫料应平整、严密，不得凸入风管内或外露，材质应符合防火要求；</w:t>
      </w:r>
    </w:p>
    <w:p w14:paraId="7817D440">
      <w:pPr>
        <w:spacing w:line="400" w:lineRule="exact"/>
        <w:ind w:firstLine="422" w:firstLineChars="200"/>
        <w:rPr>
          <w:color w:val="000000"/>
          <w:szCs w:val="21"/>
        </w:rPr>
      </w:pPr>
      <w:r>
        <w:rPr>
          <w:rFonts w:hint="eastAsia"/>
          <w:b/>
          <w:color w:val="000000"/>
          <w:szCs w:val="21"/>
        </w:rPr>
        <w:t>5</w:t>
      </w:r>
      <w:r>
        <w:rPr>
          <w:bCs/>
          <w:color w:val="000000"/>
          <w:szCs w:val="21"/>
        </w:rPr>
        <w:t xml:space="preserve">  </w:t>
      </w:r>
      <w:r>
        <w:rPr>
          <w:color w:val="000000"/>
          <w:szCs w:val="21"/>
        </w:rPr>
        <w:t>各类风阀、部件应启闭灵活、功能可靠，操作机构应便于操作、检修。防火阀距防火分区的墙、地面距离不应大于200 mm，检视孔应便于检修、观测，通风空调系统边长大于或等于630 mm、防排烟系统防火阀、排烟防火阀应单独设置支吊架，支吊架的安装不能影响阀门的操作。斜板阀应能向上拉启阀板，水平安装应顺气流方向插入；</w:t>
      </w:r>
    </w:p>
    <w:p w14:paraId="2D38E4ED">
      <w:pPr>
        <w:spacing w:line="400" w:lineRule="exact"/>
        <w:ind w:firstLine="422" w:firstLineChars="200"/>
        <w:rPr>
          <w:color w:val="000000"/>
          <w:szCs w:val="21"/>
        </w:rPr>
      </w:pPr>
      <w:r>
        <w:rPr>
          <w:rFonts w:hint="eastAsia"/>
          <w:b/>
          <w:color w:val="000000"/>
          <w:szCs w:val="21"/>
        </w:rPr>
        <w:t>6</w:t>
      </w:r>
      <w:r>
        <w:rPr>
          <w:b/>
          <w:color w:val="000000"/>
          <w:szCs w:val="21"/>
        </w:rPr>
        <w:t xml:space="preserve">  </w:t>
      </w:r>
      <w:r>
        <w:rPr>
          <w:color w:val="000000"/>
          <w:szCs w:val="21"/>
        </w:rPr>
        <w:t>支吊架应位置合理、固定牢固，设置形式、材质、规格、安装间距应</w:t>
      </w:r>
      <w:r>
        <w:rPr>
          <w:rFonts w:hint="eastAsia"/>
          <w:color w:val="000000"/>
          <w:szCs w:val="21"/>
        </w:rPr>
        <w:t>符合设计要求和现行国家标准《通风与空调工程施工质量验收规范》GB</w:t>
      </w:r>
      <w:r>
        <w:rPr>
          <w:color w:val="000000"/>
          <w:szCs w:val="21"/>
        </w:rPr>
        <w:t xml:space="preserve"> </w:t>
      </w:r>
      <w:r>
        <w:rPr>
          <w:rFonts w:hint="eastAsia"/>
          <w:color w:val="000000"/>
          <w:szCs w:val="21"/>
        </w:rPr>
        <w:t>50243的规定</w:t>
      </w:r>
      <w:r>
        <w:rPr>
          <w:color w:val="000000"/>
          <w:szCs w:val="21"/>
        </w:rPr>
        <w:t>，型钢采用机械开孔，与螺栓匹配；</w:t>
      </w:r>
    </w:p>
    <w:p w14:paraId="6A407313">
      <w:pPr>
        <w:spacing w:line="400" w:lineRule="exact"/>
        <w:ind w:firstLine="422" w:firstLineChars="200"/>
        <w:rPr>
          <w:color w:val="000000"/>
        </w:rPr>
      </w:pPr>
      <w:r>
        <w:rPr>
          <w:rFonts w:hint="eastAsia"/>
          <w:b/>
          <w:bCs/>
          <w:color w:val="000000"/>
        </w:rPr>
        <w:t>7</w:t>
      </w:r>
      <w:r>
        <w:rPr>
          <w:rFonts w:hint="eastAsia"/>
          <w:color w:val="000000"/>
        </w:rPr>
        <w:t xml:space="preserve">  支吊架不应设置在风口、阀门、检查门和自控机构操作部位，距离不宜小于200</w:t>
      </w:r>
      <w:r>
        <w:rPr>
          <w:color w:val="000000"/>
        </w:rPr>
        <w:t xml:space="preserve"> </w:t>
      </w:r>
      <w:r>
        <w:rPr>
          <w:rFonts w:hint="eastAsia"/>
          <w:color w:val="000000"/>
        </w:rPr>
        <w:t>mm；不锈钢风管、铝板风管与碳素钢支架接触处，应采取防腐隔离措施；消声器、消声弯头、静压箱、边长大于1250</w:t>
      </w:r>
      <w:r>
        <w:rPr>
          <w:color w:val="000000"/>
        </w:rPr>
        <w:t xml:space="preserve"> </w:t>
      </w:r>
      <w:r>
        <w:rPr>
          <w:rFonts w:hint="eastAsia"/>
          <w:color w:val="000000"/>
        </w:rPr>
        <w:t>mm的弯头和三通等应设置独立的支吊架，固定牢固；水平悬吊风管长度超过20</w:t>
      </w:r>
      <w:r>
        <w:rPr>
          <w:color w:val="000000"/>
        </w:rPr>
        <w:t xml:space="preserve"> </w:t>
      </w:r>
      <w:r>
        <w:rPr>
          <w:rFonts w:hint="eastAsia"/>
          <w:color w:val="000000"/>
        </w:rPr>
        <w:t>m时，应设置防晃支架；成品支吊架各配件的连接应牢固、防松动；</w:t>
      </w:r>
    </w:p>
    <w:p w14:paraId="17D9D3AE">
      <w:pPr>
        <w:spacing w:line="400" w:lineRule="exact"/>
        <w:ind w:firstLine="422" w:firstLineChars="200"/>
        <w:rPr>
          <w:bCs/>
          <w:color w:val="000000"/>
          <w:szCs w:val="21"/>
        </w:rPr>
      </w:pPr>
      <w:r>
        <w:rPr>
          <w:rFonts w:hint="eastAsia"/>
          <w:b/>
          <w:color w:val="000000"/>
          <w:szCs w:val="21"/>
        </w:rPr>
        <w:t xml:space="preserve">8  </w:t>
      </w:r>
      <w:r>
        <w:rPr>
          <w:rFonts w:hint="eastAsia"/>
          <w:bCs/>
          <w:color w:val="000000"/>
          <w:szCs w:val="21"/>
        </w:rPr>
        <w:t>各类风口、散流器安装应位置正确，表面平整无变形、调节灵活，安装间距合理、排列整齐、美观、无污染。风口与风管连接应严密、牢固，并应与装饰面贴紧，不应有明显缝隙。不得在风管上直接铆接风口，应由相应的加固短管进行连接；</w:t>
      </w:r>
    </w:p>
    <w:p w14:paraId="08F7095E">
      <w:pPr>
        <w:spacing w:line="400" w:lineRule="exact"/>
        <w:ind w:firstLine="422" w:firstLineChars="200"/>
        <w:rPr>
          <w:color w:val="000000"/>
          <w:szCs w:val="21"/>
        </w:rPr>
      </w:pPr>
      <w:r>
        <w:rPr>
          <w:rFonts w:hint="eastAsia"/>
          <w:b/>
          <w:color w:val="000000"/>
          <w:szCs w:val="21"/>
        </w:rPr>
        <w:t>9</w:t>
      </w:r>
      <w:r>
        <w:rPr>
          <w:b/>
          <w:color w:val="000000"/>
          <w:szCs w:val="21"/>
        </w:rPr>
        <w:t xml:space="preserve">  </w:t>
      </w:r>
      <w:r>
        <w:rPr>
          <w:color w:val="000000"/>
          <w:szCs w:val="21"/>
        </w:rPr>
        <w:t>室外风管应有防雨、防雷措施。风管与屋面、墙体连接处应有防水措施。固定拉索应固定牢固，严禁拉在防雷设施上。风帽安装应位置正确、牢固。进出风口管道直通大气时，应安装</w:t>
      </w:r>
      <w:r>
        <w:rPr>
          <w:rFonts w:hint="eastAsia"/>
          <w:color w:val="000000"/>
          <w:szCs w:val="21"/>
        </w:rPr>
        <w:t>防护罩、防</w:t>
      </w:r>
      <w:r>
        <w:rPr>
          <w:color w:val="000000"/>
          <w:szCs w:val="21"/>
        </w:rPr>
        <w:t>护网</w:t>
      </w:r>
      <w:r>
        <w:rPr>
          <w:rFonts w:hint="eastAsia"/>
          <w:color w:val="000000"/>
          <w:szCs w:val="21"/>
        </w:rPr>
        <w:t>或采取其他安全防护措施；</w:t>
      </w:r>
    </w:p>
    <w:p w14:paraId="74C7E2F3">
      <w:pPr>
        <w:spacing w:line="400" w:lineRule="exact"/>
        <w:ind w:firstLine="422" w:firstLineChars="200"/>
        <w:rPr>
          <w:color w:val="000000"/>
          <w:szCs w:val="21"/>
        </w:rPr>
      </w:pPr>
      <w:r>
        <w:rPr>
          <w:rFonts w:hint="eastAsia"/>
          <w:b/>
          <w:color w:val="000000"/>
          <w:szCs w:val="21"/>
        </w:rPr>
        <w:t>10</w:t>
      </w:r>
      <w:r>
        <w:rPr>
          <w:b/>
          <w:color w:val="000000"/>
          <w:szCs w:val="21"/>
        </w:rPr>
        <w:t xml:space="preserve">  </w:t>
      </w:r>
      <w:r>
        <w:rPr>
          <w:bCs/>
          <w:color w:val="000000"/>
          <w:szCs w:val="21"/>
        </w:rPr>
        <w:t>通</w:t>
      </w:r>
      <w:r>
        <w:rPr>
          <w:color w:val="000000"/>
          <w:szCs w:val="21"/>
        </w:rPr>
        <w:t>风与空调工程安装完毕，</w:t>
      </w:r>
      <w:r>
        <w:rPr>
          <w:rFonts w:hint="eastAsia"/>
          <w:color w:val="000000"/>
          <w:szCs w:val="21"/>
        </w:rPr>
        <w:t>应</w:t>
      </w:r>
      <w:r>
        <w:rPr>
          <w:color w:val="000000"/>
          <w:szCs w:val="21"/>
        </w:rPr>
        <w:t>进行系统的测定和调试。防排烟系统运行和调试必须符合设计要求和消防有关规范的规定。</w:t>
      </w:r>
    </w:p>
    <w:p w14:paraId="413859C2">
      <w:pPr>
        <w:pStyle w:val="4"/>
        <w:numPr>
          <w:ilvl w:val="0"/>
          <w:numId w:val="0"/>
        </w:numPr>
        <w:spacing w:before="312" w:beforeLines="100" w:line="400" w:lineRule="exact"/>
        <w:jc w:val="center"/>
        <w:rPr>
          <w:rFonts w:ascii="Times New Roman" w:hAnsi="Times New Roman" w:eastAsia="黑体"/>
          <w:b/>
          <w:bCs/>
          <w:sz w:val="24"/>
          <w:szCs w:val="24"/>
        </w:rPr>
      </w:pPr>
      <w:bookmarkStart w:id="500" w:name="_Toc4349"/>
      <w:bookmarkStart w:id="501" w:name="_Toc5384"/>
      <w:bookmarkStart w:id="502" w:name="_Toc24730"/>
      <w:bookmarkStart w:id="503" w:name="_Toc18938"/>
      <w:r>
        <w:rPr>
          <w:rFonts w:hint="eastAsia" w:ascii="Times New Roman" w:hAnsi="Times New Roman" w:eastAsia="黑体"/>
          <w:b/>
          <w:bCs/>
          <w:sz w:val="24"/>
          <w:szCs w:val="24"/>
        </w:rPr>
        <w:t>9</w:t>
      </w:r>
      <w:r>
        <w:rPr>
          <w:rFonts w:ascii="Times New Roman" w:hAnsi="Times New Roman" w:eastAsia="黑体"/>
          <w:b/>
          <w:bCs/>
          <w:sz w:val="24"/>
          <w:szCs w:val="24"/>
        </w:rPr>
        <w:t>.4</w:t>
      </w:r>
      <w:r>
        <w:rPr>
          <w:rFonts w:hint="eastAsia" w:ascii="Times New Roman" w:hAnsi="Times New Roman" w:eastAsia="黑体"/>
          <w:b/>
          <w:bCs/>
          <w:sz w:val="24"/>
          <w:szCs w:val="24"/>
          <w:lang w:val="en-US"/>
        </w:rPr>
        <w:t xml:space="preserve">  </w:t>
      </w:r>
      <w:r>
        <w:rPr>
          <w:rFonts w:hint="eastAsia" w:ascii="Times New Roman" w:hAnsi="Times New Roman" w:eastAsia="黑体"/>
          <w:b/>
          <w:bCs/>
          <w:sz w:val="24"/>
          <w:szCs w:val="24"/>
        </w:rPr>
        <w:t>消防工程</w:t>
      </w:r>
      <w:bookmarkEnd w:id="500"/>
      <w:bookmarkEnd w:id="501"/>
      <w:bookmarkEnd w:id="502"/>
      <w:bookmarkEnd w:id="503"/>
    </w:p>
    <w:p w14:paraId="4A40B488">
      <w:pPr>
        <w:spacing w:line="400" w:lineRule="exact"/>
        <w:rPr>
          <w:color w:val="000000"/>
          <w:szCs w:val="21"/>
        </w:rPr>
      </w:pPr>
      <w:r>
        <w:rPr>
          <w:rFonts w:hint="eastAsia"/>
          <w:b/>
          <w:bCs/>
          <w:color w:val="000000"/>
          <w:szCs w:val="21"/>
        </w:rPr>
        <w:t>9</w:t>
      </w:r>
      <w:r>
        <w:rPr>
          <w:b/>
          <w:bCs/>
          <w:color w:val="000000"/>
          <w:szCs w:val="21"/>
        </w:rPr>
        <w:t>.4.1</w:t>
      </w:r>
      <w:r>
        <w:rPr>
          <w:color w:val="000000"/>
          <w:szCs w:val="21"/>
        </w:rPr>
        <w:t xml:space="preserve"> </w:t>
      </w:r>
      <w:r>
        <w:rPr>
          <w:rFonts w:hint="eastAsia"/>
          <w:color w:val="000000"/>
          <w:szCs w:val="21"/>
        </w:rPr>
        <w:t xml:space="preserve"> 消火栓系统、自动喷水灭火系统、气体灭火系统安装应符合现行国家标准、行业标准、地方法律法规和相关管理规定的要求。</w:t>
      </w:r>
    </w:p>
    <w:p w14:paraId="24DB65E5">
      <w:pPr>
        <w:spacing w:line="400" w:lineRule="exact"/>
        <w:rPr>
          <w:b/>
          <w:bCs/>
          <w:color w:val="000000"/>
          <w:szCs w:val="21"/>
        </w:rPr>
      </w:pPr>
      <w:r>
        <w:rPr>
          <w:rFonts w:hint="eastAsia"/>
          <w:b/>
          <w:bCs/>
          <w:color w:val="000000"/>
          <w:szCs w:val="21"/>
        </w:rPr>
        <w:t>9</w:t>
      </w:r>
      <w:r>
        <w:rPr>
          <w:b/>
          <w:bCs/>
          <w:color w:val="000000"/>
          <w:szCs w:val="21"/>
        </w:rPr>
        <w:t xml:space="preserve">.4.2 </w:t>
      </w:r>
      <w:r>
        <w:rPr>
          <w:rFonts w:hint="eastAsia"/>
          <w:b/>
          <w:bCs/>
          <w:color w:val="000000"/>
          <w:szCs w:val="21"/>
        </w:rPr>
        <w:t xml:space="preserve"> </w:t>
      </w:r>
      <w:r>
        <w:rPr>
          <w:rFonts w:hint="eastAsia"/>
          <w:color w:val="000000"/>
          <w:szCs w:val="21"/>
        </w:rPr>
        <w:t>消防给水系统管道材质、连接方式应符合设计要求，</w:t>
      </w:r>
      <w:r>
        <w:rPr>
          <w:color w:val="000000"/>
          <w:szCs w:val="21"/>
        </w:rPr>
        <w:t>对有二次防腐要求的连接管道应进行防腐处理</w:t>
      </w:r>
      <w:r>
        <w:rPr>
          <w:rFonts w:hint="eastAsia"/>
          <w:color w:val="000000"/>
          <w:szCs w:val="21"/>
        </w:rPr>
        <w:t xml:space="preserve">，各类阀门、部件、组件应按设计合理选用，并安装正确。 </w:t>
      </w:r>
    </w:p>
    <w:p w14:paraId="73515FB9">
      <w:pPr>
        <w:spacing w:line="400" w:lineRule="exact"/>
        <w:rPr>
          <w:color w:val="000000"/>
          <w:szCs w:val="21"/>
        </w:rPr>
      </w:pPr>
      <w:r>
        <w:rPr>
          <w:b/>
          <w:bCs/>
          <w:color w:val="000000"/>
          <w:szCs w:val="21"/>
        </w:rPr>
        <w:t>9.4.3</w:t>
      </w:r>
      <w:r>
        <w:rPr>
          <w:color w:val="000000"/>
          <w:szCs w:val="21"/>
        </w:rPr>
        <w:t xml:space="preserve"> </w:t>
      </w:r>
      <w:r>
        <w:rPr>
          <w:rFonts w:hint="eastAsia"/>
          <w:color w:val="000000"/>
          <w:szCs w:val="21"/>
        </w:rPr>
        <w:t xml:space="preserve"> 消火栓安装应符合下列规定：</w:t>
      </w:r>
    </w:p>
    <w:p w14:paraId="14C92777">
      <w:pPr>
        <w:spacing w:line="400" w:lineRule="exact"/>
        <w:ind w:firstLine="422" w:firstLineChars="200"/>
        <w:rPr>
          <w:color w:val="000000"/>
          <w:szCs w:val="21"/>
        </w:rPr>
      </w:pPr>
      <w:r>
        <w:rPr>
          <w:b/>
          <w:bCs/>
          <w:color w:val="000000"/>
        </w:rPr>
        <w:t>1</w:t>
      </w:r>
      <w:r>
        <w:rPr>
          <w:color w:val="000000"/>
          <w:szCs w:val="21"/>
        </w:rPr>
        <w:t xml:space="preserve"> </w:t>
      </w:r>
      <w:r>
        <w:rPr>
          <w:rFonts w:hint="eastAsia"/>
          <w:color w:val="000000"/>
          <w:szCs w:val="21"/>
        </w:rPr>
        <w:t xml:space="preserve"> 室内消火栓箱的位置应正确，安装平正、牢固，箱体安装的垂直度允许偏差为±</w:t>
      </w:r>
      <w:r>
        <w:rPr>
          <w:color w:val="000000"/>
          <w:szCs w:val="21"/>
        </w:rPr>
        <w:t>3 mm</w:t>
      </w:r>
      <w:r>
        <w:rPr>
          <w:rFonts w:hint="eastAsia"/>
          <w:color w:val="000000"/>
          <w:szCs w:val="21"/>
        </w:rPr>
        <w:t>；</w:t>
      </w:r>
    </w:p>
    <w:p w14:paraId="03EBB97A">
      <w:pPr>
        <w:spacing w:line="400" w:lineRule="exact"/>
        <w:ind w:firstLine="422" w:firstLineChars="200"/>
        <w:rPr>
          <w:color w:val="000000"/>
          <w:szCs w:val="21"/>
        </w:rPr>
      </w:pPr>
      <w:r>
        <w:rPr>
          <w:b/>
          <w:bCs/>
          <w:color w:val="000000"/>
        </w:rPr>
        <w:t>2</w:t>
      </w:r>
      <w:r>
        <w:rPr>
          <w:color w:val="000000"/>
          <w:szCs w:val="21"/>
        </w:rPr>
        <w:t xml:space="preserve"> </w:t>
      </w:r>
      <w:r>
        <w:rPr>
          <w:rFonts w:hint="eastAsia"/>
          <w:color w:val="000000"/>
          <w:szCs w:val="21"/>
        </w:rPr>
        <w:t xml:space="preserve"> 消火栓箱门应开启灵活，开启不应小于1</w:t>
      </w:r>
      <w:r>
        <w:rPr>
          <w:color w:val="000000"/>
          <w:szCs w:val="21"/>
        </w:rPr>
        <w:t>20</w:t>
      </w:r>
      <w:r>
        <w:rPr>
          <w:rFonts w:hint="eastAsia"/>
          <w:color w:val="000000"/>
          <w:szCs w:val="21"/>
        </w:rPr>
        <w:t>°；</w:t>
      </w:r>
    </w:p>
    <w:p w14:paraId="095BF9FD">
      <w:pPr>
        <w:spacing w:line="400" w:lineRule="exact"/>
        <w:ind w:firstLine="422" w:firstLineChars="200"/>
        <w:rPr>
          <w:color w:val="000000"/>
          <w:szCs w:val="21"/>
        </w:rPr>
      </w:pPr>
      <w:r>
        <w:rPr>
          <w:b/>
          <w:bCs/>
          <w:color w:val="000000"/>
        </w:rPr>
        <w:t>3</w:t>
      </w:r>
      <w:r>
        <w:rPr>
          <w:color w:val="000000"/>
          <w:szCs w:val="21"/>
        </w:rPr>
        <w:t xml:space="preserve"> </w:t>
      </w:r>
      <w:r>
        <w:rPr>
          <w:rFonts w:hint="eastAsia"/>
          <w:color w:val="000000"/>
          <w:szCs w:val="21"/>
        </w:rPr>
        <w:t xml:space="preserve"> 室内消火栓栓口中心距地面高度为1</w:t>
      </w:r>
      <w:r>
        <w:rPr>
          <w:color w:val="000000"/>
          <w:szCs w:val="21"/>
        </w:rPr>
        <w:t>.1 m</w:t>
      </w:r>
      <w:r>
        <w:rPr>
          <w:rFonts w:hint="eastAsia"/>
          <w:color w:val="000000"/>
          <w:szCs w:val="21"/>
        </w:rPr>
        <w:t>，栓口出水方向宜向下或与设置消火栓的墙面成9</w:t>
      </w:r>
      <w:r>
        <w:rPr>
          <w:color w:val="000000"/>
          <w:szCs w:val="21"/>
        </w:rPr>
        <w:t>0</w:t>
      </w:r>
      <w:r>
        <w:rPr>
          <w:rFonts w:hint="eastAsia"/>
          <w:color w:val="000000"/>
          <w:szCs w:val="21"/>
        </w:rPr>
        <w:t>°角，栓口不应安装在门轴侧，</w:t>
      </w:r>
      <w:r>
        <w:rPr>
          <w:color w:val="000000"/>
          <w:szCs w:val="21"/>
        </w:rPr>
        <w:t>水龙带应绑扎牢固、盘挂正确</w:t>
      </w:r>
      <w:r>
        <w:rPr>
          <w:rFonts w:hint="eastAsia"/>
          <w:color w:val="000000"/>
          <w:szCs w:val="21"/>
        </w:rPr>
        <w:t>；</w:t>
      </w:r>
    </w:p>
    <w:p w14:paraId="2DFC689B">
      <w:pPr>
        <w:spacing w:line="400" w:lineRule="exact"/>
        <w:ind w:firstLine="422" w:firstLineChars="200"/>
        <w:rPr>
          <w:color w:val="000000"/>
          <w:szCs w:val="21"/>
        </w:rPr>
      </w:pPr>
      <w:r>
        <w:rPr>
          <w:b/>
          <w:bCs/>
          <w:color w:val="000000"/>
        </w:rPr>
        <w:t>4</w:t>
      </w:r>
      <w:r>
        <w:rPr>
          <w:color w:val="000000"/>
          <w:szCs w:val="21"/>
        </w:rPr>
        <w:t xml:space="preserve"> </w:t>
      </w:r>
      <w:r>
        <w:rPr>
          <w:rFonts w:hint="eastAsia"/>
          <w:color w:val="000000"/>
          <w:szCs w:val="21"/>
        </w:rPr>
        <w:t xml:space="preserve"> 消火栓的启闭阀门设置位置应便于操作使用，阀门的中心距消火栓箱侧面1</w:t>
      </w:r>
      <w:r>
        <w:rPr>
          <w:color w:val="000000"/>
          <w:szCs w:val="21"/>
        </w:rPr>
        <w:t>40 mm</w:t>
      </w:r>
      <w:r>
        <w:rPr>
          <w:rFonts w:hint="eastAsia"/>
          <w:color w:val="000000"/>
          <w:szCs w:val="21"/>
        </w:rPr>
        <w:t>，距箱后内表面1</w:t>
      </w:r>
      <w:r>
        <w:rPr>
          <w:color w:val="000000"/>
          <w:szCs w:val="21"/>
        </w:rPr>
        <w:t>00 mm</w:t>
      </w:r>
      <w:r>
        <w:rPr>
          <w:rFonts w:hint="eastAsia"/>
          <w:color w:val="000000"/>
          <w:szCs w:val="21"/>
        </w:rPr>
        <w:t>，允许偏差±5</w:t>
      </w:r>
      <w:r>
        <w:rPr>
          <w:color w:val="000000"/>
          <w:szCs w:val="21"/>
        </w:rPr>
        <w:t xml:space="preserve"> mm</w:t>
      </w:r>
      <w:r>
        <w:rPr>
          <w:rFonts w:hint="eastAsia"/>
          <w:color w:val="000000"/>
          <w:szCs w:val="21"/>
        </w:rPr>
        <w:t>；</w:t>
      </w:r>
    </w:p>
    <w:p w14:paraId="4C38D482">
      <w:pPr>
        <w:pStyle w:val="2"/>
        <w:spacing w:line="400" w:lineRule="exact"/>
        <w:ind w:left="134" w:firstLine="285"/>
        <w:rPr>
          <w:color w:val="000000"/>
        </w:rPr>
      </w:pPr>
      <w:r>
        <w:rPr>
          <w:b/>
          <w:bCs/>
          <w:color w:val="000000"/>
        </w:rPr>
        <w:t>5</w:t>
      </w:r>
      <w:r>
        <w:rPr>
          <w:color w:val="000000"/>
        </w:rPr>
        <w:t xml:space="preserve"> </w:t>
      </w:r>
      <w:r>
        <w:rPr>
          <w:rFonts w:hint="eastAsia"/>
          <w:color w:val="000000"/>
        </w:rPr>
        <w:t xml:space="preserve"> </w:t>
      </w:r>
      <w:r>
        <w:rPr>
          <w:rFonts w:hint="eastAsia"/>
          <w:color w:val="000000"/>
          <w:szCs w:val="21"/>
        </w:rPr>
        <w:t>暗装消火栓箱不应破坏隔墙的耐火性能，</w:t>
      </w:r>
      <w:r>
        <w:rPr>
          <w:rFonts w:hint="eastAsia"/>
          <w:color w:val="000000"/>
        </w:rPr>
        <w:t>易产生冻结的部位应有防冻措施。</w:t>
      </w:r>
    </w:p>
    <w:p w14:paraId="4002473E">
      <w:pPr>
        <w:spacing w:line="400" w:lineRule="exact"/>
        <w:rPr>
          <w:color w:val="000000"/>
          <w:szCs w:val="21"/>
        </w:rPr>
      </w:pPr>
      <w:r>
        <w:rPr>
          <w:rFonts w:hint="eastAsia"/>
          <w:b/>
          <w:bCs/>
          <w:color w:val="000000"/>
          <w:szCs w:val="21"/>
        </w:rPr>
        <w:t>9</w:t>
      </w:r>
      <w:r>
        <w:rPr>
          <w:b/>
          <w:bCs/>
          <w:color w:val="000000"/>
          <w:szCs w:val="21"/>
        </w:rPr>
        <w:t xml:space="preserve">.4.4 </w:t>
      </w:r>
      <w:r>
        <w:rPr>
          <w:rFonts w:hint="eastAsia"/>
          <w:b/>
          <w:bCs/>
          <w:color w:val="000000"/>
          <w:szCs w:val="21"/>
        </w:rPr>
        <w:t xml:space="preserve"> </w:t>
      </w:r>
      <w:r>
        <w:rPr>
          <w:rFonts w:hint="eastAsia"/>
          <w:color w:val="000000"/>
          <w:szCs w:val="21"/>
        </w:rPr>
        <w:t>报警装置安装应符合下列规定：</w:t>
      </w:r>
    </w:p>
    <w:p w14:paraId="3FBB5CF9">
      <w:pPr>
        <w:pStyle w:val="2"/>
        <w:spacing w:line="400" w:lineRule="exact"/>
        <w:ind w:left="134" w:firstLine="285"/>
        <w:rPr>
          <w:color w:val="000000"/>
        </w:rPr>
      </w:pPr>
      <w:r>
        <w:rPr>
          <w:rFonts w:hint="eastAsia"/>
          <w:b/>
          <w:bCs/>
          <w:color w:val="000000"/>
        </w:rPr>
        <w:t>1</w:t>
      </w:r>
      <w:r>
        <w:rPr>
          <w:color w:val="000000"/>
        </w:rPr>
        <w:t xml:space="preserve"> </w:t>
      </w:r>
      <w:r>
        <w:rPr>
          <w:rFonts w:hint="eastAsia"/>
          <w:color w:val="000000"/>
        </w:rPr>
        <w:t xml:space="preserve"> 报警阀组的安装位置应符合设计要求，应安装在便于操作的明显位置；多组报警阀组安装应成排成行，高度、间距一致，符合</w:t>
      </w:r>
      <w:r>
        <w:rPr>
          <w:rFonts w:hint="eastAsia"/>
          <w:color w:val="000000"/>
          <w:szCs w:val="21"/>
          <w:lang w:val="en-US" w:eastAsia="zh-CN"/>
        </w:rPr>
        <w:t>现行国家标准</w:t>
      </w:r>
      <w:r>
        <w:rPr>
          <w:rFonts w:hint="eastAsia"/>
          <w:color w:val="000000"/>
        </w:rPr>
        <w:t>《自动喷水灭火系统施工及验收规范》G</w:t>
      </w:r>
      <w:r>
        <w:rPr>
          <w:color w:val="000000"/>
        </w:rPr>
        <w:t>B 50261</w:t>
      </w:r>
      <w:r>
        <w:rPr>
          <w:rFonts w:hint="eastAsia"/>
          <w:color w:val="000000"/>
        </w:rPr>
        <w:t>的要求。室内地面应设排水设施；</w:t>
      </w:r>
    </w:p>
    <w:p w14:paraId="0CE14AE8">
      <w:pPr>
        <w:pStyle w:val="2"/>
        <w:spacing w:line="400" w:lineRule="exact"/>
        <w:ind w:left="134" w:firstLine="285"/>
        <w:rPr>
          <w:color w:val="000000"/>
        </w:rPr>
      </w:pPr>
      <w:r>
        <w:rPr>
          <w:rFonts w:hint="eastAsia"/>
          <w:b/>
          <w:bCs/>
          <w:color w:val="000000"/>
        </w:rPr>
        <w:t>2</w:t>
      </w:r>
      <w:r>
        <w:rPr>
          <w:color w:val="000000"/>
        </w:rPr>
        <w:t xml:space="preserve"> </w:t>
      </w:r>
      <w:r>
        <w:rPr>
          <w:rFonts w:hint="eastAsia"/>
          <w:color w:val="000000"/>
        </w:rPr>
        <w:t xml:space="preserve"> 水源控制阀安装应便于操作，应有明显开闭标志和可靠的锁定设施；</w:t>
      </w:r>
    </w:p>
    <w:p w14:paraId="250F9C2B">
      <w:pPr>
        <w:pStyle w:val="2"/>
        <w:spacing w:line="400" w:lineRule="exact"/>
        <w:ind w:left="134" w:firstLine="285"/>
        <w:rPr>
          <w:color w:val="000000"/>
        </w:rPr>
      </w:pPr>
      <w:r>
        <w:rPr>
          <w:rFonts w:hint="eastAsia"/>
          <w:b/>
          <w:bCs/>
          <w:color w:val="000000"/>
        </w:rPr>
        <w:t>3</w:t>
      </w:r>
      <w:r>
        <w:rPr>
          <w:color w:val="000000"/>
        </w:rPr>
        <w:t xml:space="preserve">  </w:t>
      </w:r>
      <w:r>
        <w:rPr>
          <w:rFonts w:hint="eastAsia"/>
          <w:color w:val="000000"/>
        </w:rPr>
        <w:t>压力表、过滤器、阀门等附件的设置和安装应正确；</w:t>
      </w:r>
    </w:p>
    <w:p w14:paraId="5C8BB79B">
      <w:pPr>
        <w:pStyle w:val="2"/>
        <w:spacing w:line="400" w:lineRule="exact"/>
        <w:ind w:left="134" w:firstLine="285"/>
        <w:rPr>
          <w:color w:val="000000"/>
        </w:rPr>
      </w:pPr>
      <w:r>
        <w:rPr>
          <w:rFonts w:hint="eastAsia"/>
          <w:b/>
          <w:bCs/>
          <w:color w:val="000000"/>
        </w:rPr>
        <w:t>4</w:t>
      </w:r>
      <w:r>
        <w:rPr>
          <w:color w:val="000000"/>
        </w:rPr>
        <w:t xml:space="preserve">  </w:t>
      </w:r>
      <w:r>
        <w:rPr>
          <w:rFonts w:hint="eastAsia"/>
          <w:color w:val="000000"/>
        </w:rPr>
        <w:t>水流指示器安装方向应正确，信号阀应安装在水流指示器前的管道上，与水流指示器的间距不宜小于3</w:t>
      </w:r>
      <w:r>
        <w:rPr>
          <w:color w:val="000000"/>
        </w:rPr>
        <w:t>00 mm</w:t>
      </w:r>
      <w:r>
        <w:rPr>
          <w:rFonts w:hint="eastAsia"/>
          <w:color w:val="000000"/>
        </w:rPr>
        <w:t>；</w:t>
      </w:r>
    </w:p>
    <w:p w14:paraId="1DA5670E">
      <w:pPr>
        <w:pStyle w:val="2"/>
        <w:widowControl/>
        <w:suppressAutoHyphens w:val="0"/>
        <w:spacing w:line="400" w:lineRule="exact"/>
        <w:ind w:left="134" w:firstLine="285"/>
        <w:jc w:val="left"/>
        <w:rPr>
          <w:color w:val="000000"/>
        </w:rPr>
      </w:pPr>
      <w:r>
        <w:rPr>
          <w:rFonts w:hint="eastAsia"/>
          <w:b/>
          <w:bCs/>
          <w:color w:val="000000"/>
        </w:rPr>
        <w:t>5</w:t>
      </w:r>
      <w:r>
        <w:rPr>
          <w:color w:val="000000"/>
        </w:rPr>
        <w:t xml:space="preserve">  </w:t>
      </w:r>
      <w:r>
        <w:rPr>
          <w:rFonts w:hint="eastAsia"/>
          <w:color w:val="000000"/>
        </w:rPr>
        <w:t xml:space="preserve">水力警铃应安装在公共通道或值班室附近的外墙上，且应安装检修、测试用的阀门。 </w:t>
      </w:r>
    </w:p>
    <w:p w14:paraId="52888594">
      <w:pPr>
        <w:pStyle w:val="2"/>
        <w:spacing w:line="400" w:lineRule="exact"/>
        <w:ind w:left="134" w:firstLine="0" w:firstLineChars="0"/>
        <w:rPr>
          <w:color w:val="000000"/>
        </w:rPr>
      </w:pPr>
      <w:r>
        <w:rPr>
          <w:rFonts w:hint="eastAsia"/>
          <w:color w:val="000000"/>
        </w:rPr>
        <w:t>水力警铃排列整齐，高度一致，间距均匀，固定牢固，并标识清晰。</w:t>
      </w:r>
    </w:p>
    <w:p w14:paraId="4DE33CED">
      <w:pPr>
        <w:widowControl/>
        <w:suppressAutoHyphens w:val="0"/>
        <w:spacing w:line="400" w:lineRule="exact"/>
        <w:jc w:val="left"/>
        <w:rPr>
          <w:rFonts w:ascii="宋体" w:hAnsi="宋体" w:cs="宋体"/>
          <w:color w:val="000000"/>
          <w:kern w:val="0"/>
          <w:szCs w:val="21"/>
        </w:rPr>
      </w:pPr>
      <w:r>
        <w:rPr>
          <w:rFonts w:hint="eastAsia"/>
          <w:b/>
          <w:bCs/>
          <w:color w:val="000000"/>
          <w:szCs w:val="21"/>
        </w:rPr>
        <w:t>9</w:t>
      </w:r>
      <w:r>
        <w:rPr>
          <w:b/>
          <w:bCs/>
          <w:color w:val="000000"/>
          <w:szCs w:val="21"/>
        </w:rPr>
        <w:t>.4.5</w:t>
      </w:r>
      <w:r>
        <w:rPr>
          <w:rFonts w:hint="eastAsia"/>
          <w:b/>
          <w:bCs/>
          <w:color w:val="000000"/>
          <w:szCs w:val="21"/>
        </w:rPr>
        <w:t xml:space="preserve">  </w:t>
      </w:r>
      <w:r>
        <w:rPr>
          <w:rFonts w:hint="eastAsia" w:ascii="宋体" w:hAnsi="宋体" w:cs="宋体"/>
          <w:color w:val="000000"/>
          <w:kern w:val="0"/>
          <w:szCs w:val="21"/>
        </w:rPr>
        <w:t>末端试验装置安装位置应符合设计要求，阀门、压力表的安装应便于检查、试验，排水设施满足排放要求。</w:t>
      </w:r>
    </w:p>
    <w:p w14:paraId="47C2621E">
      <w:pPr>
        <w:pStyle w:val="2"/>
        <w:spacing w:line="400" w:lineRule="exact"/>
        <w:ind w:left="0" w:leftChars="0" w:firstLine="0" w:firstLineChars="0"/>
        <w:rPr>
          <w:color w:val="000000"/>
          <w:szCs w:val="21"/>
        </w:rPr>
      </w:pPr>
      <w:r>
        <w:rPr>
          <w:rFonts w:hint="eastAsia"/>
          <w:b/>
          <w:bCs/>
          <w:color w:val="000000"/>
          <w:szCs w:val="21"/>
        </w:rPr>
        <w:t>9</w:t>
      </w:r>
      <w:r>
        <w:rPr>
          <w:b/>
          <w:bCs/>
          <w:color w:val="000000"/>
          <w:szCs w:val="21"/>
        </w:rPr>
        <w:t xml:space="preserve">.4.6 </w:t>
      </w:r>
      <w:r>
        <w:rPr>
          <w:rFonts w:hint="eastAsia"/>
          <w:b/>
          <w:bCs/>
          <w:color w:val="000000"/>
          <w:szCs w:val="21"/>
        </w:rPr>
        <w:t xml:space="preserve"> </w:t>
      </w:r>
      <w:r>
        <w:rPr>
          <w:rFonts w:hint="eastAsia"/>
          <w:color w:val="000000"/>
          <w:szCs w:val="21"/>
        </w:rPr>
        <w:t>喷淋头安装应符合下列规定：</w:t>
      </w:r>
    </w:p>
    <w:p w14:paraId="6356D407">
      <w:pPr>
        <w:spacing w:line="400" w:lineRule="exact"/>
        <w:ind w:firstLine="422" w:firstLineChars="200"/>
        <w:rPr>
          <w:color w:val="000000"/>
          <w:szCs w:val="21"/>
        </w:rPr>
      </w:pPr>
      <w:r>
        <w:rPr>
          <w:rFonts w:hint="eastAsia"/>
          <w:b/>
          <w:bCs/>
          <w:color w:val="000000"/>
        </w:rPr>
        <w:t>1</w:t>
      </w:r>
      <w:r>
        <w:rPr>
          <w:color w:val="000000"/>
        </w:rPr>
        <w:t xml:space="preserve"> </w:t>
      </w:r>
      <w:r>
        <w:rPr>
          <w:rFonts w:hint="eastAsia"/>
          <w:color w:val="000000"/>
        </w:rPr>
        <w:t xml:space="preserve"> </w:t>
      </w:r>
      <w:r>
        <w:rPr>
          <w:color w:val="000000"/>
          <w:szCs w:val="21"/>
        </w:rPr>
        <w:t>自动喷水灭火系统的喷头应在管道</w:t>
      </w:r>
      <w:r>
        <w:rPr>
          <w:rFonts w:hint="eastAsia"/>
          <w:color w:val="000000"/>
          <w:szCs w:val="21"/>
        </w:rPr>
        <w:t>试压、</w:t>
      </w:r>
      <w:r>
        <w:rPr>
          <w:color w:val="000000"/>
          <w:szCs w:val="21"/>
        </w:rPr>
        <w:t>冲洗完成后安装，喷头设置位置应符合</w:t>
      </w:r>
      <w:r>
        <w:rPr>
          <w:rFonts w:hint="eastAsia"/>
          <w:color w:val="000000"/>
          <w:szCs w:val="21"/>
        </w:rPr>
        <w:t>设计要求</w:t>
      </w:r>
      <w:r>
        <w:rPr>
          <w:color w:val="000000"/>
          <w:szCs w:val="21"/>
        </w:rPr>
        <w:t>，并应与装饰工程协调，应布置美观、成排对称、护口盘高低一致，不应有脱落损坏；</w:t>
      </w:r>
    </w:p>
    <w:p w14:paraId="0B9C5068">
      <w:pPr>
        <w:pStyle w:val="2"/>
        <w:spacing w:line="400" w:lineRule="exact"/>
        <w:ind w:left="0" w:leftChars="0" w:firstLine="0" w:firstLineChars="0"/>
        <w:rPr>
          <w:color w:val="000000"/>
        </w:rPr>
      </w:pPr>
      <w:r>
        <w:rPr>
          <w:rFonts w:hint="eastAsia"/>
          <w:color w:val="000000"/>
        </w:rPr>
        <w:t xml:space="preserve"> </w:t>
      </w:r>
      <w:r>
        <w:rPr>
          <w:color w:val="000000"/>
        </w:rPr>
        <w:t xml:space="preserve">   </w:t>
      </w:r>
      <w:r>
        <w:rPr>
          <w:rFonts w:hint="eastAsia"/>
          <w:b/>
          <w:bCs/>
          <w:color w:val="000000"/>
        </w:rPr>
        <w:t>2</w:t>
      </w:r>
      <w:r>
        <w:rPr>
          <w:color w:val="000000"/>
        </w:rPr>
        <w:t xml:space="preserve"> </w:t>
      </w:r>
      <w:r>
        <w:rPr>
          <w:rFonts w:hint="eastAsia"/>
          <w:color w:val="000000"/>
        </w:rPr>
        <w:t xml:space="preserve"> 喷头</w:t>
      </w:r>
      <w:r>
        <w:rPr>
          <w:color w:val="000000"/>
          <w:szCs w:val="21"/>
        </w:rPr>
        <w:t>表面</w:t>
      </w:r>
      <w:r>
        <w:rPr>
          <w:rFonts w:hint="eastAsia"/>
          <w:color w:val="000000"/>
          <w:szCs w:val="21"/>
        </w:rPr>
        <w:t>应无污染，</w:t>
      </w:r>
      <w:r>
        <w:rPr>
          <w:rFonts w:hint="eastAsia"/>
          <w:color w:val="000000"/>
        </w:rPr>
        <w:t>不得覆盖装饰性涂层。喷头</w:t>
      </w:r>
      <w:r>
        <w:rPr>
          <w:rFonts w:hint="eastAsia"/>
          <w:color w:val="000000"/>
          <w:szCs w:val="21"/>
        </w:rPr>
        <w:t>；</w:t>
      </w:r>
    </w:p>
    <w:p w14:paraId="5B4075AD">
      <w:pPr>
        <w:pStyle w:val="2"/>
        <w:spacing w:line="400" w:lineRule="exact"/>
        <w:ind w:left="0" w:leftChars="0" w:firstLine="425" w:firstLineChars="0"/>
        <w:rPr>
          <w:color w:val="000000"/>
        </w:rPr>
      </w:pPr>
      <w:r>
        <w:rPr>
          <w:rFonts w:hint="eastAsia"/>
          <w:b/>
          <w:bCs/>
          <w:color w:val="000000"/>
        </w:rPr>
        <w:t>3</w:t>
      </w:r>
      <w:r>
        <w:rPr>
          <w:color w:val="000000"/>
        </w:rPr>
        <w:t xml:space="preserve"> </w:t>
      </w:r>
      <w:r>
        <w:rPr>
          <w:rFonts w:hint="eastAsia"/>
          <w:color w:val="000000"/>
        </w:rPr>
        <w:t xml:space="preserve"> 当梁、通风管道、槽盒、成排管道宽度大于1</w:t>
      </w:r>
      <w:r>
        <w:rPr>
          <w:color w:val="000000"/>
        </w:rPr>
        <w:t>.2 m</w:t>
      </w:r>
      <w:r>
        <w:rPr>
          <w:rFonts w:hint="eastAsia"/>
          <w:color w:val="000000"/>
        </w:rPr>
        <w:t>时，增设的喷头应安装在其腹面以下的部位。</w:t>
      </w:r>
    </w:p>
    <w:p w14:paraId="4BA17CBE">
      <w:pPr>
        <w:pStyle w:val="2"/>
        <w:spacing w:line="400" w:lineRule="exact"/>
        <w:ind w:left="0" w:leftChars="0" w:firstLine="0" w:firstLineChars="0"/>
        <w:rPr>
          <w:color w:val="000000"/>
          <w:szCs w:val="21"/>
        </w:rPr>
      </w:pPr>
      <w:r>
        <w:rPr>
          <w:rFonts w:hint="eastAsia"/>
          <w:b/>
          <w:bCs/>
          <w:color w:val="000000"/>
          <w:szCs w:val="21"/>
        </w:rPr>
        <w:t>9</w:t>
      </w:r>
      <w:r>
        <w:rPr>
          <w:b/>
          <w:bCs/>
          <w:color w:val="000000"/>
          <w:szCs w:val="21"/>
        </w:rPr>
        <w:t xml:space="preserve">.4.7 </w:t>
      </w:r>
      <w:r>
        <w:rPr>
          <w:rFonts w:hint="eastAsia"/>
          <w:b/>
          <w:bCs/>
          <w:color w:val="000000"/>
          <w:szCs w:val="21"/>
        </w:rPr>
        <w:t xml:space="preserve"> </w:t>
      </w:r>
      <w:r>
        <w:rPr>
          <w:rFonts w:hint="eastAsia"/>
          <w:color w:val="000000"/>
          <w:szCs w:val="21"/>
        </w:rPr>
        <w:t>水泵结合器的设置应符合设计要求，便于消防车使用的地点，墙壁式水泵结合器的安装高度距地面宜为0</w:t>
      </w:r>
      <w:r>
        <w:rPr>
          <w:color w:val="000000"/>
          <w:szCs w:val="21"/>
        </w:rPr>
        <w:t>.7 m</w:t>
      </w:r>
      <w:r>
        <w:rPr>
          <w:rFonts w:hint="eastAsia"/>
          <w:color w:val="000000"/>
          <w:szCs w:val="21"/>
        </w:rPr>
        <w:t>，与墙面上的门、窗、孔、洞的净距离不应小于2</w:t>
      </w:r>
      <w:r>
        <w:rPr>
          <w:color w:val="000000"/>
          <w:szCs w:val="21"/>
        </w:rPr>
        <w:t>.0 m</w:t>
      </w:r>
      <w:r>
        <w:rPr>
          <w:rFonts w:hint="eastAsia"/>
          <w:color w:val="000000"/>
          <w:szCs w:val="21"/>
        </w:rPr>
        <w:t>，且不应安装在玻璃幕墙下方；地下消防水泵结合器进水口与井盖的距离不大于0</w:t>
      </w:r>
      <w:r>
        <w:rPr>
          <w:color w:val="000000"/>
          <w:szCs w:val="21"/>
        </w:rPr>
        <w:t>.4 m</w:t>
      </w:r>
      <w:r>
        <w:rPr>
          <w:rFonts w:hint="eastAsia"/>
          <w:color w:val="000000"/>
          <w:szCs w:val="21"/>
        </w:rPr>
        <w:t>，且不应小于井盖的半径。</w:t>
      </w:r>
    </w:p>
    <w:p w14:paraId="0470C9A6">
      <w:pPr>
        <w:pStyle w:val="2"/>
        <w:spacing w:line="400" w:lineRule="exact"/>
        <w:ind w:left="0" w:leftChars="0" w:firstLine="0" w:firstLineChars="0"/>
        <w:rPr>
          <w:color w:val="000000"/>
        </w:rPr>
      </w:pPr>
      <w:r>
        <w:rPr>
          <w:rFonts w:hint="eastAsia"/>
          <w:b/>
          <w:bCs/>
          <w:color w:val="000000"/>
          <w:szCs w:val="21"/>
        </w:rPr>
        <w:t>9</w:t>
      </w:r>
      <w:r>
        <w:rPr>
          <w:b/>
          <w:bCs/>
          <w:color w:val="000000"/>
          <w:szCs w:val="21"/>
        </w:rPr>
        <w:t xml:space="preserve">.4.8 </w:t>
      </w:r>
      <w:r>
        <w:rPr>
          <w:rFonts w:hint="eastAsia"/>
          <w:b/>
          <w:bCs/>
          <w:color w:val="000000"/>
          <w:szCs w:val="21"/>
        </w:rPr>
        <w:t xml:space="preserve"> </w:t>
      </w:r>
      <w:r>
        <w:rPr>
          <w:rFonts w:hint="eastAsia"/>
          <w:color w:val="000000"/>
          <w:szCs w:val="21"/>
        </w:rPr>
        <w:t>气体灭火系统的设施、管道、阀门和组件应安装固定牢固，无污染和损伤。储存装置的压力表、液位计、称重显示器等安装位置便于人员观察和操作。</w:t>
      </w:r>
    </w:p>
    <w:p w14:paraId="1CFC4BAD">
      <w:pPr>
        <w:pStyle w:val="2"/>
        <w:spacing w:line="400" w:lineRule="exact"/>
        <w:ind w:left="0" w:leftChars="0" w:firstLine="0" w:firstLineChars="0"/>
        <w:rPr>
          <w:color w:val="000000"/>
        </w:rPr>
      </w:pPr>
      <w:r>
        <w:rPr>
          <w:b/>
          <w:color w:val="000000"/>
          <w:szCs w:val="21"/>
        </w:rPr>
        <w:t xml:space="preserve">9.4.9 </w:t>
      </w:r>
      <w:r>
        <w:rPr>
          <w:rFonts w:hint="eastAsia"/>
          <w:b/>
          <w:color w:val="000000"/>
          <w:szCs w:val="21"/>
        </w:rPr>
        <w:t xml:space="preserve"> </w:t>
      </w:r>
      <w:r>
        <w:rPr>
          <w:rFonts w:hint="eastAsia"/>
          <w:color w:val="000000"/>
          <w:szCs w:val="21"/>
        </w:rPr>
        <w:t>消火栓</w:t>
      </w:r>
      <w:r>
        <w:rPr>
          <w:rFonts w:hint="eastAsia"/>
          <w:bCs/>
          <w:color w:val="000000"/>
          <w:szCs w:val="21"/>
        </w:rPr>
        <w:t>、水泵结合器</w:t>
      </w:r>
      <w:r>
        <w:rPr>
          <w:color w:val="000000"/>
          <w:szCs w:val="21"/>
        </w:rPr>
        <w:t>应</w:t>
      </w:r>
      <w:r>
        <w:rPr>
          <w:rFonts w:hint="eastAsia"/>
          <w:color w:val="000000"/>
          <w:szCs w:val="21"/>
        </w:rPr>
        <w:t>设</w:t>
      </w:r>
      <w:r>
        <w:rPr>
          <w:color w:val="000000"/>
          <w:szCs w:val="21"/>
        </w:rPr>
        <w:t>有明显</w:t>
      </w:r>
      <w:r>
        <w:rPr>
          <w:rFonts w:hint="eastAsia"/>
          <w:color w:val="000000"/>
          <w:szCs w:val="21"/>
        </w:rPr>
        <w:t>的</w:t>
      </w:r>
      <w:r>
        <w:rPr>
          <w:rFonts w:hint="eastAsia"/>
          <w:color w:val="000000"/>
          <w:kern w:val="21"/>
          <w:szCs w:val="21"/>
        </w:rPr>
        <w:t>永久性固定</w:t>
      </w:r>
      <w:r>
        <w:rPr>
          <w:color w:val="000000"/>
          <w:szCs w:val="21"/>
        </w:rPr>
        <w:t>标</w:t>
      </w:r>
      <w:r>
        <w:rPr>
          <w:rFonts w:hint="eastAsia"/>
          <w:color w:val="000000"/>
          <w:szCs w:val="21"/>
        </w:rPr>
        <w:t>牌，水泵结合器标牌应标明供水系统、供水范围和额定压力</w:t>
      </w:r>
      <w:r>
        <w:rPr>
          <w:rFonts w:hint="eastAsia"/>
          <w:bCs/>
          <w:color w:val="000000"/>
          <w:szCs w:val="21"/>
        </w:rPr>
        <w:t>。</w:t>
      </w:r>
      <w:r>
        <w:rPr>
          <w:color w:val="000000"/>
          <w:szCs w:val="21"/>
        </w:rPr>
        <w:t>消防报警装置、水流指示器及消防系统的各</w:t>
      </w:r>
      <w:r>
        <w:rPr>
          <w:rFonts w:hint="eastAsia"/>
          <w:color w:val="000000"/>
          <w:szCs w:val="21"/>
        </w:rPr>
        <w:t>种</w:t>
      </w:r>
      <w:r>
        <w:rPr>
          <w:color w:val="000000"/>
          <w:szCs w:val="21"/>
        </w:rPr>
        <w:t>阀类，应有清晰的铭牌</w:t>
      </w:r>
      <w:r>
        <w:rPr>
          <w:rFonts w:hint="eastAsia"/>
          <w:color w:val="000000"/>
          <w:szCs w:val="21"/>
        </w:rPr>
        <w:t>、开启状态和</w:t>
      </w:r>
      <w:r>
        <w:rPr>
          <w:color w:val="000000"/>
          <w:szCs w:val="21"/>
        </w:rPr>
        <w:t>水流方向的永久性标志，动作应灵活可靠</w:t>
      </w:r>
      <w:r>
        <w:rPr>
          <w:rFonts w:hint="eastAsia"/>
          <w:color w:val="000000"/>
          <w:szCs w:val="21"/>
        </w:rPr>
        <w:t>，</w:t>
      </w:r>
      <w:r>
        <w:rPr>
          <w:color w:val="000000"/>
          <w:szCs w:val="21"/>
        </w:rPr>
        <w:t>各类装置应做好功能性试验。</w:t>
      </w:r>
    </w:p>
    <w:p w14:paraId="62DEE997">
      <w:pPr>
        <w:pStyle w:val="4"/>
        <w:numPr>
          <w:ilvl w:val="0"/>
          <w:numId w:val="0"/>
        </w:numPr>
        <w:spacing w:before="312" w:beforeLines="100" w:line="400" w:lineRule="exact"/>
        <w:jc w:val="center"/>
        <w:rPr>
          <w:rFonts w:ascii="Times New Roman" w:hAnsi="Times New Roman" w:eastAsia="黑体"/>
          <w:sz w:val="24"/>
          <w:szCs w:val="24"/>
        </w:rPr>
      </w:pPr>
      <w:bookmarkStart w:id="504" w:name="_Toc22961"/>
      <w:bookmarkStart w:id="505" w:name="_Toc7597"/>
      <w:bookmarkStart w:id="506" w:name="_Toc4947"/>
      <w:bookmarkStart w:id="507" w:name="_Toc22907"/>
      <w:bookmarkStart w:id="508" w:name="_Toc30695"/>
      <w:bookmarkStart w:id="509" w:name="_Toc954"/>
      <w:bookmarkStart w:id="510" w:name="_Toc6554"/>
      <w:bookmarkStart w:id="511" w:name="_Toc22795"/>
      <w:bookmarkStart w:id="512" w:name="_Toc7459"/>
      <w:r>
        <w:rPr>
          <w:rFonts w:ascii="Times New Roman" w:hAnsi="Times New Roman" w:eastAsia="黑体"/>
          <w:b/>
          <w:bCs/>
          <w:sz w:val="24"/>
          <w:szCs w:val="24"/>
        </w:rPr>
        <w:t>9.</w:t>
      </w:r>
      <w:r>
        <w:rPr>
          <w:rFonts w:hint="eastAsia" w:ascii="Times New Roman" w:hAnsi="Times New Roman" w:eastAsia="黑体"/>
          <w:b/>
          <w:bCs/>
          <w:sz w:val="24"/>
          <w:szCs w:val="24"/>
          <w:lang w:val="en-US"/>
        </w:rPr>
        <w:t>5</w:t>
      </w:r>
      <w:r>
        <w:rPr>
          <w:rFonts w:ascii="Times New Roman" w:hAnsi="Times New Roman" w:eastAsia="黑体"/>
          <w:b/>
          <w:bCs/>
          <w:sz w:val="24"/>
          <w:szCs w:val="24"/>
        </w:rPr>
        <w:t xml:space="preserve"> </w:t>
      </w:r>
      <w:r>
        <w:rPr>
          <w:rFonts w:ascii="Times New Roman" w:hAnsi="Times New Roman" w:eastAsia="黑体"/>
          <w:sz w:val="24"/>
          <w:szCs w:val="24"/>
          <w:lang w:val="en-US"/>
        </w:rPr>
        <w:t xml:space="preserve"> </w:t>
      </w:r>
      <w:r>
        <w:rPr>
          <w:rFonts w:ascii="Times New Roman" w:hAnsi="Times New Roman" w:eastAsia="黑体"/>
          <w:sz w:val="24"/>
          <w:szCs w:val="24"/>
        </w:rPr>
        <w:t>燃气管道及设备安装工程</w:t>
      </w:r>
      <w:bookmarkEnd w:id="504"/>
      <w:bookmarkEnd w:id="505"/>
      <w:bookmarkEnd w:id="506"/>
      <w:bookmarkEnd w:id="507"/>
      <w:bookmarkEnd w:id="508"/>
      <w:bookmarkEnd w:id="509"/>
      <w:bookmarkEnd w:id="510"/>
      <w:bookmarkEnd w:id="511"/>
      <w:bookmarkEnd w:id="512"/>
    </w:p>
    <w:p w14:paraId="31CB5D91">
      <w:pPr>
        <w:spacing w:line="400" w:lineRule="exact"/>
        <w:rPr>
          <w:color w:val="000000"/>
          <w:szCs w:val="21"/>
        </w:rPr>
      </w:pPr>
      <w:r>
        <w:rPr>
          <w:b/>
          <w:bCs/>
          <w:color w:val="000000"/>
          <w:szCs w:val="21"/>
        </w:rPr>
        <w:t>9.</w:t>
      </w:r>
      <w:r>
        <w:rPr>
          <w:rFonts w:hint="eastAsia"/>
          <w:b/>
          <w:bCs/>
          <w:color w:val="000000"/>
          <w:szCs w:val="21"/>
        </w:rPr>
        <w:t>5</w:t>
      </w:r>
      <w:r>
        <w:rPr>
          <w:b/>
          <w:bCs/>
          <w:color w:val="000000"/>
          <w:szCs w:val="21"/>
        </w:rPr>
        <w:t>.1</w:t>
      </w:r>
      <w:r>
        <w:rPr>
          <w:color w:val="000000"/>
          <w:szCs w:val="21"/>
        </w:rPr>
        <w:t xml:space="preserve">  建筑内燃气设备的排气、排烟管道应专用并排放在室外安全处，排烟管道应有隔热防火、防水措施。</w:t>
      </w:r>
    </w:p>
    <w:p w14:paraId="64D109DC">
      <w:pPr>
        <w:pStyle w:val="10"/>
        <w:spacing w:line="400" w:lineRule="exact"/>
        <w:ind w:left="0" w:leftChars="0" w:firstLine="0" w:firstLineChars="0"/>
        <w:rPr>
          <w:color w:val="000000"/>
          <w:kern w:val="1"/>
          <w:szCs w:val="21"/>
        </w:rPr>
      </w:pPr>
      <w:r>
        <w:rPr>
          <w:b/>
          <w:bCs/>
          <w:color w:val="000000"/>
          <w:szCs w:val="21"/>
        </w:rPr>
        <w:t>9.</w:t>
      </w:r>
      <w:r>
        <w:rPr>
          <w:rFonts w:hint="eastAsia"/>
          <w:b/>
          <w:bCs/>
          <w:color w:val="000000"/>
          <w:szCs w:val="21"/>
        </w:rPr>
        <w:t>5</w:t>
      </w:r>
      <w:r>
        <w:rPr>
          <w:b/>
          <w:bCs/>
          <w:color w:val="000000"/>
          <w:szCs w:val="21"/>
        </w:rPr>
        <w:t>.2</w:t>
      </w:r>
      <w:r>
        <w:rPr>
          <w:color w:val="000000"/>
          <w:szCs w:val="21"/>
        </w:rPr>
        <w:t xml:space="preserve">  燃气管道与</w:t>
      </w:r>
      <w:r>
        <w:rPr>
          <w:rFonts w:hint="eastAsia"/>
          <w:color w:val="000000"/>
          <w:szCs w:val="21"/>
        </w:rPr>
        <w:t>其他</w:t>
      </w:r>
      <w:r>
        <w:rPr>
          <w:color w:val="000000"/>
          <w:szCs w:val="21"/>
        </w:rPr>
        <w:t>专业管道交叉安装时应留有安全距离。管道安装的垂直度、水平度、距墙尺寸及卡架、防腐应符合规范规定和设计要求。各类接口应严密，强度、严密性试验必须符合规范规定。</w:t>
      </w:r>
      <w:r>
        <w:rPr>
          <w:color w:val="000000"/>
          <w:kern w:val="1"/>
          <w:szCs w:val="21"/>
        </w:rPr>
        <w:t>燃气管道不得封闭安装，管道外表面应涂刷黄色面漆，面漆应均匀美观、</w:t>
      </w:r>
      <w:r>
        <w:rPr>
          <w:rFonts w:hint="eastAsia"/>
          <w:color w:val="000000"/>
          <w:kern w:val="1"/>
          <w:szCs w:val="21"/>
        </w:rPr>
        <w:t>标识</w:t>
      </w:r>
      <w:r>
        <w:rPr>
          <w:color w:val="000000"/>
          <w:kern w:val="1"/>
          <w:szCs w:val="21"/>
        </w:rPr>
        <w:t>清楚。</w:t>
      </w:r>
    </w:p>
    <w:p w14:paraId="791C9E51">
      <w:pPr>
        <w:spacing w:line="400" w:lineRule="exact"/>
        <w:rPr>
          <w:color w:val="000000"/>
          <w:szCs w:val="21"/>
        </w:rPr>
      </w:pPr>
      <w:r>
        <w:rPr>
          <w:b/>
          <w:bCs/>
          <w:color w:val="000000"/>
          <w:szCs w:val="21"/>
        </w:rPr>
        <w:t>9.</w:t>
      </w:r>
      <w:r>
        <w:rPr>
          <w:rFonts w:hint="eastAsia"/>
          <w:b/>
          <w:bCs/>
          <w:color w:val="000000"/>
          <w:szCs w:val="21"/>
        </w:rPr>
        <w:t>5</w:t>
      </w:r>
      <w:r>
        <w:rPr>
          <w:b/>
          <w:bCs/>
          <w:color w:val="000000"/>
          <w:szCs w:val="21"/>
        </w:rPr>
        <w:t xml:space="preserve">.3 </w:t>
      </w:r>
      <w:r>
        <w:rPr>
          <w:color w:val="000000"/>
          <w:szCs w:val="21"/>
        </w:rPr>
        <w:t xml:space="preserve"> 燃气设备安装应位置正确、固定牢固、无损伤，不得安装在非承重的地面、墙面上及易燃、易爆或对电气设施有安全影响的部位。安装必须符合防火、防水要求，应便于操作和检修，不应有遮挡或妨碍使用安全。</w:t>
      </w:r>
    </w:p>
    <w:p w14:paraId="14F853FF">
      <w:pPr>
        <w:spacing w:line="400" w:lineRule="exact"/>
        <w:rPr>
          <w:color w:val="000000"/>
          <w:szCs w:val="21"/>
        </w:rPr>
      </w:pPr>
      <w:r>
        <w:rPr>
          <w:b/>
          <w:bCs/>
          <w:color w:val="000000"/>
          <w:szCs w:val="21"/>
        </w:rPr>
        <w:t>9.</w:t>
      </w:r>
      <w:r>
        <w:rPr>
          <w:rFonts w:hint="eastAsia"/>
          <w:b/>
          <w:bCs/>
          <w:color w:val="000000"/>
          <w:szCs w:val="21"/>
        </w:rPr>
        <w:t>5</w:t>
      </w:r>
      <w:r>
        <w:rPr>
          <w:b/>
          <w:bCs/>
          <w:color w:val="000000"/>
          <w:szCs w:val="21"/>
        </w:rPr>
        <w:t xml:space="preserve">.4  </w:t>
      </w:r>
      <w:r>
        <w:rPr>
          <w:color w:val="000000"/>
          <w:szCs w:val="21"/>
        </w:rPr>
        <w:t>燃气器具的安装应位置正确、安装平整并牢固可靠。</w:t>
      </w:r>
    </w:p>
    <w:p w14:paraId="207C68D6">
      <w:pPr>
        <w:pStyle w:val="10"/>
        <w:spacing w:line="400" w:lineRule="exact"/>
        <w:ind w:left="0" w:leftChars="0" w:firstLine="0" w:firstLineChars="0"/>
        <w:rPr>
          <w:color w:val="000000"/>
          <w:szCs w:val="21"/>
        </w:rPr>
      </w:pPr>
      <w:r>
        <w:rPr>
          <w:b/>
          <w:bCs/>
          <w:color w:val="000000"/>
          <w:szCs w:val="21"/>
        </w:rPr>
        <w:t>9.</w:t>
      </w:r>
      <w:r>
        <w:rPr>
          <w:rFonts w:hint="eastAsia"/>
          <w:b/>
          <w:bCs/>
          <w:color w:val="000000"/>
          <w:szCs w:val="21"/>
        </w:rPr>
        <w:t>5</w:t>
      </w:r>
      <w:r>
        <w:rPr>
          <w:b/>
          <w:bCs/>
          <w:color w:val="000000"/>
          <w:szCs w:val="21"/>
        </w:rPr>
        <w:t>.5</w:t>
      </w:r>
      <w:r>
        <w:rPr>
          <w:color w:val="000000"/>
          <w:szCs w:val="21"/>
        </w:rPr>
        <w:t xml:space="preserve"> </w:t>
      </w:r>
      <w:r>
        <w:rPr>
          <w:rFonts w:hint="eastAsia"/>
          <w:color w:val="000000"/>
          <w:szCs w:val="21"/>
        </w:rPr>
        <w:t xml:space="preserve"> </w:t>
      </w:r>
      <w:r>
        <w:rPr>
          <w:color w:val="000000"/>
          <w:szCs w:val="21"/>
        </w:rPr>
        <w:t>燃气室外进户管的阀门应采取防止碰撞、误动的措施。</w:t>
      </w:r>
    </w:p>
    <w:p w14:paraId="17143A74">
      <w:pPr>
        <w:spacing w:line="360" w:lineRule="auto"/>
        <w:jc w:val="center"/>
        <w:rPr>
          <w:rStyle w:val="32"/>
          <w:rFonts w:ascii="Times New Roman" w:hAnsi="Times New Roman" w:eastAsia="黑体"/>
          <w:sz w:val="28"/>
          <w:szCs w:val="28"/>
          <w:lang w:val="en-US"/>
        </w:rPr>
      </w:pPr>
      <w:bookmarkStart w:id="513" w:name="_Toc2571"/>
      <w:bookmarkStart w:id="514" w:name="_Toc24375"/>
      <w:bookmarkStart w:id="515" w:name="_Toc29429"/>
      <w:bookmarkStart w:id="516" w:name="_Toc30516"/>
      <w:r>
        <w:rPr>
          <w:rFonts w:eastAsia="黑体"/>
          <w:b/>
          <w:bCs/>
          <w:color w:val="000000"/>
          <w:sz w:val="28"/>
          <w:szCs w:val="28"/>
        </w:rPr>
        <w:br w:type="column"/>
      </w:r>
      <w:bookmarkStart w:id="517" w:name="_Toc23761"/>
      <w:bookmarkStart w:id="518" w:name="_Toc23023"/>
      <w:bookmarkStart w:id="519" w:name="_Toc5129"/>
      <w:bookmarkStart w:id="520" w:name="_Toc6616"/>
      <w:bookmarkStart w:id="521" w:name="_Toc15277"/>
      <w:bookmarkStart w:id="522" w:name="_Toc29335_WPSOffice_Level1"/>
      <w:r>
        <w:rPr>
          <w:rStyle w:val="32"/>
          <w:rFonts w:ascii="Times New Roman" w:hAnsi="Times New Roman" w:eastAsia="黑体"/>
          <w:b/>
          <w:bCs/>
          <w:sz w:val="28"/>
          <w:szCs w:val="28"/>
          <w:lang w:val="en-US"/>
        </w:rPr>
        <w:t>10</w:t>
      </w:r>
      <w:r>
        <w:rPr>
          <w:rStyle w:val="32"/>
          <w:rFonts w:ascii="Times New Roman" w:hAnsi="Times New Roman" w:eastAsia="黑体"/>
          <w:sz w:val="28"/>
          <w:szCs w:val="28"/>
          <w:lang w:val="en-US"/>
        </w:rPr>
        <w:t xml:space="preserve">  改造工程</w:t>
      </w:r>
    </w:p>
    <w:bookmarkEnd w:id="517"/>
    <w:bookmarkEnd w:id="518"/>
    <w:bookmarkEnd w:id="519"/>
    <w:bookmarkEnd w:id="520"/>
    <w:bookmarkEnd w:id="521"/>
    <w:p w14:paraId="02622CDE">
      <w:pPr>
        <w:pStyle w:val="4"/>
        <w:numPr>
          <w:ilvl w:val="0"/>
          <w:numId w:val="0"/>
        </w:numPr>
        <w:spacing w:before="312" w:beforeLines="100" w:line="400" w:lineRule="exact"/>
        <w:jc w:val="center"/>
        <w:rPr>
          <w:rFonts w:ascii="Times New Roman" w:hAnsi="Times New Roman" w:eastAsia="黑体"/>
          <w:sz w:val="24"/>
          <w:szCs w:val="24"/>
        </w:rPr>
      </w:pPr>
      <w:bookmarkStart w:id="523" w:name="_Toc28980"/>
      <w:bookmarkStart w:id="524" w:name="_Toc15510"/>
      <w:bookmarkStart w:id="525" w:name="_Toc13406"/>
      <w:bookmarkStart w:id="526" w:name="_Toc18840"/>
      <w:bookmarkStart w:id="527" w:name="_Toc5370"/>
      <w:r>
        <w:rPr>
          <w:rFonts w:ascii="Times New Roman" w:hAnsi="Times New Roman" w:eastAsia="黑体"/>
          <w:b/>
          <w:bCs/>
          <w:sz w:val="24"/>
          <w:szCs w:val="24"/>
        </w:rPr>
        <w:t>10.1</w:t>
      </w:r>
      <w:r>
        <w:rPr>
          <w:rFonts w:ascii="Times New Roman" w:hAnsi="Times New Roman" w:eastAsia="黑体"/>
          <w:sz w:val="24"/>
          <w:szCs w:val="24"/>
          <w:lang w:val="en-US"/>
        </w:rPr>
        <w:t xml:space="preserve">  </w:t>
      </w:r>
      <w:r>
        <w:rPr>
          <w:rFonts w:ascii="Times New Roman" w:hAnsi="Times New Roman" w:eastAsia="黑体"/>
          <w:sz w:val="24"/>
          <w:szCs w:val="24"/>
        </w:rPr>
        <w:t>一般规定</w:t>
      </w:r>
      <w:bookmarkEnd w:id="523"/>
      <w:bookmarkEnd w:id="524"/>
      <w:bookmarkEnd w:id="525"/>
      <w:bookmarkEnd w:id="526"/>
      <w:bookmarkEnd w:id="527"/>
    </w:p>
    <w:p w14:paraId="75E4FDA7">
      <w:pPr>
        <w:spacing w:line="400" w:lineRule="exact"/>
        <w:rPr>
          <w:color w:val="000000"/>
          <w:szCs w:val="21"/>
        </w:rPr>
      </w:pPr>
      <w:r>
        <w:rPr>
          <w:b/>
          <w:bCs/>
          <w:color w:val="000000"/>
          <w:szCs w:val="21"/>
        </w:rPr>
        <w:t xml:space="preserve">10.1.1  </w:t>
      </w:r>
      <w:r>
        <w:rPr>
          <w:color w:val="000000"/>
          <w:szCs w:val="21"/>
        </w:rPr>
        <w:t>建筑改造工程包括既有建筑的拆除、结构加固、增设电梯、外墙外保温、门窗幕墙、防水、屋面、屋面平改坡、供水、排水、供电、安防、生活垃圾分类、室外广场、室外道路、停车场及停车设施等施工项目。其施工质量应符合国家现行有关标准和设计要求。</w:t>
      </w:r>
    </w:p>
    <w:p w14:paraId="6993F319">
      <w:pPr>
        <w:spacing w:line="400" w:lineRule="exact"/>
        <w:rPr>
          <w:color w:val="000000"/>
          <w:szCs w:val="21"/>
        </w:rPr>
      </w:pPr>
      <w:r>
        <w:rPr>
          <w:b/>
          <w:bCs/>
          <w:color w:val="000000"/>
          <w:szCs w:val="21"/>
        </w:rPr>
        <w:t xml:space="preserve">10.1.2  </w:t>
      </w:r>
      <w:r>
        <w:rPr>
          <w:color w:val="000000"/>
          <w:szCs w:val="21"/>
        </w:rPr>
        <w:t>改造工程应施工手续齐全，设计文件合法有效，满足结构安全、消防、节能、隔声等功能要求。</w:t>
      </w:r>
    </w:p>
    <w:p w14:paraId="447E4770">
      <w:pPr>
        <w:spacing w:line="400" w:lineRule="exact"/>
        <w:rPr>
          <w:color w:val="000000"/>
          <w:szCs w:val="21"/>
        </w:rPr>
      </w:pPr>
      <w:r>
        <w:rPr>
          <w:b/>
          <w:bCs/>
          <w:color w:val="000000"/>
          <w:szCs w:val="21"/>
        </w:rPr>
        <w:t xml:space="preserve">10.1.3  </w:t>
      </w:r>
      <w:r>
        <w:rPr>
          <w:color w:val="000000"/>
          <w:szCs w:val="21"/>
        </w:rPr>
        <w:t>改造工程应编制施工组织设计或专项施工方案，方案应明确改造范围、改造内容及相关技术指标。对于改造体量大、结构复杂的项目还应根据相应的政府文件要求，组织专家论证。</w:t>
      </w:r>
    </w:p>
    <w:p w14:paraId="28A19DCA">
      <w:pPr>
        <w:spacing w:line="400" w:lineRule="exact"/>
        <w:rPr>
          <w:color w:val="000000"/>
          <w:szCs w:val="21"/>
        </w:rPr>
      </w:pPr>
      <w:bookmarkStart w:id="528" w:name="_Hlk141253377"/>
      <w:r>
        <w:rPr>
          <w:b/>
          <w:bCs/>
          <w:color w:val="000000"/>
          <w:szCs w:val="21"/>
        </w:rPr>
        <w:t xml:space="preserve">10.1.4  </w:t>
      </w:r>
      <w:r>
        <w:rPr>
          <w:color w:val="000000"/>
          <w:szCs w:val="21"/>
        </w:rPr>
        <w:t>改造工程不应破坏原结构</w:t>
      </w:r>
      <w:r>
        <w:rPr>
          <w:rFonts w:hint="eastAsia"/>
          <w:color w:val="000000"/>
          <w:szCs w:val="21"/>
        </w:rPr>
        <w:t>安全性能</w:t>
      </w:r>
      <w:r>
        <w:rPr>
          <w:color w:val="000000"/>
          <w:szCs w:val="21"/>
        </w:rPr>
        <w:t>，新增构件应按变形协调原则进行地基变形验算，保证与原结构协同受力或变形协调。</w:t>
      </w:r>
    </w:p>
    <w:bookmarkEnd w:id="528"/>
    <w:p w14:paraId="73732974">
      <w:pPr>
        <w:spacing w:line="400" w:lineRule="exact"/>
        <w:rPr>
          <w:color w:val="000000"/>
          <w:szCs w:val="21"/>
        </w:rPr>
      </w:pPr>
      <w:r>
        <w:rPr>
          <w:b/>
          <w:bCs/>
          <w:color w:val="000000"/>
          <w:szCs w:val="21"/>
        </w:rPr>
        <w:t xml:space="preserve">10.1.5  </w:t>
      </w:r>
      <w:r>
        <w:rPr>
          <w:color w:val="000000"/>
          <w:szCs w:val="21"/>
        </w:rPr>
        <w:t>屋顶改造应</w:t>
      </w:r>
      <w:r>
        <w:rPr>
          <w:color w:val="000000"/>
          <w:kern w:val="0"/>
          <w:szCs w:val="21"/>
        </w:rPr>
        <w:t>确保</w:t>
      </w:r>
      <w:r>
        <w:rPr>
          <w:color w:val="000000"/>
          <w:szCs w:val="21"/>
        </w:rPr>
        <w:t>屋顶承重安全、使用功能和防护安全。</w:t>
      </w:r>
    </w:p>
    <w:p w14:paraId="063D8730">
      <w:pPr>
        <w:spacing w:line="400" w:lineRule="exact"/>
        <w:rPr>
          <w:color w:val="000000"/>
          <w:szCs w:val="21"/>
        </w:rPr>
      </w:pPr>
      <w:r>
        <w:rPr>
          <w:b/>
          <w:bCs/>
          <w:color w:val="000000"/>
          <w:szCs w:val="21"/>
        </w:rPr>
        <w:t xml:space="preserve">10.1.6  </w:t>
      </w:r>
      <w:r>
        <w:rPr>
          <w:color w:val="000000"/>
          <w:szCs w:val="21"/>
        </w:rPr>
        <w:t>改造工程使用的主要材料、半成品、成品、构配件、设备及器具等，应进行进场检验。涉及安全、节能、环境保护和主要使用功能的重要材料和产品，应按各专业工程施工规范、验收规范和设计文件等规定进行复验，并应经监理检查认可。</w:t>
      </w:r>
    </w:p>
    <w:p w14:paraId="40CCD410">
      <w:pPr>
        <w:spacing w:line="400" w:lineRule="exact"/>
        <w:rPr>
          <w:color w:val="000000"/>
          <w:szCs w:val="21"/>
        </w:rPr>
      </w:pPr>
      <w:r>
        <w:rPr>
          <w:b/>
          <w:bCs/>
          <w:color w:val="000000"/>
          <w:szCs w:val="21"/>
        </w:rPr>
        <w:t xml:space="preserve">10.1.7  </w:t>
      </w:r>
      <w:r>
        <w:rPr>
          <w:color w:val="000000"/>
          <w:szCs w:val="21"/>
        </w:rPr>
        <w:t>改造时应对</w:t>
      </w:r>
      <w:r>
        <w:rPr>
          <w:color w:val="000000"/>
          <w:kern w:val="0"/>
          <w:szCs w:val="21"/>
        </w:rPr>
        <w:t>室内</w:t>
      </w:r>
      <w:r>
        <w:rPr>
          <w:color w:val="000000"/>
          <w:szCs w:val="21"/>
        </w:rPr>
        <w:t>环境污染进行严格控制，不得使用国家</w:t>
      </w:r>
      <w:r>
        <w:rPr>
          <w:rFonts w:hint="eastAsia"/>
          <w:color w:val="000000"/>
          <w:szCs w:val="21"/>
        </w:rPr>
        <w:t>及北京市</w:t>
      </w:r>
      <w:r>
        <w:rPr>
          <w:color w:val="000000"/>
          <w:szCs w:val="21"/>
        </w:rPr>
        <w:t>禁止使用、限制使用的建筑材料。</w:t>
      </w:r>
    </w:p>
    <w:p w14:paraId="38017A0D">
      <w:pPr>
        <w:pStyle w:val="4"/>
        <w:numPr>
          <w:ilvl w:val="0"/>
          <w:numId w:val="0"/>
        </w:numPr>
        <w:spacing w:before="312" w:beforeLines="100" w:line="400" w:lineRule="exact"/>
        <w:jc w:val="center"/>
        <w:rPr>
          <w:rFonts w:ascii="Times New Roman" w:hAnsi="Times New Roman" w:eastAsia="黑体"/>
          <w:sz w:val="24"/>
          <w:szCs w:val="24"/>
        </w:rPr>
      </w:pPr>
      <w:bookmarkStart w:id="529" w:name="_Toc26946"/>
      <w:bookmarkStart w:id="530" w:name="_Toc23809"/>
      <w:bookmarkStart w:id="531" w:name="_Toc15369"/>
      <w:bookmarkStart w:id="532" w:name="_Toc21292"/>
      <w:bookmarkStart w:id="533" w:name="_Toc25531"/>
      <w:r>
        <w:rPr>
          <w:rFonts w:ascii="Times New Roman" w:hAnsi="Times New Roman" w:eastAsia="黑体"/>
          <w:b/>
          <w:bCs/>
          <w:sz w:val="24"/>
          <w:szCs w:val="24"/>
        </w:rPr>
        <w:t>10.2</w:t>
      </w:r>
      <w:r>
        <w:rPr>
          <w:rFonts w:ascii="Times New Roman" w:hAnsi="Times New Roman" w:eastAsia="黑体"/>
          <w:sz w:val="24"/>
          <w:szCs w:val="24"/>
        </w:rPr>
        <w:t xml:space="preserve"> </w:t>
      </w:r>
      <w:r>
        <w:rPr>
          <w:rFonts w:ascii="Times New Roman" w:hAnsi="Times New Roman" w:eastAsia="黑体"/>
          <w:sz w:val="24"/>
          <w:szCs w:val="24"/>
          <w:lang w:val="en-US"/>
        </w:rPr>
        <w:t xml:space="preserve"> </w:t>
      </w:r>
      <w:r>
        <w:rPr>
          <w:rFonts w:ascii="Times New Roman" w:hAnsi="Times New Roman" w:eastAsia="黑体"/>
          <w:sz w:val="24"/>
          <w:szCs w:val="24"/>
        </w:rPr>
        <w:t>拆除工程</w:t>
      </w:r>
      <w:bookmarkEnd w:id="529"/>
      <w:bookmarkEnd w:id="530"/>
      <w:bookmarkEnd w:id="531"/>
      <w:bookmarkEnd w:id="532"/>
      <w:bookmarkEnd w:id="533"/>
    </w:p>
    <w:p w14:paraId="2E851DCB">
      <w:pPr>
        <w:spacing w:line="400" w:lineRule="exact"/>
        <w:rPr>
          <w:color w:val="000000"/>
          <w:szCs w:val="21"/>
        </w:rPr>
      </w:pPr>
      <w:r>
        <w:rPr>
          <w:b/>
          <w:bCs/>
          <w:color w:val="000000"/>
          <w:szCs w:val="21"/>
        </w:rPr>
        <w:t xml:space="preserve">10.2.1  </w:t>
      </w:r>
      <w:r>
        <w:rPr>
          <w:color w:val="000000"/>
          <w:szCs w:val="21"/>
        </w:rPr>
        <w:t>拆除工程施工前，应编制施工组织设计、安全专项施工方案和生产安全事故应急预案。对</w:t>
      </w:r>
      <w:r>
        <w:rPr>
          <w:rFonts w:hint="eastAsia"/>
          <w:color w:val="000000"/>
          <w:szCs w:val="21"/>
        </w:rPr>
        <w:t>超过一定规模的</w:t>
      </w:r>
      <w:r>
        <w:rPr>
          <w:color w:val="000000"/>
          <w:szCs w:val="21"/>
        </w:rPr>
        <w:t>危险性较大的拆除工程</w:t>
      </w:r>
      <w:r>
        <w:rPr>
          <w:color w:val="000000"/>
          <w:kern w:val="0"/>
          <w:szCs w:val="21"/>
        </w:rPr>
        <w:t>专项</w:t>
      </w:r>
      <w:r>
        <w:rPr>
          <w:color w:val="000000"/>
          <w:szCs w:val="21"/>
        </w:rPr>
        <w:t>施工方案，应按相关规定组织专家论证。</w:t>
      </w:r>
    </w:p>
    <w:p w14:paraId="20E63A6C">
      <w:pPr>
        <w:spacing w:line="400" w:lineRule="exact"/>
        <w:rPr>
          <w:color w:val="000000"/>
          <w:szCs w:val="21"/>
        </w:rPr>
      </w:pPr>
      <w:r>
        <w:rPr>
          <w:b/>
          <w:bCs/>
          <w:color w:val="000000"/>
          <w:szCs w:val="21"/>
        </w:rPr>
        <w:t>10.2.</w:t>
      </w:r>
      <w:r>
        <w:rPr>
          <w:rFonts w:hint="eastAsia"/>
          <w:b/>
          <w:bCs/>
          <w:color w:val="000000"/>
          <w:szCs w:val="21"/>
        </w:rPr>
        <w:t>2</w:t>
      </w:r>
      <w:r>
        <w:rPr>
          <w:b/>
          <w:bCs/>
          <w:color w:val="000000"/>
          <w:szCs w:val="21"/>
        </w:rPr>
        <w:t xml:space="preserve">  </w:t>
      </w:r>
      <w:r>
        <w:rPr>
          <w:color w:val="000000"/>
          <w:szCs w:val="21"/>
        </w:rPr>
        <w:t>拆除的构件及物料应分类码放及时清理并进行资源化利用。</w:t>
      </w:r>
    </w:p>
    <w:p w14:paraId="2C283156">
      <w:pPr>
        <w:spacing w:line="400" w:lineRule="exact"/>
        <w:rPr>
          <w:color w:val="000000"/>
          <w:szCs w:val="21"/>
        </w:rPr>
      </w:pPr>
      <w:r>
        <w:rPr>
          <w:b/>
          <w:bCs/>
          <w:color w:val="000000"/>
          <w:szCs w:val="21"/>
        </w:rPr>
        <w:t>10.2.</w:t>
      </w:r>
      <w:r>
        <w:rPr>
          <w:rFonts w:hint="eastAsia"/>
          <w:b/>
          <w:bCs/>
          <w:color w:val="000000"/>
          <w:szCs w:val="21"/>
        </w:rPr>
        <w:t>3</w:t>
      </w:r>
      <w:r>
        <w:rPr>
          <w:b/>
          <w:bCs/>
          <w:color w:val="000000"/>
          <w:szCs w:val="21"/>
        </w:rPr>
        <w:t xml:space="preserve"> </w:t>
      </w:r>
      <w:r>
        <w:rPr>
          <w:rFonts w:hint="eastAsia"/>
          <w:b/>
          <w:bCs/>
          <w:color w:val="000000"/>
          <w:szCs w:val="21"/>
        </w:rPr>
        <w:t xml:space="preserve"> </w:t>
      </w:r>
      <w:r>
        <w:rPr>
          <w:color w:val="000000"/>
          <w:szCs w:val="21"/>
        </w:rPr>
        <w:t>拆除过程应留存影像资料。</w:t>
      </w:r>
    </w:p>
    <w:p w14:paraId="204DB728">
      <w:pPr>
        <w:spacing w:line="400" w:lineRule="exact"/>
        <w:rPr>
          <w:color w:val="000000"/>
          <w:szCs w:val="21"/>
        </w:rPr>
      </w:pPr>
      <w:r>
        <w:rPr>
          <w:rFonts w:hint="eastAsia"/>
          <w:b/>
          <w:bCs/>
          <w:color w:val="000000"/>
          <w:szCs w:val="21"/>
        </w:rPr>
        <w:t>10.2.4</w:t>
      </w:r>
      <w:r>
        <w:rPr>
          <w:rFonts w:hint="eastAsia"/>
          <w:color w:val="000000"/>
          <w:szCs w:val="21"/>
        </w:rPr>
        <w:t xml:space="preserve">  拆除工作应符合</w:t>
      </w:r>
      <w:r>
        <w:rPr>
          <w:rFonts w:hint="eastAsia"/>
          <w:color w:val="000000"/>
          <w:szCs w:val="21"/>
          <w:lang w:val="en-US" w:eastAsia="zh-CN"/>
        </w:rPr>
        <w:t>现行行业标准</w:t>
      </w:r>
      <w:r>
        <w:rPr>
          <w:rFonts w:hint="eastAsia"/>
          <w:color w:val="000000"/>
          <w:szCs w:val="21"/>
        </w:rPr>
        <w:t>《建筑拆除工程安全技术规程》JGJ</w:t>
      </w:r>
      <w:r>
        <w:rPr>
          <w:color w:val="000000"/>
          <w:szCs w:val="21"/>
        </w:rPr>
        <w:t xml:space="preserve"> </w:t>
      </w:r>
      <w:r>
        <w:rPr>
          <w:rFonts w:hint="eastAsia"/>
          <w:color w:val="000000"/>
          <w:szCs w:val="21"/>
        </w:rPr>
        <w:t>147的相关规定。</w:t>
      </w:r>
    </w:p>
    <w:p w14:paraId="53EDE0A9">
      <w:pPr>
        <w:spacing w:line="400" w:lineRule="exact"/>
        <w:rPr>
          <w:color w:val="000000"/>
          <w:szCs w:val="21"/>
        </w:rPr>
      </w:pPr>
      <w:r>
        <w:rPr>
          <w:rFonts w:hint="eastAsia"/>
          <w:b/>
          <w:bCs/>
          <w:color w:val="000000"/>
          <w:szCs w:val="21"/>
        </w:rPr>
        <w:t>10.2.5</w:t>
      </w:r>
      <w:r>
        <w:rPr>
          <w:rFonts w:hint="eastAsia"/>
          <w:color w:val="000000"/>
          <w:szCs w:val="21"/>
        </w:rPr>
        <w:t xml:space="preserve">  结构拆除有物理拆除法（水钻机、挖掘机、水锯等）、化学拆除法（水泥凝胶、破碎剂等）及其他拆除方法，实施过程应落实完备的安全防护措施，特别是含有预应力结构的拆除。</w:t>
      </w:r>
    </w:p>
    <w:p w14:paraId="3E4A07D5">
      <w:pPr>
        <w:pStyle w:val="4"/>
        <w:numPr>
          <w:ilvl w:val="0"/>
          <w:numId w:val="0"/>
        </w:numPr>
        <w:spacing w:before="312" w:beforeLines="100" w:line="400" w:lineRule="exact"/>
        <w:jc w:val="center"/>
        <w:rPr>
          <w:rFonts w:ascii="Times New Roman" w:hAnsi="Times New Roman" w:eastAsia="黑体"/>
          <w:sz w:val="24"/>
          <w:szCs w:val="24"/>
          <w:lang w:val="en-US"/>
        </w:rPr>
      </w:pPr>
      <w:bookmarkStart w:id="534" w:name="_Toc21232"/>
      <w:bookmarkStart w:id="535" w:name="_Toc20032"/>
      <w:bookmarkStart w:id="536" w:name="_Toc22975"/>
      <w:bookmarkStart w:id="537" w:name="_Toc5313"/>
      <w:bookmarkStart w:id="538" w:name="_Toc28953"/>
      <w:bookmarkStart w:id="539" w:name="_Toc24274"/>
      <w:r>
        <w:rPr>
          <w:rFonts w:ascii="Times New Roman" w:hAnsi="Times New Roman" w:eastAsia="黑体"/>
          <w:b/>
          <w:bCs/>
          <w:sz w:val="24"/>
          <w:szCs w:val="24"/>
        </w:rPr>
        <w:t>10.3</w:t>
      </w:r>
      <w:r>
        <w:rPr>
          <w:rFonts w:ascii="Times New Roman" w:hAnsi="Times New Roman" w:eastAsia="黑体"/>
          <w:sz w:val="24"/>
          <w:szCs w:val="24"/>
        </w:rPr>
        <w:t xml:space="preserve">  </w:t>
      </w:r>
      <w:r>
        <w:rPr>
          <w:rFonts w:hint="eastAsia" w:ascii="Times New Roman" w:hAnsi="Times New Roman" w:eastAsia="黑体"/>
          <w:sz w:val="24"/>
          <w:szCs w:val="24"/>
          <w:lang w:val="en-US"/>
        </w:rPr>
        <w:t>地基</w:t>
      </w:r>
      <w:r>
        <w:rPr>
          <w:rFonts w:ascii="Times New Roman" w:hAnsi="Times New Roman" w:eastAsia="黑体"/>
          <w:sz w:val="24"/>
          <w:szCs w:val="24"/>
        </w:rPr>
        <w:t>基础结构加固</w:t>
      </w:r>
      <w:bookmarkEnd w:id="534"/>
      <w:r>
        <w:rPr>
          <w:rFonts w:hint="eastAsia" w:ascii="Times New Roman" w:hAnsi="Times New Roman" w:eastAsia="黑体"/>
          <w:sz w:val="24"/>
          <w:szCs w:val="24"/>
          <w:lang w:val="en-US"/>
        </w:rPr>
        <w:t>工程</w:t>
      </w:r>
      <w:bookmarkEnd w:id="535"/>
      <w:bookmarkEnd w:id="536"/>
      <w:bookmarkEnd w:id="537"/>
      <w:bookmarkEnd w:id="538"/>
    </w:p>
    <w:p w14:paraId="015465C9">
      <w:pPr>
        <w:spacing w:line="400" w:lineRule="exact"/>
        <w:rPr>
          <w:color w:val="000000"/>
          <w:szCs w:val="22"/>
        </w:rPr>
      </w:pPr>
      <w:r>
        <w:rPr>
          <w:b/>
          <w:color w:val="000000"/>
          <w:szCs w:val="22"/>
        </w:rPr>
        <w:t xml:space="preserve">10.3.1  </w:t>
      </w:r>
      <w:r>
        <w:rPr>
          <w:color w:val="000000"/>
          <w:szCs w:val="22"/>
        </w:rPr>
        <w:t>基础结构加固有基础补强注浆加固法、扩大基础、锚杆静压桩、树根桩、坑式静压桩、注浆加固、</w:t>
      </w:r>
      <w:r>
        <w:rPr>
          <w:color w:val="000000"/>
          <w:kern w:val="0"/>
          <w:szCs w:val="21"/>
        </w:rPr>
        <w:t>石灰</w:t>
      </w:r>
      <w:r>
        <w:rPr>
          <w:color w:val="000000"/>
          <w:szCs w:val="22"/>
        </w:rPr>
        <w:t>桩及其他地基基础加固方法。</w:t>
      </w:r>
    </w:p>
    <w:p w14:paraId="683F0EAB">
      <w:pPr>
        <w:spacing w:line="400" w:lineRule="exact"/>
        <w:rPr>
          <w:color w:val="000000"/>
          <w:szCs w:val="22"/>
        </w:rPr>
      </w:pPr>
      <w:r>
        <w:rPr>
          <w:b/>
          <w:color w:val="000000"/>
          <w:szCs w:val="22"/>
        </w:rPr>
        <w:t xml:space="preserve">10.3.2  </w:t>
      </w:r>
      <w:r>
        <w:rPr>
          <w:color w:val="000000"/>
          <w:szCs w:val="22"/>
        </w:rPr>
        <w:t>地基基础加固工程的施工及质量验收应满足设计及国家现行标准《建筑地基基础工程施工规范》</w:t>
      </w:r>
      <w:r>
        <w:rPr>
          <w:color w:val="000000"/>
          <w:kern w:val="0"/>
          <w:szCs w:val="21"/>
        </w:rPr>
        <w:t>GB 51004</w:t>
      </w:r>
      <w:r>
        <w:rPr>
          <w:color w:val="000000"/>
          <w:szCs w:val="22"/>
        </w:rPr>
        <w:t>、《建筑地基基础工程施工质量验收</w:t>
      </w:r>
      <w:r>
        <w:rPr>
          <w:rFonts w:hint="eastAsia"/>
          <w:color w:val="000000"/>
          <w:szCs w:val="22"/>
        </w:rPr>
        <w:t>标准</w:t>
      </w:r>
      <w:r>
        <w:rPr>
          <w:color w:val="000000"/>
          <w:szCs w:val="22"/>
        </w:rPr>
        <w:t>》GB 50202、《既有建筑地基基础加固技术规范》JGJ 123及有关专业规范、规程、标准的要求。</w:t>
      </w:r>
    </w:p>
    <w:p w14:paraId="6DBA2D21">
      <w:pPr>
        <w:spacing w:line="400" w:lineRule="exact"/>
        <w:rPr>
          <w:color w:val="000000"/>
          <w:szCs w:val="22"/>
        </w:rPr>
      </w:pPr>
      <w:r>
        <w:rPr>
          <w:b/>
          <w:color w:val="000000"/>
          <w:szCs w:val="22"/>
        </w:rPr>
        <w:t xml:space="preserve">10.3.3  </w:t>
      </w:r>
      <w:r>
        <w:rPr>
          <w:color w:val="000000"/>
          <w:szCs w:val="22"/>
        </w:rPr>
        <w:t>地基基础加固应依据设计要求、施工方案和国家、地方现行标准的要求，抽查新增基础质量、新、旧基础连接质量、基础补强加固后复合地基质量。</w:t>
      </w:r>
    </w:p>
    <w:p w14:paraId="737DECF4">
      <w:pPr>
        <w:spacing w:line="400" w:lineRule="exact"/>
        <w:rPr>
          <w:color w:val="000000"/>
          <w:szCs w:val="22"/>
        </w:rPr>
      </w:pPr>
      <w:r>
        <w:rPr>
          <w:b/>
          <w:color w:val="000000"/>
          <w:szCs w:val="22"/>
        </w:rPr>
        <w:t xml:space="preserve">10.3.4  </w:t>
      </w:r>
      <w:r>
        <w:rPr>
          <w:color w:val="000000"/>
          <w:szCs w:val="22"/>
        </w:rPr>
        <w:t>地基</w:t>
      </w:r>
      <w:r>
        <w:rPr>
          <w:color w:val="000000"/>
          <w:kern w:val="0"/>
          <w:szCs w:val="21"/>
        </w:rPr>
        <w:t>基础</w:t>
      </w:r>
      <w:r>
        <w:rPr>
          <w:color w:val="000000"/>
          <w:szCs w:val="22"/>
        </w:rPr>
        <w:t>加固或增加荷载过程中，应在施工和使用期间进行沉降观测直至稳定为止。</w:t>
      </w:r>
    </w:p>
    <w:p w14:paraId="639132D7">
      <w:pPr>
        <w:spacing w:line="400" w:lineRule="exact"/>
        <w:rPr>
          <w:color w:val="000000"/>
          <w:szCs w:val="22"/>
        </w:rPr>
      </w:pPr>
      <w:r>
        <w:rPr>
          <w:b/>
          <w:color w:val="000000"/>
          <w:szCs w:val="22"/>
        </w:rPr>
        <w:t xml:space="preserve">10.3.5  </w:t>
      </w:r>
      <w:r>
        <w:rPr>
          <w:color w:val="000000"/>
          <w:szCs w:val="22"/>
        </w:rPr>
        <w:t>基础补强注浆加固适用于因不均匀沉降、冻胀或其他原因引起的基础裂损的加固，加固质量应符合下列规定：</w:t>
      </w:r>
    </w:p>
    <w:p w14:paraId="4EB19234">
      <w:pPr>
        <w:spacing w:line="440" w:lineRule="exact"/>
        <w:ind w:firstLine="422" w:firstLineChars="200"/>
        <w:rPr>
          <w:color w:val="000000"/>
          <w:szCs w:val="22"/>
        </w:rPr>
      </w:pPr>
      <w:r>
        <w:rPr>
          <w:b/>
          <w:bCs/>
          <w:color w:val="000000"/>
          <w:szCs w:val="22"/>
        </w:rPr>
        <w:t>1</w:t>
      </w:r>
      <w:r>
        <w:rPr>
          <w:color w:val="000000"/>
          <w:szCs w:val="22"/>
        </w:rPr>
        <w:t xml:space="preserve">  基础补强注浆加固的钻孔位置，注浆浆液材料，注浆压力，注浆时间应符合</w:t>
      </w:r>
      <w:r>
        <w:rPr>
          <w:rFonts w:hint="eastAsia"/>
          <w:color w:val="000000"/>
          <w:szCs w:val="22"/>
          <w:lang w:val="en-US" w:eastAsia="zh-CN"/>
        </w:rPr>
        <w:t>现行行业标准</w:t>
      </w:r>
      <w:r>
        <w:rPr>
          <w:color w:val="000000"/>
          <w:szCs w:val="22"/>
        </w:rPr>
        <w:t>《既有建筑地基基础加固技术规范》JGJ 123的要求；</w:t>
      </w:r>
    </w:p>
    <w:p w14:paraId="32A7C6C3">
      <w:pPr>
        <w:spacing w:line="440" w:lineRule="exact"/>
        <w:ind w:firstLine="422" w:firstLineChars="200"/>
        <w:rPr>
          <w:color w:val="000000"/>
          <w:szCs w:val="22"/>
        </w:rPr>
      </w:pPr>
      <w:r>
        <w:rPr>
          <w:b/>
          <w:bCs/>
          <w:color w:val="000000"/>
          <w:szCs w:val="22"/>
        </w:rPr>
        <w:t>2</w:t>
      </w:r>
      <w:r>
        <w:rPr>
          <w:color w:val="000000"/>
          <w:szCs w:val="22"/>
        </w:rPr>
        <w:t xml:space="preserve">  基础补强注浆加固后的基础承载力应符合设计要求。</w:t>
      </w:r>
    </w:p>
    <w:p w14:paraId="78D3A915">
      <w:pPr>
        <w:spacing w:line="400" w:lineRule="exact"/>
        <w:rPr>
          <w:color w:val="000000"/>
          <w:szCs w:val="22"/>
        </w:rPr>
      </w:pPr>
      <w:r>
        <w:rPr>
          <w:b/>
          <w:color w:val="000000"/>
          <w:szCs w:val="22"/>
        </w:rPr>
        <w:t xml:space="preserve">10.3.6  </w:t>
      </w:r>
      <w:r>
        <w:rPr>
          <w:color w:val="000000"/>
          <w:szCs w:val="22"/>
        </w:rPr>
        <w:t>扩大基础</w:t>
      </w:r>
      <w:r>
        <w:rPr>
          <w:color w:val="000000"/>
          <w:kern w:val="0"/>
          <w:szCs w:val="21"/>
        </w:rPr>
        <w:t>加固</w:t>
      </w:r>
      <w:r>
        <w:rPr>
          <w:color w:val="000000"/>
          <w:szCs w:val="22"/>
        </w:rPr>
        <w:t>，应重点控制扩大基础的施工顺序应合理，新、</w:t>
      </w:r>
      <w:r>
        <w:rPr>
          <w:rFonts w:hint="eastAsia"/>
          <w:color w:val="000000"/>
          <w:szCs w:val="22"/>
        </w:rPr>
        <w:t>旧</w:t>
      </w:r>
      <w:r>
        <w:rPr>
          <w:color w:val="000000"/>
          <w:szCs w:val="22"/>
        </w:rPr>
        <w:t>混凝土连接应牢固。</w:t>
      </w:r>
    </w:p>
    <w:p w14:paraId="3F037DB9">
      <w:pPr>
        <w:spacing w:line="400" w:lineRule="exact"/>
        <w:rPr>
          <w:color w:val="000000"/>
          <w:szCs w:val="22"/>
        </w:rPr>
      </w:pPr>
      <w:r>
        <w:rPr>
          <w:b/>
          <w:color w:val="000000"/>
          <w:szCs w:val="22"/>
        </w:rPr>
        <w:t xml:space="preserve">10.3.7 </w:t>
      </w:r>
      <w:r>
        <w:rPr>
          <w:color w:val="000000"/>
          <w:szCs w:val="22"/>
        </w:rPr>
        <w:t xml:space="preserve"> 锚杆静压桩法适用于淤泥、淤泥质土、黏性土、粉土、人工填土、湿陷性黄土等地基加固，加固质量应符合下列规定：</w:t>
      </w:r>
    </w:p>
    <w:p w14:paraId="0185A3E3">
      <w:pPr>
        <w:spacing w:line="400" w:lineRule="exact"/>
        <w:ind w:firstLine="422" w:firstLineChars="200"/>
        <w:rPr>
          <w:color w:val="000000"/>
          <w:szCs w:val="22"/>
        </w:rPr>
      </w:pPr>
      <w:r>
        <w:rPr>
          <w:b/>
          <w:bCs/>
          <w:color w:val="000000"/>
          <w:szCs w:val="22"/>
        </w:rPr>
        <w:t>1</w:t>
      </w:r>
      <w:r>
        <w:rPr>
          <w:color w:val="000000"/>
          <w:szCs w:val="22"/>
        </w:rPr>
        <w:t xml:space="preserve">  锚杆静压桩的桩帽梁、交叉钢筋及焊接质量，最终压桩力与压桩深度，桩身混凝土试块和封桩混凝土试块强度应符合设计要求；</w:t>
      </w:r>
    </w:p>
    <w:p w14:paraId="59CAB30D">
      <w:pPr>
        <w:spacing w:line="400" w:lineRule="exact"/>
        <w:ind w:firstLine="422" w:firstLineChars="200"/>
        <w:rPr>
          <w:color w:val="000000"/>
          <w:szCs w:val="22"/>
        </w:rPr>
      </w:pPr>
      <w:r>
        <w:rPr>
          <w:b/>
          <w:bCs/>
          <w:color w:val="000000"/>
          <w:szCs w:val="22"/>
        </w:rPr>
        <w:t>2</w:t>
      </w:r>
      <w:r>
        <w:rPr>
          <w:color w:val="000000"/>
          <w:szCs w:val="22"/>
        </w:rPr>
        <w:t xml:space="preserve">  桩位允许偏差应为</w:t>
      </w:r>
      <w:r>
        <w:rPr>
          <w:rFonts w:hint="eastAsia"/>
          <w:color w:val="000000"/>
          <w:szCs w:val="22"/>
        </w:rPr>
        <w:t xml:space="preserve"> </w:t>
      </w:r>
      <w:r>
        <w:rPr>
          <w:color w:val="000000"/>
          <w:szCs w:val="22"/>
        </w:rPr>
        <w:t>±20 mm，桩节垂直度允许偏差不应大于桩节长度1%，钢管桩平整度允许偏差应为</w:t>
      </w:r>
      <w:r>
        <w:rPr>
          <w:rFonts w:hint="eastAsia"/>
          <w:color w:val="000000"/>
          <w:szCs w:val="22"/>
        </w:rPr>
        <w:t xml:space="preserve"> </w:t>
      </w:r>
      <w:r>
        <w:rPr>
          <w:color w:val="000000"/>
          <w:szCs w:val="22"/>
        </w:rPr>
        <w:t>±2 mm，接桩处的坡口应为45 °，接桩处焊缝应饱满、无气泡、无杂质，焊缝高度应为h=t+1 mm（t为壁厚）。</w:t>
      </w:r>
    </w:p>
    <w:p w14:paraId="3D32BEB3">
      <w:pPr>
        <w:spacing w:line="400" w:lineRule="exact"/>
        <w:rPr>
          <w:color w:val="000000"/>
          <w:szCs w:val="22"/>
        </w:rPr>
      </w:pPr>
      <w:r>
        <w:rPr>
          <w:b/>
          <w:color w:val="000000"/>
          <w:szCs w:val="22"/>
        </w:rPr>
        <w:t xml:space="preserve">10.3.8  </w:t>
      </w:r>
      <w:r>
        <w:rPr>
          <w:color w:val="000000"/>
          <w:szCs w:val="22"/>
        </w:rPr>
        <w:t>树根桩适用于淤泥、淤泥质土、黏性土、粉土、砂土、碎石土及人工填土等地基加固，加固质量应符合下列规定：</w:t>
      </w:r>
    </w:p>
    <w:p w14:paraId="57DEA593">
      <w:pPr>
        <w:spacing w:line="400" w:lineRule="exact"/>
        <w:ind w:firstLine="422" w:firstLineChars="200"/>
        <w:rPr>
          <w:color w:val="000000"/>
          <w:szCs w:val="22"/>
        </w:rPr>
      </w:pPr>
      <w:r>
        <w:rPr>
          <w:b/>
          <w:bCs/>
          <w:color w:val="000000"/>
          <w:szCs w:val="22"/>
        </w:rPr>
        <w:t>1</w:t>
      </w:r>
      <w:r>
        <w:rPr>
          <w:color w:val="000000"/>
          <w:szCs w:val="22"/>
        </w:rPr>
        <w:t xml:space="preserve">  桩身混凝土强度试块的取样及抗压强度应符合设计要求；</w:t>
      </w:r>
    </w:p>
    <w:p w14:paraId="2996F50C">
      <w:pPr>
        <w:spacing w:line="400" w:lineRule="exact"/>
        <w:ind w:firstLine="422" w:firstLineChars="200"/>
        <w:rPr>
          <w:bCs/>
          <w:dstrike/>
          <w:color w:val="000000"/>
          <w:szCs w:val="22"/>
        </w:rPr>
      </w:pPr>
      <w:r>
        <w:rPr>
          <w:b/>
          <w:bCs/>
          <w:color w:val="000000"/>
          <w:szCs w:val="22"/>
        </w:rPr>
        <w:t>2</w:t>
      </w:r>
      <w:r>
        <w:rPr>
          <w:color w:val="000000"/>
          <w:szCs w:val="22"/>
        </w:rPr>
        <w:t xml:space="preserve">  桩位允许偏差应为</w:t>
      </w:r>
      <w:r>
        <w:rPr>
          <w:rFonts w:hint="eastAsia"/>
          <w:color w:val="000000"/>
          <w:szCs w:val="22"/>
        </w:rPr>
        <w:t xml:space="preserve"> </w:t>
      </w:r>
      <w:r>
        <w:rPr>
          <w:color w:val="000000"/>
          <w:szCs w:val="22"/>
        </w:rPr>
        <w:t>±20 mm，直桩垂直度和斜桩倾斜度允许偏差不应大于1%</w:t>
      </w:r>
      <w:r>
        <w:rPr>
          <w:bCs/>
          <w:color w:val="000000"/>
          <w:szCs w:val="22"/>
        </w:rPr>
        <w:t>；</w:t>
      </w:r>
    </w:p>
    <w:p w14:paraId="447E18BB">
      <w:pPr>
        <w:spacing w:line="400" w:lineRule="exact"/>
        <w:ind w:firstLine="422" w:firstLineChars="200"/>
        <w:rPr>
          <w:color w:val="000000"/>
          <w:szCs w:val="22"/>
        </w:rPr>
      </w:pPr>
      <w:r>
        <w:rPr>
          <w:b/>
          <w:color w:val="000000"/>
          <w:szCs w:val="22"/>
        </w:rPr>
        <w:t>3</w:t>
      </w:r>
      <w:r>
        <w:rPr>
          <w:color w:val="000000"/>
          <w:szCs w:val="22"/>
        </w:rPr>
        <w:t xml:space="preserve">  树根桩的竖向承载力和采用动测法检验桩身质量均应符合设计要求。</w:t>
      </w:r>
    </w:p>
    <w:p w14:paraId="221BF6C9">
      <w:pPr>
        <w:spacing w:line="400" w:lineRule="exact"/>
        <w:rPr>
          <w:color w:val="000000"/>
          <w:szCs w:val="22"/>
        </w:rPr>
      </w:pPr>
      <w:r>
        <w:rPr>
          <w:b/>
          <w:color w:val="000000"/>
          <w:szCs w:val="22"/>
        </w:rPr>
        <w:t>10.3.9</w:t>
      </w:r>
      <w:r>
        <w:rPr>
          <w:color w:val="000000"/>
          <w:szCs w:val="22"/>
        </w:rPr>
        <w:t xml:space="preserve">  坑式静压桩适用于淤泥、淤泥质土、黏性土、粉土、湿陷性黄土和人工填土且地下水位较低的地基</w:t>
      </w:r>
      <w:r>
        <w:rPr>
          <w:color w:val="000000"/>
          <w:kern w:val="0"/>
          <w:szCs w:val="21"/>
        </w:rPr>
        <w:t>加固</w:t>
      </w:r>
      <w:r>
        <w:rPr>
          <w:color w:val="000000"/>
          <w:szCs w:val="22"/>
        </w:rPr>
        <w:t>，加固质量应符合下列规定：</w:t>
      </w:r>
    </w:p>
    <w:p w14:paraId="4F17A3BC">
      <w:pPr>
        <w:spacing w:line="400" w:lineRule="exact"/>
        <w:ind w:firstLine="422" w:firstLineChars="200"/>
        <w:rPr>
          <w:color w:val="000000"/>
          <w:szCs w:val="22"/>
        </w:rPr>
      </w:pPr>
      <w:r>
        <w:rPr>
          <w:b/>
          <w:bCs/>
          <w:color w:val="000000"/>
          <w:szCs w:val="22"/>
        </w:rPr>
        <w:t>1</w:t>
      </w:r>
      <w:r>
        <w:rPr>
          <w:color w:val="000000"/>
          <w:szCs w:val="22"/>
        </w:rPr>
        <w:t xml:space="preserve">  桩位允许偏差应为</w:t>
      </w:r>
      <w:r>
        <w:rPr>
          <w:rFonts w:hint="eastAsia"/>
          <w:color w:val="000000"/>
          <w:szCs w:val="22"/>
        </w:rPr>
        <w:t xml:space="preserve"> </w:t>
      </w:r>
      <w:r>
        <w:rPr>
          <w:color w:val="000000"/>
          <w:szCs w:val="22"/>
        </w:rPr>
        <w:t>±20 mm，桩节垂直度允许偏差不应大于桩节长度的1%；</w:t>
      </w:r>
    </w:p>
    <w:p w14:paraId="17C3FED2">
      <w:pPr>
        <w:spacing w:line="400" w:lineRule="exact"/>
        <w:ind w:firstLine="422" w:firstLineChars="200"/>
        <w:rPr>
          <w:color w:val="000000"/>
          <w:szCs w:val="22"/>
        </w:rPr>
      </w:pPr>
      <w:r>
        <w:rPr>
          <w:b/>
          <w:bCs/>
          <w:color w:val="000000"/>
          <w:szCs w:val="22"/>
        </w:rPr>
        <w:t>2</w:t>
      </w:r>
      <w:r>
        <w:rPr>
          <w:color w:val="000000"/>
          <w:szCs w:val="22"/>
        </w:rPr>
        <w:t xml:space="preserve">  最终压桩力与压桩深度，桩材试块强度应符合设计要求。</w:t>
      </w:r>
    </w:p>
    <w:p w14:paraId="5FA41C20">
      <w:pPr>
        <w:spacing w:line="400" w:lineRule="exact"/>
        <w:rPr>
          <w:color w:val="000000"/>
          <w:szCs w:val="22"/>
        </w:rPr>
      </w:pPr>
      <w:r>
        <w:rPr>
          <w:b/>
          <w:color w:val="000000"/>
          <w:szCs w:val="22"/>
        </w:rPr>
        <w:t xml:space="preserve">10.3.10  </w:t>
      </w:r>
      <w:r>
        <w:rPr>
          <w:color w:val="000000"/>
          <w:szCs w:val="22"/>
        </w:rPr>
        <w:t>注浆</w:t>
      </w:r>
      <w:r>
        <w:rPr>
          <w:color w:val="000000"/>
          <w:kern w:val="0"/>
          <w:szCs w:val="21"/>
        </w:rPr>
        <w:t>加固</w:t>
      </w:r>
      <w:r>
        <w:rPr>
          <w:color w:val="000000"/>
          <w:szCs w:val="22"/>
        </w:rPr>
        <w:t>适用于砂土、粉土、黏性土和人工填土等地基加固，加固质量应符合下列规定：</w:t>
      </w:r>
    </w:p>
    <w:p w14:paraId="388FFDFF">
      <w:pPr>
        <w:spacing w:line="400" w:lineRule="exact"/>
        <w:ind w:firstLine="422" w:firstLineChars="200"/>
        <w:rPr>
          <w:color w:val="000000"/>
          <w:szCs w:val="22"/>
        </w:rPr>
      </w:pPr>
      <w:r>
        <w:rPr>
          <w:b/>
          <w:bCs/>
          <w:color w:val="000000"/>
          <w:szCs w:val="22"/>
        </w:rPr>
        <w:t>1</w:t>
      </w:r>
      <w:r>
        <w:rPr>
          <w:color w:val="000000"/>
          <w:szCs w:val="22"/>
        </w:rPr>
        <w:t xml:space="preserve">  地基土加固土层应均匀，室内试验测定的加固土的各项指标（压缩性、强度或渗透性）应满足设计要求；</w:t>
      </w:r>
    </w:p>
    <w:p w14:paraId="5658EC91">
      <w:pPr>
        <w:spacing w:line="400" w:lineRule="exact"/>
        <w:ind w:firstLine="422" w:firstLineChars="200"/>
        <w:rPr>
          <w:color w:val="000000"/>
          <w:szCs w:val="22"/>
        </w:rPr>
      </w:pPr>
      <w:r>
        <w:rPr>
          <w:b/>
          <w:bCs/>
          <w:color w:val="000000"/>
          <w:szCs w:val="22"/>
        </w:rPr>
        <w:t>2</w:t>
      </w:r>
      <w:r>
        <w:rPr>
          <w:color w:val="000000"/>
          <w:szCs w:val="22"/>
        </w:rPr>
        <w:t xml:space="preserve">  加固后地基土承载力和地基沉降应满足设计要求。</w:t>
      </w:r>
    </w:p>
    <w:p w14:paraId="3905AB66">
      <w:pPr>
        <w:spacing w:line="400" w:lineRule="exact"/>
        <w:rPr>
          <w:color w:val="000000"/>
          <w:szCs w:val="22"/>
        </w:rPr>
      </w:pPr>
      <w:r>
        <w:rPr>
          <w:b/>
          <w:color w:val="000000"/>
          <w:szCs w:val="22"/>
        </w:rPr>
        <w:t>10.3.11</w:t>
      </w:r>
      <w:r>
        <w:rPr>
          <w:color w:val="000000"/>
          <w:szCs w:val="22"/>
        </w:rPr>
        <w:t xml:space="preserve"> 石灰桩适用于地下水位</w:t>
      </w:r>
      <w:r>
        <w:rPr>
          <w:rFonts w:hint="eastAsia"/>
          <w:color w:val="000000"/>
          <w:szCs w:val="22"/>
        </w:rPr>
        <w:t>下列</w:t>
      </w:r>
      <w:r>
        <w:rPr>
          <w:color w:val="000000"/>
          <w:szCs w:val="22"/>
        </w:rPr>
        <w:t>的黏性土、粉土、松散粉细砂、淤泥、淤泥质土、杂填土或饱和黄土等地基加固，加固质量应符合下列规定：</w:t>
      </w:r>
    </w:p>
    <w:p w14:paraId="37D110C5">
      <w:pPr>
        <w:spacing w:line="400" w:lineRule="exact"/>
        <w:ind w:firstLine="422" w:firstLineChars="200"/>
        <w:rPr>
          <w:color w:val="000000"/>
          <w:szCs w:val="22"/>
        </w:rPr>
      </w:pPr>
      <w:r>
        <w:rPr>
          <w:b/>
          <w:bCs/>
          <w:color w:val="000000"/>
          <w:szCs w:val="22"/>
        </w:rPr>
        <w:t xml:space="preserve">1  </w:t>
      </w:r>
      <w:r>
        <w:rPr>
          <w:color w:val="000000"/>
          <w:szCs w:val="22"/>
        </w:rPr>
        <w:t xml:space="preserve">桩位中心点的允许偏差不应超过桩距设计值的8%，桩垂直度允许偏差不应大于桩长1.5 %；  </w:t>
      </w:r>
    </w:p>
    <w:p w14:paraId="3A6E19BF">
      <w:pPr>
        <w:spacing w:line="400" w:lineRule="exact"/>
        <w:ind w:firstLine="422" w:firstLineChars="200"/>
        <w:rPr>
          <w:color w:val="000000"/>
          <w:szCs w:val="22"/>
        </w:rPr>
      </w:pPr>
      <w:r>
        <w:rPr>
          <w:b/>
          <w:bCs/>
          <w:color w:val="000000"/>
          <w:szCs w:val="22"/>
        </w:rPr>
        <w:t>2</w:t>
      </w:r>
      <w:r>
        <w:rPr>
          <w:color w:val="000000"/>
          <w:szCs w:val="22"/>
        </w:rPr>
        <w:t xml:space="preserve">  应检测桩体和桩间土强度，并验算复合地基承载力，并应满足设计要求； </w:t>
      </w:r>
    </w:p>
    <w:p w14:paraId="13A2F9F8">
      <w:pPr>
        <w:spacing w:line="400" w:lineRule="exact"/>
        <w:ind w:firstLine="422" w:firstLineChars="200"/>
        <w:rPr>
          <w:color w:val="000000"/>
          <w:szCs w:val="22"/>
        </w:rPr>
      </w:pPr>
      <w:r>
        <w:rPr>
          <w:b/>
          <w:bCs/>
          <w:color w:val="000000"/>
          <w:szCs w:val="22"/>
        </w:rPr>
        <w:t>3</w:t>
      </w:r>
      <w:r>
        <w:rPr>
          <w:color w:val="000000"/>
          <w:szCs w:val="22"/>
        </w:rPr>
        <w:t xml:space="preserve">  对重要或大型工程，应进行复合地基载荷试验。 </w:t>
      </w:r>
    </w:p>
    <w:p w14:paraId="38897D7F">
      <w:pPr>
        <w:spacing w:line="400" w:lineRule="exact"/>
        <w:rPr>
          <w:color w:val="000000"/>
          <w:szCs w:val="22"/>
        </w:rPr>
      </w:pPr>
      <w:r>
        <w:rPr>
          <w:b/>
          <w:color w:val="000000"/>
          <w:szCs w:val="22"/>
        </w:rPr>
        <w:t>10.3.12</w:t>
      </w:r>
      <w:r>
        <w:rPr>
          <w:color w:val="000000"/>
          <w:szCs w:val="22"/>
        </w:rPr>
        <w:t xml:space="preserve">  地基基础加固施工及施工降水时，应进行影响范围内的周边建筑物、地下管线的沉降和位移监测。</w:t>
      </w:r>
    </w:p>
    <w:p w14:paraId="4B139F55">
      <w:pPr>
        <w:pStyle w:val="4"/>
        <w:numPr>
          <w:ilvl w:val="0"/>
          <w:numId w:val="0"/>
        </w:numPr>
        <w:spacing w:before="312" w:beforeLines="100" w:line="400" w:lineRule="exact"/>
        <w:jc w:val="center"/>
        <w:rPr>
          <w:rFonts w:ascii="Times New Roman" w:hAnsi="Times New Roman" w:eastAsia="黑体"/>
          <w:b/>
          <w:bCs/>
          <w:sz w:val="24"/>
          <w:szCs w:val="24"/>
          <w:lang w:val="en-US"/>
        </w:rPr>
      </w:pPr>
      <w:bookmarkStart w:id="540" w:name="_Toc24744"/>
      <w:bookmarkStart w:id="541" w:name="_Toc24780"/>
      <w:bookmarkStart w:id="542" w:name="_Toc5428"/>
      <w:bookmarkStart w:id="543" w:name="_Toc26360"/>
      <w:r>
        <w:rPr>
          <w:rFonts w:hint="eastAsia" w:ascii="Times New Roman" w:hAnsi="Times New Roman" w:eastAsia="黑体"/>
          <w:b/>
          <w:bCs/>
          <w:sz w:val="24"/>
          <w:szCs w:val="24"/>
          <w:lang w:val="en-US"/>
        </w:rPr>
        <w:t>10.4  主体结构加固</w:t>
      </w:r>
      <w:bookmarkEnd w:id="540"/>
      <w:bookmarkEnd w:id="541"/>
      <w:bookmarkEnd w:id="542"/>
      <w:bookmarkEnd w:id="543"/>
    </w:p>
    <w:p w14:paraId="160D24BC">
      <w:pPr>
        <w:spacing w:line="400" w:lineRule="exact"/>
        <w:rPr>
          <w:color w:val="000000"/>
          <w:szCs w:val="22"/>
        </w:rPr>
      </w:pPr>
      <w:r>
        <w:rPr>
          <w:b/>
          <w:color w:val="000000"/>
          <w:szCs w:val="22"/>
        </w:rPr>
        <w:t xml:space="preserve">10.4.1  </w:t>
      </w:r>
      <w:r>
        <w:rPr>
          <w:color w:val="000000"/>
          <w:szCs w:val="22"/>
        </w:rPr>
        <w:t>主体结构加固应采用混凝土构件增大截面加固</w:t>
      </w:r>
      <w:r>
        <w:rPr>
          <w:rFonts w:hint="eastAsia"/>
          <w:color w:val="000000"/>
          <w:szCs w:val="22"/>
        </w:rPr>
        <w:t>、</w:t>
      </w:r>
      <w:r>
        <w:rPr>
          <w:color w:val="000000"/>
          <w:szCs w:val="22"/>
        </w:rPr>
        <w:t>混凝土构件外包型钢加固</w:t>
      </w:r>
      <w:r>
        <w:rPr>
          <w:rFonts w:hint="eastAsia"/>
          <w:color w:val="000000"/>
          <w:szCs w:val="22"/>
        </w:rPr>
        <w:t>、</w:t>
      </w:r>
      <w:r>
        <w:rPr>
          <w:color w:val="000000"/>
          <w:szCs w:val="22"/>
        </w:rPr>
        <w:t>混凝土构件外粘钢板加固</w:t>
      </w:r>
      <w:r>
        <w:rPr>
          <w:rFonts w:hint="eastAsia"/>
          <w:color w:val="000000"/>
          <w:szCs w:val="22"/>
        </w:rPr>
        <w:t>、</w:t>
      </w:r>
      <w:r>
        <w:rPr>
          <w:color w:val="000000"/>
          <w:szCs w:val="22"/>
        </w:rPr>
        <w:t>混凝土构件外粘纤维复合材加固</w:t>
      </w:r>
      <w:r>
        <w:rPr>
          <w:rFonts w:hint="eastAsia"/>
          <w:color w:val="000000"/>
          <w:szCs w:val="22"/>
        </w:rPr>
        <w:t>、</w:t>
      </w:r>
      <w:r>
        <w:rPr>
          <w:color w:val="000000"/>
          <w:szCs w:val="22"/>
        </w:rPr>
        <w:t>混凝土结构植筋加固</w:t>
      </w:r>
      <w:r>
        <w:rPr>
          <w:rFonts w:hint="eastAsia"/>
          <w:color w:val="000000"/>
          <w:szCs w:val="22"/>
        </w:rPr>
        <w:t>、</w:t>
      </w:r>
      <w:r>
        <w:rPr>
          <w:color w:val="000000"/>
          <w:szCs w:val="22"/>
        </w:rPr>
        <w:t>混凝土构件体外预应力加固</w:t>
      </w:r>
      <w:r>
        <w:rPr>
          <w:rFonts w:hint="eastAsia"/>
          <w:color w:val="000000"/>
          <w:szCs w:val="22"/>
        </w:rPr>
        <w:t>、</w:t>
      </w:r>
      <w:r>
        <w:rPr>
          <w:color w:val="000000"/>
          <w:szCs w:val="22"/>
        </w:rPr>
        <w:t>砌体或混凝土构件外加钢筋网-砂浆面层加固</w:t>
      </w:r>
      <w:r>
        <w:rPr>
          <w:rFonts w:hint="eastAsia"/>
          <w:color w:val="000000"/>
          <w:szCs w:val="22"/>
        </w:rPr>
        <w:t>、</w:t>
      </w:r>
      <w:r>
        <w:rPr>
          <w:color w:val="000000"/>
          <w:szCs w:val="22"/>
        </w:rPr>
        <w:t>钢构件增大截面加固等方法。</w:t>
      </w:r>
    </w:p>
    <w:p w14:paraId="5FD2E583">
      <w:pPr>
        <w:spacing w:line="400" w:lineRule="exact"/>
        <w:rPr>
          <w:color w:val="000000"/>
          <w:szCs w:val="21"/>
        </w:rPr>
      </w:pPr>
      <w:r>
        <w:rPr>
          <w:b/>
          <w:color w:val="000000"/>
          <w:szCs w:val="22"/>
        </w:rPr>
        <w:t>10.4.2</w:t>
      </w:r>
      <w:r>
        <w:rPr>
          <w:color w:val="000000"/>
          <w:szCs w:val="22"/>
        </w:rPr>
        <w:t xml:space="preserve">  主体</w:t>
      </w:r>
      <w:r>
        <w:rPr>
          <w:color w:val="000000"/>
          <w:kern w:val="0"/>
          <w:szCs w:val="21"/>
        </w:rPr>
        <w:t>结构</w:t>
      </w:r>
      <w:r>
        <w:rPr>
          <w:color w:val="000000"/>
          <w:szCs w:val="22"/>
        </w:rPr>
        <w:t>加固的施工及质量验收应符合设计文件及国家现行标准《建筑结构加固工程施工质量验收规范》GB 50550、《建筑结构长城杯工程质量评审</w:t>
      </w:r>
      <w:r>
        <w:rPr>
          <w:rFonts w:hint="eastAsia"/>
          <w:color w:val="000000"/>
          <w:szCs w:val="22"/>
        </w:rPr>
        <w:t>标准</w:t>
      </w:r>
      <w:r>
        <w:rPr>
          <w:color w:val="000000"/>
          <w:szCs w:val="22"/>
        </w:rPr>
        <w:t>》DB11/ T1074及有关专业规范、规程、标准的规定，</w:t>
      </w:r>
      <w:r>
        <w:rPr>
          <w:color w:val="000000"/>
          <w:szCs w:val="21"/>
        </w:rPr>
        <w:t>加固后的结构应安全可靠，不应有严重缺陷和影响结构性能和使用功能的尺寸偏差。新、旧结构粘接牢固，内坚外美，确保建筑工程的合理使用年限。</w:t>
      </w:r>
    </w:p>
    <w:p w14:paraId="5BF36955">
      <w:pPr>
        <w:spacing w:line="400" w:lineRule="exact"/>
        <w:rPr>
          <w:color w:val="000000"/>
          <w:szCs w:val="22"/>
        </w:rPr>
      </w:pPr>
      <w:r>
        <w:rPr>
          <w:b/>
          <w:color w:val="000000"/>
          <w:szCs w:val="22"/>
        </w:rPr>
        <w:t>10.4.3</w:t>
      </w:r>
      <w:r>
        <w:rPr>
          <w:color w:val="000000"/>
          <w:szCs w:val="22"/>
        </w:rPr>
        <w:t xml:space="preserve">  主体结构加固应依据设计要求、施工方案和国家、地方现行标准的要求，重点抽查新增结构质量，新</w:t>
      </w:r>
      <w:r>
        <w:rPr>
          <w:rFonts w:hint="eastAsia"/>
          <w:color w:val="000000"/>
          <w:szCs w:val="22"/>
        </w:rPr>
        <w:t>、</w:t>
      </w:r>
      <w:r>
        <w:rPr>
          <w:color w:val="000000"/>
          <w:szCs w:val="22"/>
        </w:rPr>
        <w:t>旧结构粘结质量，加固后结构的观感质量。</w:t>
      </w:r>
    </w:p>
    <w:p w14:paraId="7884387A">
      <w:pPr>
        <w:spacing w:line="400" w:lineRule="exact"/>
        <w:rPr>
          <w:color w:val="000000"/>
          <w:szCs w:val="22"/>
        </w:rPr>
      </w:pPr>
      <w:r>
        <w:rPr>
          <w:b/>
          <w:color w:val="000000"/>
          <w:szCs w:val="22"/>
        </w:rPr>
        <w:t>10.4.4</w:t>
      </w:r>
      <w:r>
        <w:rPr>
          <w:color w:val="000000"/>
          <w:szCs w:val="22"/>
        </w:rPr>
        <w:t xml:space="preserve">  对托梁加固等采用新材料、新工艺的加固方法，应组织专家论证后施工。应设置现场监测系统，实时控制结构变形。</w:t>
      </w:r>
    </w:p>
    <w:p w14:paraId="6505F398">
      <w:pPr>
        <w:spacing w:line="400" w:lineRule="exact"/>
        <w:rPr>
          <w:color w:val="000000"/>
          <w:szCs w:val="22"/>
        </w:rPr>
      </w:pPr>
      <w:r>
        <w:rPr>
          <w:b/>
          <w:color w:val="000000"/>
          <w:szCs w:val="22"/>
        </w:rPr>
        <w:t xml:space="preserve">10.4.5  </w:t>
      </w:r>
      <w:r>
        <w:rPr>
          <w:color w:val="000000"/>
          <w:szCs w:val="22"/>
        </w:rPr>
        <w:t>混凝土构件增大截面加固质量应符合下列规定：</w:t>
      </w:r>
    </w:p>
    <w:p w14:paraId="357DD5E2">
      <w:pPr>
        <w:spacing w:line="400" w:lineRule="exact"/>
        <w:ind w:firstLine="422" w:firstLineChars="200"/>
        <w:rPr>
          <w:color w:val="000000"/>
          <w:szCs w:val="21"/>
        </w:rPr>
      </w:pPr>
      <w:r>
        <w:rPr>
          <w:b/>
          <w:color w:val="000000"/>
          <w:szCs w:val="22"/>
        </w:rPr>
        <w:t>1</w:t>
      </w:r>
      <w:r>
        <w:rPr>
          <w:bCs/>
          <w:color w:val="000000"/>
          <w:szCs w:val="22"/>
        </w:rPr>
        <w:t xml:space="preserve">  </w:t>
      </w:r>
      <w:r>
        <w:rPr>
          <w:color w:val="000000"/>
          <w:szCs w:val="21"/>
        </w:rPr>
        <w:t>新</w:t>
      </w:r>
      <w:r>
        <w:rPr>
          <w:rFonts w:hint="eastAsia"/>
          <w:color w:val="000000"/>
          <w:szCs w:val="21"/>
        </w:rPr>
        <w:t>、</w:t>
      </w:r>
      <w:r>
        <w:rPr>
          <w:color w:val="000000"/>
          <w:szCs w:val="21"/>
        </w:rPr>
        <w:t>旧混凝土结合面粘结良好，锤击或超声波检测判定为结合不良的测点数不应超过总测点数的10%，且不应集中出现在主要受力部位；</w:t>
      </w:r>
    </w:p>
    <w:p w14:paraId="566C24B6">
      <w:pPr>
        <w:spacing w:line="400" w:lineRule="exact"/>
        <w:ind w:firstLine="422" w:firstLineChars="200"/>
        <w:rPr>
          <w:color w:val="000000"/>
          <w:szCs w:val="22"/>
        </w:rPr>
      </w:pPr>
      <w:r>
        <w:rPr>
          <w:b/>
          <w:color w:val="000000"/>
          <w:szCs w:val="22"/>
        </w:rPr>
        <w:t>2</w:t>
      </w:r>
      <w:r>
        <w:rPr>
          <w:bCs/>
          <w:color w:val="000000"/>
          <w:szCs w:val="22"/>
        </w:rPr>
        <w:t xml:space="preserve">  </w:t>
      </w:r>
      <w:r>
        <w:rPr>
          <w:color w:val="000000"/>
          <w:szCs w:val="22"/>
        </w:rPr>
        <w:t>当设计对使用结构界面胶（剂）的新</w:t>
      </w:r>
      <w:r>
        <w:rPr>
          <w:rFonts w:hint="eastAsia"/>
          <w:color w:val="000000"/>
          <w:szCs w:val="22"/>
        </w:rPr>
        <w:t>、</w:t>
      </w:r>
      <w:r>
        <w:rPr>
          <w:color w:val="000000"/>
          <w:szCs w:val="22"/>
        </w:rPr>
        <w:t>旧混凝土粘接强度有复验要求时，新</w:t>
      </w:r>
      <w:r>
        <w:rPr>
          <w:rFonts w:hint="eastAsia"/>
          <w:color w:val="000000"/>
          <w:szCs w:val="22"/>
        </w:rPr>
        <w:t>、</w:t>
      </w:r>
      <w:r>
        <w:rPr>
          <w:color w:val="000000"/>
          <w:szCs w:val="22"/>
        </w:rPr>
        <w:t>旧混凝土的正拉粘接强度应符合f</w:t>
      </w:r>
      <w:r>
        <w:rPr>
          <w:color w:val="000000"/>
          <w:szCs w:val="22"/>
          <w:vertAlign w:val="subscript"/>
        </w:rPr>
        <w:t xml:space="preserve">t </w:t>
      </w:r>
      <w:r>
        <w:rPr>
          <w:rFonts w:ascii="宋体" w:hAnsi="宋体" w:cs="宋体"/>
          <w:color w:val="000000"/>
          <w:szCs w:val="21"/>
        </w:rPr>
        <w:t>≥</w:t>
      </w:r>
      <w:r>
        <w:rPr>
          <w:color w:val="000000"/>
          <w:szCs w:val="22"/>
        </w:rPr>
        <w:t>1.5 MPa，且</w:t>
      </w:r>
      <w:r>
        <w:rPr>
          <w:rFonts w:hint="eastAsia"/>
          <w:color w:val="000000"/>
          <w:szCs w:val="22"/>
        </w:rPr>
        <w:t>为</w:t>
      </w:r>
      <w:r>
        <w:rPr>
          <w:color w:val="000000"/>
          <w:szCs w:val="22"/>
        </w:rPr>
        <w:t>正常破坏的要求。</w:t>
      </w:r>
    </w:p>
    <w:p w14:paraId="1F5412FC">
      <w:pPr>
        <w:spacing w:line="400" w:lineRule="exact"/>
        <w:rPr>
          <w:color w:val="000000"/>
          <w:szCs w:val="21"/>
        </w:rPr>
      </w:pPr>
      <w:r>
        <w:rPr>
          <w:b/>
          <w:color w:val="000000"/>
          <w:szCs w:val="22"/>
        </w:rPr>
        <w:t xml:space="preserve">10.4.6  </w:t>
      </w:r>
      <w:r>
        <w:rPr>
          <w:color w:val="000000"/>
          <w:szCs w:val="21"/>
        </w:rPr>
        <w:t>混凝土构件外包型钢加固，</w:t>
      </w:r>
      <w:r>
        <w:rPr>
          <w:rFonts w:hint="eastAsia"/>
          <w:color w:val="000000"/>
          <w:szCs w:val="22"/>
        </w:rPr>
        <w:t>采用</w:t>
      </w:r>
      <w:r>
        <w:rPr>
          <w:color w:val="000000"/>
          <w:szCs w:val="22"/>
        </w:rPr>
        <w:t>湿式外包钢加固，型钢与混凝土之间的胶粘强度应满足</w:t>
      </w:r>
      <w:r>
        <w:rPr>
          <w:rFonts w:hint="eastAsia"/>
          <w:color w:val="000000"/>
          <w:szCs w:val="22"/>
        </w:rPr>
        <w:t>现行国家标准</w:t>
      </w:r>
      <w:r>
        <w:rPr>
          <w:color w:val="000000"/>
          <w:szCs w:val="22"/>
        </w:rPr>
        <w:t>《建筑结构加固工程施工质量验收规范》GB 50550附录U的要求。注胶饱满度空鼓率应不大于5%。</w:t>
      </w:r>
      <w:r>
        <w:rPr>
          <w:rFonts w:hint="eastAsia"/>
          <w:color w:val="000000"/>
          <w:szCs w:val="22"/>
        </w:rPr>
        <w:t>采用</w:t>
      </w:r>
      <w:r>
        <w:rPr>
          <w:color w:val="000000"/>
          <w:szCs w:val="22"/>
        </w:rPr>
        <w:t>干式外包型钢加固，其注浆饱满度空鼓率应不大于10%。</w:t>
      </w:r>
      <w:r>
        <w:rPr>
          <w:rFonts w:hint="eastAsia"/>
          <w:color w:val="000000"/>
          <w:szCs w:val="22"/>
        </w:rPr>
        <w:t>采用填塞胶泥的干式外包钢，应封闭完整，满足型钢肢安装要求。采用</w:t>
      </w:r>
      <w:r>
        <w:rPr>
          <w:color w:val="000000"/>
          <w:szCs w:val="22"/>
        </w:rPr>
        <w:t>填</w:t>
      </w:r>
      <w:r>
        <w:rPr>
          <w:color w:val="000000"/>
          <w:szCs w:val="21"/>
        </w:rPr>
        <w:t>塞砂浆的干式外包钢，应封闭完整，满足型钢安装要求。</w:t>
      </w:r>
    </w:p>
    <w:p w14:paraId="63F4845C">
      <w:pPr>
        <w:spacing w:line="400" w:lineRule="exact"/>
        <w:rPr>
          <w:color w:val="000000"/>
          <w:szCs w:val="21"/>
        </w:rPr>
      </w:pPr>
      <w:r>
        <w:rPr>
          <w:b/>
          <w:color w:val="000000"/>
          <w:szCs w:val="21"/>
        </w:rPr>
        <w:t xml:space="preserve">10.4.7  </w:t>
      </w:r>
      <w:r>
        <w:rPr>
          <w:color w:val="000000"/>
          <w:szCs w:val="21"/>
        </w:rPr>
        <w:t>混凝土</w:t>
      </w:r>
      <w:r>
        <w:rPr>
          <w:color w:val="000000"/>
          <w:kern w:val="0"/>
          <w:szCs w:val="21"/>
        </w:rPr>
        <w:t>构件</w:t>
      </w:r>
      <w:r>
        <w:rPr>
          <w:color w:val="000000"/>
          <w:szCs w:val="21"/>
        </w:rPr>
        <w:t>外粘钢板加固，钢板与混凝土之间的有效粘贴面积不应小于总粘贴面积的95%。加固材料与基层混凝土的正拉粘结强度应符合表</w:t>
      </w:r>
      <w:r>
        <w:rPr>
          <w:rFonts w:hint="eastAsia"/>
          <w:color w:val="000000"/>
          <w:szCs w:val="21"/>
        </w:rPr>
        <w:t>1</w:t>
      </w:r>
      <w:r>
        <w:rPr>
          <w:color w:val="000000"/>
          <w:szCs w:val="21"/>
        </w:rPr>
        <w:t>0.4.</w:t>
      </w:r>
      <w:r>
        <w:rPr>
          <w:rFonts w:hint="eastAsia"/>
          <w:color w:val="000000"/>
          <w:szCs w:val="21"/>
        </w:rPr>
        <w:t>7的</w:t>
      </w:r>
      <w:r>
        <w:rPr>
          <w:color w:val="000000"/>
          <w:szCs w:val="21"/>
        </w:rPr>
        <w:t>规定：</w:t>
      </w:r>
    </w:p>
    <w:p w14:paraId="713A195A">
      <w:pPr>
        <w:pStyle w:val="2"/>
        <w:ind w:left="134" w:firstLine="285"/>
        <w:jc w:val="center"/>
        <w:rPr>
          <w:color w:val="000000"/>
        </w:rPr>
      </w:pPr>
      <w:r>
        <w:rPr>
          <w:rFonts w:hint="eastAsia"/>
          <w:b/>
          <w:bCs/>
          <w:color w:val="000000"/>
        </w:rPr>
        <w:t>表1</w:t>
      </w:r>
      <w:r>
        <w:rPr>
          <w:b/>
          <w:bCs/>
          <w:color w:val="000000"/>
        </w:rPr>
        <w:t>0.4.</w:t>
      </w:r>
      <w:r>
        <w:rPr>
          <w:rFonts w:hint="eastAsia"/>
          <w:b/>
          <w:bCs/>
          <w:color w:val="000000"/>
        </w:rPr>
        <w:t>7</w:t>
      </w:r>
      <w:r>
        <w:rPr>
          <w:b/>
          <w:bCs/>
          <w:color w:val="000000"/>
        </w:rPr>
        <w:t xml:space="preserve"> </w:t>
      </w:r>
      <w:r>
        <w:rPr>
          <w:rFonts w:hint="eastAsia"/>
          <w:b/>
          <w:bCs/>
          <w:color w:val="000000"/>
        </w:rPr>
        <w:t xml:space="preserve">  钢板与原结构混凝土之间的正拉粘结强度指标</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707"/>
        <w:gridCol w:w="1280"/>
        <w:gridCol w:w="1130"/>
        <w:gridCol w:w="2885"/>
      </w:tblGrid>
      <w:tr w14:paraId="2D1E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516" w:type="dxa"/>
            <w:tcBorders>
              <w:top w:val="single" w:color="auto" w:sz="4" w:space="0"/>
              <w:left w:val="single" w:color="auto" w:sz="4" w:space="0"/>
              <w:bottom w:val="single" w:color="auto" w:sz="4" w:space="0"/>
              <w:right w:val="single" w:color="auto" w:sz="4" w:space="0"/>
            </w:tcBorders>
            <w:vAlign w:val="center"/>
          </w:tcPr>
          <w:p w14:paraId="3F835AD4">
            <w:pPr>
              <w:spacing w:line="360" w:lineRule="auto"/>
              <w:jc w:val="center"/>
              <w:rPr>
                <w:color w:val="000000"/>
                <w:szCs w:val="21"/>
              </w:rPr>
            </w:pPr>
            <w:r>
              <w:rPr>
                <w:color w:val="000000"/>
                <w:szCs w:val="21"/>
              </w:rPr>
              <w:t>检验项目</w:t>
            </w:r>
          </w:p>
        </w:tc>
        <w:tc>
          <w:tcPr>
            <w:tcW w:w="1707" w:type="dxa"/>
            <w:tcBorders>
              <w:top w:val="single" w:color="auto" w:sz="4" w:space="0"/>
              <w:left w:val="single" w:color="auto" w:sz="4" w:space="0"/>
              <w:bottom w:val="single" w:color="auto" w:sz="4" w:space="0"/>
              <w:right w:val="single" w:color="auto" w:sz="4" w:space="0"/>
            </w:tcBorders>
            <w:vAlign w:val="center"/>
          </w:tcPr>
          <w:p w14:paraId="49BABF69">
            <w:pPr>
              <w:jc w:val="center"/>
              <w:rPr>
                <w:color w:val="000000"/>
                <w:szCs w:val="21"/>
              </w:rPr>
            </w:pPr>
            <w:r>
              <w:rPr>
                <w:color w:val="000000"/>
                <w:szCs w:val="21"/>
              </w:rPr>
              <w:t>原构件实测</w:t>
            </w:r>
          </w:p>
          <w:p w14:paraId="0E8C76A0">
            <w:pPr>
              <w:jc w:val="center"/>
              <w:rPr>
                <w:color w:val="000000"/>
                <w:szCs w:val="21"/>
              </w:rPr>
            </w:pPr>
            <w:r>
              <w:rPr>
                <w:color w:val="000000"/>
                <w:szCs w:val="21"/>
              </w:rPr>
              <w:t>混凝土强度等级</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0759BC0">
            <w:pPr>
              <w:spacing w:line="360" w:lineRule="auto"/>
              <w:jc w:val="center"/>
              <w:rPr>
                <w:color w:val="000000"/>
                <w:szCs w:val="21"/>
              </w:rPr>
            </w:pPr>
            <w:r>
              <w:rPr>
                <w:color w:val="000000"/>
                <w:szCs w:val="21"/>
              </w:rPr>
              <w:t>检验合格指标</w:t>
            </w:r>
          </w:p>
        </w:tc>
        <w:tc>
          <w:tcPr>
            <w:tcW w:w="2885" w:type="dxa"/>
            <w:tcBorders>
              <w:top w:val="single" w:color="auto" w:sz="4" w:space="0"/>
              <w:left w:val="single" w:color="auto" w:sz="4" w:space="0"/>
              <w:bottom w:val="single" w:color="auto" w:sz="4" w:space="0"/>
              <w:right w:val="single" w:color="auto" w:sz="4" w:space="0"/>
            </w:tcBorders>
            <w:vAlign w:val="center"/>
          </w:tcPr>
          <w:p w14:paraId="5AFEBEAC">
            <w:pPr>
              <w:spacing w:line="360" w:lineRule="auto"/>
              <w:jc w:val="center"/>
              <w:rPr>
                <w:color w:val="000000"/>
                <w:szCs w:val="21"/>
              </w:rPr>
            </w:pPr>
            <w:r>
              <w:rPr>
                <w:color w:val="000000"/>
                <w:szCs w:val="21"/>
              </w:rPr>
              <w:t>检验方法</w:t>
            </w:r>
          </w:p>
        </w:tc>
      </w:tr>
      <w:tr w14:paraId="757D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6" w:type="dxa"/>
            <w:vMerge w:val="restart"/>
            <w:tcBorders>
              <w:top w:val="single" w:color="auto" w:sz="4" w:space="0"/>
              <w:left w:val="single" w:color="auto" w:sz="4" w:space="0"/>
              <w:bottom w:val="single" w:color="auto" w:sz="4" w:space="0"/>
              <w:right w:val="single" w:color="auto" w:sz="4" w:space="0"/>
            </w:tcBorders>
            <w:vAlign w:val="center"/>
          </w:tcPr>
          <w:p w14:paraId="65EFAB5D">
            <w:pPr>
              <w:jc w:val="center"/>
              <w:rPr>
                <w:color w:val="000000"/>
                <w:szCs w:val="21"/>
              </w:rPr>
            </w:pPr>
            <w:r>
              <w:rPr>
                <w:color w:val="000000"/>
                <w:szCs w:val="21"/>
              </w:rPr>
              <w:t>正拉粘结强度及其破坏形式</w:t>
            </w:r>
          </w:p>
        </w:tc>
        <w:tc>
          <w:tcPr>
            <w:tcW w:w="1707" w:type="dxa"/>
            <w:tcBorders>
              <w:top w:val="single" w:color="auto" w:sz="4" w:space="0"/>
              <w:left w:val="single" w:color="auto" w:sz="4" w:space="0"/>
              <w:bottom w:val="single" w:color="auto" w:sz="4" w:space="0"/>
              <w:right w:val="single" w:color="auto" w:sz="4" w:space="0"/>
            </w:tcBorders>
            <w:vAlign w:val="center"/>
          </w:tcPr>
          <w:p w14:paraId="74F7567F">
            <w:pPr>
              <w:jc w:val="center"/>
              <w:rPr>
                <w:color w:val="000000"/>
                <w:szCs w:val="21"/>
              </w:rPr>
            </w:pPr>
            <w:r>
              <w:rPr>
                <w:color w:val="000000"/>
                <w:szCs w:val="21"/>
              </w:rPr>
              <w:t>C15～C20</w:t>
            </w:r>
          </w:p>
        </w:tc>
        <w:tc>
          <w:tcPr>
            <w:tcW w:w="1280" w:type="dxa"/>
            <w:tcBorders>
              <w:top w:val="single" w:color="auto" w:sz="4" w:space="0"/>
              <w:left w:val="single" w:color="auto" w:sz="4" w:space="0"/>
              <w:bottom w:val="single" w:color="auto" w:sz="4" w:space="0"/>
              <w:right w:val="single" w:color="auto" w:sz="4" w:space="0"/>
            </w:tcBorders>
            <w:vAlign w:val="center"/>
          </w:tcPr>
          <w:p w14:paraId="7A1CC21C">
            <w:pPr>
              <w:jc w:val="center"/>
              <w:rPr>
                <w:color w:val="000000"/>
                <w:szCs w:val="21"/>
              </w:rPr>
            </w:pPr>
            <w:r>
              <w:rPr>
                <w:rFonts w:ascii="宋体" w:hAnsi="宋体" w:cs="宋体"/>
                <w:color w:val="000000"/>
                <w:szCs w:val="21"/>
              </w:rPr>
              <w:t>≥</w:t>
            </w:r>
            <w:r>
              <w:rPr>
                <w:color w:val="000000"/>
                <w:szCs w:val="21"/>
              </w:rPr>
              <w:t>1.5 MPa</w:t>
            </w:r>
          </w:p>
        </w:tc>
        <w:tc>
          <w:tcPr>
            <w:tcW w:w="1130" w:type="dxa"/>
            <w:vMerge w:val="restart"/>
            <w:tcBorders>
              <w:top w:val="single" w:color="auto" w:sz="4" w:space="0"/>
              <w:left w:val="single" w:color="auto" w:sz="4" w:space="0"/>
              <w:bottom w:val="single" w:color="auto" w:sz="4" w:space="0"/>
              <w:right w:val="single" w:color="auto" w:sz="4" w:space="0"/>
            </w:tcBorders>
            <w:vAlign w:val="center"/>
          </w:tcPr>
          <w:p w14:paraId="210F9DDC">
            <w:pPr>
              <w:jc w:val="center"/>
              <w:rPr>
                <w:color w:val="000000"/>
                <w:szCs w:val="21"/>
              </w:rPr>
            </w:pPr>
            <w:r>
              <w:rPr>
                <w:color w:val="000000"/>
                <w:szCs w:val="21"/>
              </w:rPr>
              <w:t>且为混凝土内聚破坏</w:t>
            </w:r>
          </w:p>
        </w:tc>
        <w:tc>
          <w:tcPr>
            <w:tcW w:w="2885" w:type="dxa"/>
            <w:vMerge w:val="restart"/>
            <w:tcBorders>
              <w:top w:val="single" w:color="auto" w:sz="4" w:space="0"/>
              <w:left w:val="single" w:color="auto" w:sz="4" w:space="0"/>
              <w:bottom w:val="single" w:color="auto" w:sz="4" w:space="0"/>
              <w:right w:val="single" w:color="auto" w:sz="4" w:space="0"/>
            </w:tcBorders>
            <w:vAlign w:val="center"/>
          </w:tcPr>
          <w:p w14:paraId="5EA5360E">
            <w:pPr>
              <w:jc w:val="center"/>
              <w:rPr>
                <w:color w:val="000000"/>
                <w:szCs w:val="21"/>
              </w:rPr>
            </w:pPr>
            <w:r>
              <w:rPr>
                <w:color w:val="000000"/>
                <w:szCs w:val="21"/>
              </w:rPr>
              <w:t>《建筑结构加固工程施工质量验收规范》GB50550附录U</w:t>
            </w:r>
          </w:p>
        </w:tc>
      </w:tr>
      <w:tr w14:paraId="7C15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6" w:type="dxa"/>
            <w:vMerge w:val="continue"/>
            <w:tcBorders>
              <w:top w:val="single" w:color="auto" w:sz="4" w:space="0"/>
              <w:left w:val="single" w:color="auto" w:sz="4" w:space="0"/>
              <w:bottom w:val="single" w:color="auto" w:sz="4" w:space="0"/>
              <w:right w:val="single" w:color="auto" w:sz="4" w:space="0"/>
            </w:tcBorders>
            <w:vAlign w:val="center"/>
          </w:tcPr>
          <w:p w14:paraId="189662BE">
            <w:pPr>
              <w:spacing w:line="360" w:lineRule="auto"/>
              <w:jc w:val="center"/>
              <w:rPr>
                <w:color w:val="000000"/>
                <w:sz w:val="24"/>
              </w:rPr>
            </w:pPr>
          </w:p>
        </w:tc>
        <w:tc>
          <w:tcPr>
            <w:tcW w:w="1707" w:type="dxa"/>
            <w:tcBorders>
              <w:top w:val="single" w:color="auto" w:sz="4" w:space="0"/>
              <w:left w:val="single" w:color="auto" w:sz="4" w:space="0"/>
              <w:bottom w:val="single" w:color="auto" w:sz="4" w:space="0"/>
              <w:right w:val="single" w:color="auto" w:sz="4" w:space="0"/>
            </w:tcBorders>
            <w:vAlign w:val="center"/>
          </w:tcPr>
          <w:p w14:paraId="17A8BEFA">
            <w:pPr>
              <w:spacing w:line="360" w:lineRule="auto"/>
              <w:jc w:val="center"/>
              <w:rPr>
                <w:color w:val="000000"/>
                <w:szCs w:val="21"/>
              </w:rPr>
            </w:pPr>
            <w:r>
              <w:rPr>
                <w:rFonts w:ascii="宋体" w:hAnsi="宋体" w:cs="宋体"/>
                <w:color w:val="000000"/>
                <w:szCs w:val="21"/>
              </w:rPr>
              <w:t>≥</w:t>
            </w:r>
            <w:r>
              <w:rPr>
                <w:color w:val="000000"/>
                <w:szCs w:val="21"/>
              </w:rPr>
              <w:t>C45</w:t>
            </w:r>
          </w:p>
        </w:tc>
        <w:tc>
          <w:tcPr>
            <w:tcW w:w="1280" w:type="dxa"/>
            <w:tcBorders>
              <w:top w:val="single" w:color="auto" w:sz="4" w:space="0"/>
              <w:left w:val="single" w:color="auto" w:sz="4" w:space="0"/>
              <w:bottom w:val="single" w:color="auto" w:sz="4" w:space="0"/>
              <w:right w:val="single" w:color="auto" w:sz="4" w:space="0"/>
            </w:tcBorders>
            <w:vAlign w:val="center"/>
          </w:tcPr>
          <w:p w14:paraId="28341BA3">
            <w:pPr>
              <w:spacing w:line="360" w:lineRule="auto"/>
              <w:jc w:val="center"/>
              <w:rPr>
                <w:color w:val="000000"/>
                <w:szCs w:val="21"/>
              </w:rPr>
            </w:pPr>
            <w:r>
              <w:rPr>
                <w:rFonts w:ascii="宋体" w:hAnsi="宋体" w:cs="宋体"/>
                <w:color w:val="000000"/>
                <w:szCs w:val="21"/>
              </w:rPr>
              <w:t>≥</w:t>
            </w:r>
            <w:r>
              <w:rPr>
                <w:color w:val="000000"/>
                <w:szCs w:val="21"/>
              </w:rPr>
              <w:t>2.5 MPa</w:t>
            </w:r>
          </w:p>
        </w:tc>
        <w:tc>
          <w:tcPr>
            <w:tcW w:w="1130" w:type="dxa"/>
            <w:vMerge w:val="continue"/>
            <w:tcBorders>
              <w:top w:val="single" w:color="auto" w:sz="4" w:space="0"/>
              <w:left w:val="single" w:color="auto" w:sz="4" w:space="0"/>
              <w:bottom w:val="single" w:color="auto" w:sz="4" w:space="0"/>
              <w:right w:val="single" w:color="auto" w:sz="4" w:space="0"/>
            </w:tcBorders>
            <w:vAlign w:val="center"/>
          </w:tcPr>
          <w:p w14:paraId="7E79C411">
            <w:pPr>
              <w:spacing w:line="360" w:lineRule="auto"/>
              <w:jc w:val="center"/>
              <w:rPr>
                <w:color w:val="000000"/>
                <w:sz w:val="24"/>
              </w:rPr>
            </w:pPr>
          </w:p>
        </w:tc>
        <w:tc>
          <w:tcPr>
            <w:tcW w:w="2885" w:type="dxa"/>
            <w:vMerge w:val="continue"/>
            <w:tcBorders>
              <w:top w:val="single" w:color="auto" w:sz="4" w:space="0"/>
              <w:left w:val="single" w:color="auto" w:sz="4" w:space="0"/>
              <w:bottom w:val="single" w:color="auto" w:sz="4" w:space="0"/>
              <w:right w:val="single" w:color="auto" w:sz="4" w:space="0"/>
            </w:tcBorders>
            <w:vAlign w:val="center"/>
          </w:tcPr>
          <w:p w14:paraId="333BB442">
            <w:pPr>
              <w:spacing w:line="360" w:lineRule="auto"/>
              <w:jc w:val="center"/>
              <w:rPr>
                <w:color w:val="000000"/>
                <w:sz w:val="24"/>
              </w:rPr>
            </w:pPr>
          </w:p>
        </w:tc>
      </w:tr>
    </w:tbl>
    <w:p w14:paraId="6CC18731">
      <w:pPr>
        <w:spacing w:line="400" w:lineRule="exact"/>
        <w:rPr>
          <w:color w:val="000000"/>
          <w:szCs w:val="22"/>
        </w:rPr>
      </w:pPr>
      <w:r>
        <w:rPr>
          <w:color w:val="000000"/>
          <w:szCs w:val="22"/>
        </w:rPr>
        <w:t>注：若混凝土强度等级介于C20～C45之间，允许按换算的强度等级以线性插值法确定其合格指标。</w:t>
      </w:r>
    </w:p>
    <w:p w14:paraId="0078A38C">
      <w:pPr>
        <w:spacing w:line="400" w:lineRule="exact"/>
        <w:rPr>
          <w:color w:val="000000"/>
          <w:szCs w:val="21"/>
        </w:rPr>
      </w:pPr>
      <w:r>
        <w:rPr>
          <w:b/>
          <w:color w:val="000000"/>
          <w:szCs w:val="22"/>
        </w:rPr>
        <w:t>10.4.8</w:t>
      </w:r>
      <w:r>
        <w:rPr>
          <w:color w:val="000000"/>
          <w:szCs w:val="22"/>
        </w:rPr>
        <w:t xml:space="preserve">  </w:t>
      </w:r>
      <w:r>
        <w:rPr>
          <w:color w:val="000000"/>
          <w:szCs w:val="21"/>
        </w:rPr>
        <w:t>混凝土</w:t>
      </w:r>
      <w:r>
        <w:rPr>
          <w:rFonts w:hint="eastAsia"/>
          <w:color w:val="000000"/>
          <w:szCs w:val="21"/>
        </w:rPr>
        <w:t>构件</w:t>
      </w:r>
      <w:r>
        <w:rPr>
          <w:color w:val="000000"/>
          <w:szCs w:val="21"/>
        </w:rPr>
        <w:t>外粘纤维复合材加固，纤维复合材与混凝土的总有效粘结面积不应小于总粘结面积的95%。纤维复合材与混凝土</w:t>
      </w:r>
      <w:r>
        <w:rPr>
          <w:rFonts w:hint="eastAsia"/>
          <w:color w:val="000000"/>
          <w:szCs w:val="21"/>
        </w:rPr>
        <w:t>构件</w:t>
      </w:r>
      <w:r>
        <w:rPr>
          <w:color w:val="000000"/>
          <w:szCs w:val="21"/>
        </w:rPr>
        <w:t>之间的正拉粘结强度应符合10.4.7表格中规定。</w:t>
      </w:r>
    </w:p>
    <w:p w14:paraId="10334888">
      <w:pPr>
        <w:spacing w:line="400" w:lineRule="exact"/>
        <w:rPr>
          <w:color w:val="000000"/>
          <w:szCs w:val="21"/>
        </w:rPr>
      </w:pPr>
      <w:r>
        <w:rPr>
          <w:b/>
          <w:bCs/>
          <w:color w:val="000000"/>
          <w:szCs w:val="21"/>
        </w:rPr>
        <w:t>10.4.9</w:t>
      </w:r>
      <w:r>
        <w:rPr>
          <w:color w:val="000000"/>
          <w:szCs w:val="21"/>
        </w:rPr>
        <w:t xml:space="preserve">  混凝土</w:t>
      </w:r>
      <w:r>
        <w:rPr>
          <w:rFonts w:hint="eastAsia"/>
          <w:color w:val="000000"/>
          <w:szCs w:val="21"/>
        </w:rPr>
        <w:t>构件</w:t>
      </w:r>
      <w:r>
        <w:rPr>
          <w:color w:val="000000"/>
          <w:szCs w:val="21"/>
        </w:rPr>
        <w:t>植筋加固，现场锚固承载力检验结果，应满足</w:t>
      </w:r>
      <w:r>
        <w:rPr>
          <w:rFonts w:hint="eastAsia"/>
          <w:color w:val="000000"/>
          <w:szCs w:val="21"/>
        </w:rPr>
        <w:t>现行国家标准</w:t>
      </w:r>
      <w:r>
        <w:rPr>
          <w:color w:val="000000"/>
          <w:szCs w:val="21"/>
        </w:rPr>
        <w:t>《建筑结构加固工程施工质量验收规范》</w:t>
      </w:r>
      <w:r>
        <w:rPr>
          <w:color w:val="000000"/>
          <w:kern w:val="0"/>
          <w:szCs w:val="21"/>
        </w:rPr>
        <w:t>GB 50550</w:t>
      </w:r>
      <w:r>
        <w:rPr>
          <w:color w:val="000000"/>
          <w:szCs w:val="21"/>
        </w:rPr>
        <w:t>附录W的要求。</w:t>
      </w:r>
    </w:p>
    <w:p w14:paraId="37E16AFC">
      <w:pPr>
        <w:spacing w:line="400" w:lineRule="exact"/>
        <w:rPr>
          <w:color w:val="000000"/>
          <w:szCs w:val="22"/>
        </w:rPr>
      </w:pPr>
      <w:r>
        <w:rPr>
          <w:b/>
          <w:color w:val="000000"/>
          <w:szCs w:val="22"/>
        </w:rPr>
        <w:t xml:space="preserve">10.4.10  </w:t>
      </w:r>
      <w:r>
        <w:rPr>
          <w:color w:val="000000"/>
          <w:szCs w:val="21"/>
        </w:rPr>
        <w:t>混凝土</w:t>
      </w:r>
      <w:r>
        <w:rPr>
          <w:color w:val="000000"/>
          <w:kern w:val="0"/>
          <w:szCs w:val="21"/>
        </w:rPr>
        <w:t>构件</w:t>
      </w:r>
      <w:r>
        <w:rPr>
          <w:color w:val="000000"/>
          <w:szCs w:val="21"/>
        </w:rPr>
        <w:t>外加预应力加固质量符合下列规定：</w:t>
      </w:r>
    </w:p>
    <w:p w14:paraId="1A287122">
      <w:pPr>
        <w:spacing w:line="400" w:lineRule="exact"/>
        <w:ind w:firstLine="422" w:firstLineChars="200"/>
        <w:rPr>
          <w:color w:val="000000"/>
          <w:szCs w:val="21"/>
        </w:rPr>
      </w:pPr>
      <w:r>
        <w:rPr>
          <w:b/>
          <w:color w:val="000000"/>
          <w:szCs w:val="22"/>
        </w:rPr>
        <w:t>1</w:t>
      </w:r>
      <w:r>
        <w:rPr>
          <w:color w:val="000000"/>
          <w:szCs w:val="22"/>
        </w:rPr>
        <w:t xml:space="preserve">  </w:t>
      </w:r>
      <w:r>
        <w:rPr>
          <w:color w:val="000000"/>
          <w:szCs w:val="21"/>
        </w:rPr>
        <w:t>预应力筋的品种、级别、规格、数量和安装位置应符合设计要求，预应力锚固节点的制作和安装质量应符合设计要求；</w:t>
      </w:r>
    </w:p>
    <w:p w14:paraId="0BE5ACAF">
      <w:pPr>
        <w:spacing w:line="400" w:lineRule="exact"/>
        <w:ind w:firstLine="422" w:firstLineChars="200"/>
        <w:rPr>
          <w:color w:val="000000"/>
          <w:sz w:val="30"/>
          <w:szCs w:val="30"/>
        </w:rPr>
      </w:pPr>
      <w:r>
        <w:rPr>
          <w:b/>
          <w:color w:val="000000"/>
          <w:szCs w:val="22"/>
        </w:rPr>
        <w:t>2</w:t>
      </w:r>
      <w:r>
        <w:rPr>
          <w:bCs/>
          <w:color w:val="000000"/>
          <w:szCs w:val="22"/>
        </w:rPr>
        <w:t xml:space="preserve">  </w:t>
      </w:r>
      <w:r>
        <w:rPr>
          <w:color w:val="000000"/>
          <w:szCs w:val="21"/>
        </w:rPr>
        <w:t>预应力筋锚固后，其实际建立的有效预应力值与设计规定的检验值之间相对偏差不应超过±5%；</w:t>
      </w:r>
    </w:p>
    <w:p w14:paraId="38384D12">
      <w:pPr>
        <w:spacing w:line="400" w:lineRule="exact"/>
        <w:ind w:firstLine="422" w:firstLineChars="200"/>
        <w:rPr>
          <w:color w:val="000000"/>
          <w:szCs w:val="21"/>
        </w:rPr>
      </w:pPr>
      <w:r>
        <w:rPr>
          <w:b/>
          <w:color w:val="000000"/>
          <w:szCs w:val="22"/>
        </w:rPr>
        <w:t xml:space="preserve">3 </w:t>
      </w:r>
      <w:r>
        <w:rPr>
          <w:color w:val="000000"/>
          <w:szCs w:val="22"/>
        </w:rPr>
        <w:t xml:space="preserve"> </w:t>
      </w:r>
      <w:r>
        <w:rPr>
          <w:color w:val="000000"/>
          <w:szCs w:val="21"/>
        </w:rPr>
        <w:t>采用钢丝束作为预应力筋时，其钢丝断裂、滑丝的数量不应超过每束一根。</w:t>
      </w:r>
    </w:p>
    <w:p w14:paraId="5187EF11">
      <w:pPr>
        <w:spacing w:line="400" w:lineRule="exact"/>
        <w:rPr>
          <w:color w:val="000000"/>
          <w:szCs w:val="21"/>
        </w:rPr>
      </w:pPr>
      <w:r>
        <w:rPr>
          <w:b/>
          <w:color w:val="000000"/>
          <w:szCs w:val="22"/>
        </w:rPr>
        <w:t xml:space="preserve">10.4.11  </w:t>
      </w:r>
      <w:r>
        <w:rPr>
          <w:color w:val="000000"/>
          <w:szCs w:val="21"/>
        </w:rPr>
        <w:t>砌体或混凝土构件外加钢筋网-砂浆面层加固质量应符合下列规定：</w:t>
      </w:r>
    </w:p>
    <w:p w14:paraId="36E5AEBF">
      <w:pPr>
        <w:spacing w:line="400" w:lineRule="exact"/>
        <w:ind w:firstLine="422" w:firstLineChars="200"/>
        <w:rPr>
          <w:color w:val="000000"/>
          <w:szCs w:val="22"/>
        </w:rPr>
      </w:pPr>
      <w:r>
        <w:rPr>
          <w:b/>
          <w:color w:val="000000"/>
          <w:szCs w:val="22"/>
        </w:rPr>
        <w:t>1</w:t>
      </w:r>
      <w:r>
        <w:rPr>
          <w:color w:val="000000"/>
          <w:szCs w:val="22"/>
        </w:rPr>
        <w:t xml:space="preserve">  砌体或混凝土构件外加钢筋网-砂浆面层与基层的有效粘结面积与总粘结面积之比的百分率不应小于90%；</w:t>
      </w:r>
    </w:p>
    <w:p w14:paraId="157E5EF8">
      <w:pPr>
        <w:spacing w:line="400" w:lineRule="exact"/>
        <w:ind w:firstLine="422" w:firstLineChars="200"/>
        <w:rPr>
          <w:color w:val="000000"/>
          <w:szCs w:val="22"/>
        </w:rPr>
      </w:pPr>
      <w:r>
        <w:rPr>
          <w:b/>
          <w:color w:val="000000"/>
          <w:szCs w:val="22"/>
        </w:rPr>
        <w:t>2</w:t>
      </w:r>
      <w:r>
        <w:rPr>
          <w:bCs/>
          <w:color w:val="000000"/>
          <w:szCs w:val="22"/>
        </w:rPr>
        <w:t xml:space="preserve"> </w:t>
      </w:r>
      <w:r>
        <w:rPr>
          <w:color w:val="000000"/>
          <w:szCs w:val="22"/>
        </w:rPr>
        <w:t xml:space="preserve"> 砂浆面层与基层之间的正拉粘结强度应符合表</w:t>
      </w:r>
      <w:r>
        <w:rPr>
          <w:rFonts w:hint="eastAsia"/>
          <w:color w:val="000000"/>
          <w:szCs w:val="22"/>
        </w:rPr>
        <w:t>1</w:t>
      </w:r>
      <w:r>
        <w:rPr>
          <w:color w:val="000000"/>
          <w:szCs w:val="22"/>
        </w:rPr>
        <w:t>0.4.</w:t>
      </w:r>
      <w:r>
        <w:rPr>
          <w:rFonts w:hint="eastAsia"/>
          <w:color w:val="000000"/>
          <w:szCs w:val="22"/>
        </w:rPr>
        <w:t>11的</w:t>
      </w:r>
      <w:r>
        <w:rPr>
          <w:color w:val="000000"/>
          <w:szCs w:val="22"/>
        </w:rPr>
        <w:t>规定：</w:t>
      </w:r>
    </w:p>
    <w:p w14:paraId="14305EC6">
      <w:pPr>
        <w:pStyle w:val="2"/>
        <w:ind w:left="134" w:firstLine="285"/>
        <w:jc w:val="center"/>
        <w:rPr>
          <w:b/>
          <w:bCs/>
          <w:color w:val="000000"/>
        </w:rPr>
      </w:pPr>
      <w:r>
        <w:rPr>
          <w:rFonts w:hint="eastAsia"/>
          <w:b/>
          <w:bCs/>
          <w:color w:val="000000"/>
        </w:rPr>
        <w:t>表10.4.1</w:t>
      </w:r>
      <w:r>
        <w:rPr>
          <w:b/>
          <w:bCs/>
          <w:color w:val="000000"/>
        </w:rPr>
        <w:t>1</w:t>
      </w:r>
      <w:r>
        <w:rPr>
          <w:rFonts w:hint="eastAsia"/>
          <w:b/>
          <w:bCs/>
          <w:color w:val="000000"/>
        </w:rPr>
        <w:t xml:space="preserve">    现场加固材料与砌体或混凝土的正拉粘结强度指标</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649"/>
        <w:gridCol w:w="1326"/>
        <w:gridCol w:w="1276"/>
        <w:gridCol w:w="1133"/>
        <w:gridCol w:w="2034"/>
      </w:tblGrid>
      <w:tr w14:paraId="7A34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00" w:type="dxa"/>
            <w:vMerge w:val="restart"/>
            <w:vAlign w:val="center"/>
          </w:tcPr>
          <w:p w14:paraId="423153F9">
            <w:pPr>
              <w:spacing w:line="360" w:lineRule="auto"/>
              <w:jc w:val="center"/>
              <w:rPr>
                <w:color w:val="000000"/>
                <w:szCs w:val="21"/>
              </w:rPr>
            </w:pPr>
            <w:r>
              <w:rPr>
                <w:color w:val="000000"/>
                <w:szCs w:val="21"/>
              </w:rPr>
              <w:t>检验项目</w:t>
            </w:r>
          </w:p>
        </w:tc>
        <w:tc>
          <w:tcPr>
            <w:tcW w:w="1649" w:type="dxa"/>
            <w:vMerge w:val="restart"/>
            <w:vAlign w:val="center"/>
          </w:tcPr>
          <w:p w14:paraId="1CA59C9E">
            <w:pPr>
              <w:jc w:val="center"/>
              <w:rPr>
                <w:color w:val="000000"/>
                <w:szCs w:val="21"/>
              </w:rPr>
            </w:pPr>
            <w:r>
              <w:rPr>
                <w:color w:val="000000"/>
                <w:szCs w:val="21"/>
              </w:rPr>
              <w:t>烧结普通砖或混凝土砌块强度等级</w:t>
            </w:r>
          </w:p>
        </w:tc>
        <w:tc>
          <w:tcPr>
            <w:tcW w:w="2602" w:type="dxa"/>
            <w:gridSpan w:val="2"/>
            <w:vAlign w:val="center"/>
          </w:tcPr>
          <w:p w14:paraId="46B21D40">
            <w:pPr>
              <w:jc w:val="center"/>
              <w:rPr>
                <w:color w:val="000000"/>
                <w:szCs w:val="21"/>
              </w:rPr>
            </w:pPr>
            <w:r>
              <w:rPr>
                <w:color w:val="000000"/>
                <w:szCs w:val="21"/>
              </w:rPr>
              <w:t>28d检验合格指标</w:t>
            </w:r>
          </w:p>
        </w:tc>
        <w:tc>
          <w:tcPr>
            <w:tcW w:w="1133" w:type="dxa"/>
            <w:vMerge w:val="restart"/>
            <w:vAlign w:val="center"/>
          </w:tcPr>
          <w:p w14:paraId="3824A500">
            <w:pPr>
              <w:jc w:val="center"/>
              <w:rPr>
                <w:color w:val="000000"/>
                <w:szCs w:val="21"/>
              </w:rPr>
            </w:pPr>
            <w:r>
              <w:rPr>
                <w:color w:val="000000"/>
                <w:szCs w:val="21"/>
              </w:rPr>
              <w:t>正常破坏形式</w:t>
            </w:r>
          </w:p>
        </w:tc>
        <w:tc>
          <w:tcPr>
            <w:tcW w:w="2034" w:type="dxa"/>
            <w:vMerge w:val="restart"/>
            <w:vAlign w:val="center"/>
          </w:tcPr>
          <w:p w14:paraId="42C625D8">
            <w:pPr>
              <w:spacing w:line="360" w:lineRule="auto"/>
              <w:jc w:val="center"/>
              <w:rPr>
                <w:color w:val="000000"/>
                <w:szCs w:val="21"/>
              </w:rPr>
            </w:pPr>
            <w:r>
              <w:rPr>
                <w:color w:val="000000"/>
                <w:szCs w:val="21"/>
              </w:rPr>
              <w:t>检验方法</w:t>
            </w:r>
          </w:p>
        </w:tc>
      </w:tr>
      <w:tr w14:paraId="2965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14:paraId="40A34224">
            <w:pPr>
              <w:spacing w:line="360" w:lineRule="auto"/>
              <w:jc w:val="center"/>
              <w:rPr>
                <w:color w:val="000000"/>
                <w:szCs w:val="21"/>
              </w:rPr>
            </w:pPr>
          </w:p>
        </w:tc>
        <w:tc>
          <w:tcPr>
            <w:tcW w:w="1649" w:type="dxa"/>
            <w:vMerge w:val="continue"/>
            <w:vAlign w:val="center"/>
          </w:tcPr>
          <w:p w14:paraId="69076E0B">
            <w:pPr>
              <w:jc w:val="center"/>
              <w:rPr>
                <w:color w:val="000000"/>
                <w:szCs w:val="21"/>
              </w:rPr>
            </w:pPr>
          </w:p>
        </w:tc>
        <w:tc>
          <w:tcPr>
            <w:tcW w:w="1326" w:type="dxa"/>
            <w:vAlign w:val="center"/>
          </w:tcPr>
          <w:p w14:paraId="496F05D8">
            <w:pPr>
              <w:jc w:val="center"/>
              <w:rPr>
                <w:color w:val="000000"/>
                <w:szCs w:val="21"/>
              </w:rPr>
            </w:pPr>
            <w:r>
              <w:rPr>
                <w:color w:val="000000"/>
                <w:szCs w:val="21"/>
              </w:rPr>
              <w:t>普通砂浆</w:t>
            </w:r>
          </w:p>
          <w:p w14:paraId="18C0BCB0">
            <w:pPr>
              <w:jc w:val="center"/>
              <w:rPr>
                <w:color w:val="000000"/>
                <w:szCs w:val="21"/>
              </w:rPr>
            </w:pPr>
            <w:r>
              <w:rPr>
                <w:color w:val="000000"/>
                <w:szCs w:val="21"/>
              </w:rPr>
              <w:t>（</w:t>
            </w:r>
            <w:r>
              <w:rPr>
                <w:rFonts w:hint="eastAsia" w:ascii="宋体" w:hAnsi="宋体" w:cs="宋体"/>
                <w:color w:val="000000"/>
                <w:szCs w:val="21"/>
              </w:rPr>
              <w:t>≥</w:t>
            </w:r>
            <w:r>
              <w:rPr>
                <w:color w:val="000000"/>
                <w:szCs w:val="21"/>
              </w:rPr>
              <w:t>M15）</w:t>
            </w:r>
          </w:p>
        </w:tc>
        <w:tc>
          <w:tcPr>
            <w:tcW w:w="1276" w:type="dxa"/>
            <w:vAlign w:val="center"/>
          </w:tcPr>
          <w:p w14:paraId="567131AD">
            <w:pPr>
              <w:jc w:val="center"/>
              <w:rPr>
                <w:color w:val="000000"/>
                <w:szCs w:val="21"/>
              </w:rPr>
            </w:pPr>
            <w:r>
              <w:rPr>
                <w:color w:val="000000"/>
                <w:szCs w:val="21"/>
              </w:rPr>
              <w:t>聚合物砂浆或复合砂浆</w:t>
            </w:r>
          </w:p>
        </w:tc>
        <w:tc>
          <w:tcPr>
            <w:tcW w:w="1133" w:type="dxa"/>
            <w:vMerge w:val="continue"/>
            <w:vAlign w:val="center"/>
          </w:tcPr>
          <w:p w14:paraId="38990C90">
            <w:pPr>
              <w:spacing w:line="360" w:lineRule="auto"/>
              <w:jc w:val="center"/>
              <w:rPr>
                <w:color w:val="000000"/>
                <w:szCs w:val="21"/>
              </w:rPr>
            </w:pPr>
          </w:p>
        </w:tc>
        <w:tc>
          <w:tcPr>
            <w:tcW w:w="2034" w:type="dxa"/>
            <w:vMerge w:val="continue"/>
            <w:vAlign w:val="center"/>
          </w:tcPr>
          <w:p w14:paraId="6FD91587">
            <w:pPr>
              <w:spacing w:line="360" w:lineRule="auto"/>
              <w:jc w:val="center"/>
              <w:rPr>
                <w:color w:val="000000"/>
                <w:szCs w:val="21"/>
              </w:rPr>
            </w:pPr>
          </w:p>
        </w:tc>
      </w:tr>
      <w:tr w14:paraId="59FD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00" w:type="dxa"/>
            <w:vMerge w:val="restart"/>
            <w:vAlign w:val="center"/>
          </w:tcPr>
          <w:p w14:paraId="48342022">
            <w:pPr>
              <w:jc w:val="center"/>
              <w:rPr>
                <w:color w:val="000000"/>
                <w:szCs w:val="21"/>
              </w:rPr>
            </w:pPr>
            <w:r>
              <w:rPr>
                <w:color w:val="000000"/>
                <w:szCs w:val="21"/>
              </w:rPr>
              <w:t>正拉粘结强度及其破坏形式</w:t>
            </w:r>
          </w:p>
        </w:tc>
        <w:tc>
          <w:tcPr>
            <w:tcW w:w="1649" w:type="dxa"/>
            <w:vAlign w:val="center"/>
          </w:tcPr>
          <w:p w14:paraId="3B39A7FE">
            <w:pPr>
              <w:jc w:val="center"/>
              <w:rPr>
                <w:color w:val="000000"/>
                <w:szCs w:val="21"/>
              </w:rPr>
            </w:pPr>
            <w:r>
              <w:rPr>
                <w:color w:val="000000"/>
                <w:szCs w:val="21"/>
              </w:rPr>
              <w:t>MU10~MU15</w:t>
            </w:r>
          </w:p>
        </w:tc>
        <w:tc>
          <w:tcPr>
            <w:tcW w:w="1326" w:type="dxa"/>
            <w:vAlign w:val="center"/>
          </w:tcPr>
          <w:p w14:paraId="4A0DDBF9">
            <w:pPr>
              <w:jc w:val="center"/>
              <w:rPr>
                <w:color w:val="000000"/>
                <w:szCs w:val="21"/>
              </w:rPr>
            </w:pPr>
            <w:r>
              <w:rPr>
                <w:rFonts w:ascii="宋体" w:hAnsi="宋体" w:cs="宋体"/>
                <w:color w:val="000000"/>
                <w:szCs w:val="21"/>
              </w:rPr>
              <w:t>≥</w:t>
            </w:r>
            <w:r>
              <w:rPr>
                <w:color w:val="000000"/>
                <w:szCs w:val="21"/>
              </w:rPr>
              <w:t>0.6MPa</w:t>
            </w:r>
          </w:p>
        </w:tc>
        <w:tc>
          <w:tcPr>
            <w:tcW w:w="1276" w:type="dxa"/>
            <w:vAlign w:val="center"/>
          </w:tcPr>
          <w:p w14:paraId="7C16824F">
            <w:pPr>
              <w:jc w:val="center"/>
              <w:rPr>
                <w:color w:val="000000"/>
                <w:szCs w:val="21"/>
              </w:rPr>
            </w:pPr>
            <w:r>
              <w:rPr>
                <w:rFonts w:ascii="宋体" w:hAnsi="宋体" w:cs="宋体"/>
                <w:color w:val="000000"/>
                <w:szCs w:val="21"/>
              </w:rPr>
              <w:t>≥</w:t>
            </w:r>
            <w:r>
              <w:rPr>
                <w:color w:val="000000"/>
                <w:szCs w:val="21"/>
              </w:rPr>
              <w:t>1.0MPa</w:t>
            </w:r>
          </w:p>
        </w:tc>
        <w:tc>
          <w:tcPr>
            <w:tcW w:w="1133" w:type="dxa"/>
            <w:vMerge w:val="restart"/>
            <w:vAlign w:val="center"/>
          </w:tcPr>
          <w:p w14:paraId="27F43FC8">
            <w:pPr>
              <w:jc w:val="center"/>
              <w:rPr>
                <w:color w:val="000000"/>
                <w:szCs w:val="21"/>
              </w:rPr>
            </w:pPr>
            <w:r>
              <w:rPr>
                <w:color w:val="000000"/>
                <w:szCs w:val="21"/>
              </w:rPr>
              <w:t>砖或砌块内聚破坏</w:t>
            </w:r>
          </w:p>
        </w:tc>
        <w:tc>
          <w:tcPr>
            <w:tcW w:w="2034" w:type="dxa"/>
            <w:vMerge w:val="restart"/>
            <w:vAlign w:val="center"/>
          </w:tcPr>
          <w:p w14:paraId="1286B212">
            <w:pPr>
              <w:jc w:val="center"/>
              <w:rPr>
                <w:color w:val="000000"/>
                <w:szCs w:val="21"/>
              </w:rPr>
            </w:pPr>
            <w:r>
              <w:rPr>
                <w:color w:val="000000"/>
                <w:szCs w:val="21"/>
              </w:rPr>
              <w:t>《建筑结构加固工程施工质量验收规范》GB50550附录U</w:t>
            </w:r>
          </w:p>
        </w:tc>
      </w:tr>
      <w:tr w14:paraId="613F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14:paraId="7AE6E596">
            <w:pPr>
              <w:jc w:val="center"/>
              <w:rPr>
                <w:color w:val="000000"/>
                <w:szCs w:val="21"/>
              </w:rPr>
            </w:pPr>
          </w:p>
        </w:tc>
        <w:tc>
          <w:tcPr>
            <w:tcW w:w="1649" w:type="dxa"/>
            <w:vAlign w:val="center"/>
          </w:tcPr>
          <w:p w14:paraId="39995A62">
            <w:pPr>
              <w:jc w:val="center"/>
              <w:rPr>
                <w:color w:val="000000"/>
                <w:szCs w:val="21"/>
              </w:rPr>
            </w:pPr>
            <w:r>
              <w:rPr>
                <w:rFonts w:ascii="宋体" w:hAnsi="宋体" w:cs="宋体"/>
                <w:color w:val="000000"/>
                <w:szCs w:val="21"/>
              </w:rPr>
              <w:t>≥</w:t>
            </w:r>
            <w:r>
              <w:rPr>
                <w:color w:val="000000"/>
                <w:szCs w:val="21"/>
              </w:rPr>
              <w:t>MU20</w:t>
            </w:r>
          </w:p>
        </w:tc>
        <w:tc>
          <w:tcPr>
            <w:tcW w:w="1326" w:type="dxa"/>
            <w:vAlign w:val="center"/>
          </w:tcPr>
          <w:p w14:paraId="634B2C36">
            <w:pPr>
              <w:jc w:val="center"/>
              <w:rPr>
                <w:color w:val="000000"/>
                <w:szCs w:val="21"/>
              </w:rPr>
            </w:pPr>
            <w:r>
              <w:rPr>
                <w:rFonts w:ascii="宋体" w:hAnsi="宋体" w:cs="宋体"/>
                <w:color w:val="000000"/>
                <w:szCs w:val="21"/>
              </w:rPr>
              <w:t>≥</w:t>
            </w:r>
            <w:r>
              <w:rPr>
                <w:color w:val="000000"/>
                <w:szCs w:val="21"/>
              </w:rPr>
              <w:t>1.0MPa</w:t>
            </w:r>
          </w:p>
        </w:tc>
        <w:tc>
          <w:tcPr>
            <w:tcW w:w="1276" w:type="dxa"/>
            <w:vAlign w:val="center"/>
          </w:tcPr>
          <w:p w14:paraId="33E90E39">
            <w:pPr>
              <w:jc w:val="center"/>
              <w:rPr>
                <w:color w:val="000000"/>
                <w:szCs w:val="21"/>
              </w:rPr>
            </w:pPr>
            <w:r>
              <w:rPr>
                <w:rFonts w:ascii="宋体" w:hAnsi="宋体" w:cs="宋体"/>
                <w:color w:val="000000"/>
                <w:szCs w:val="21"/>
              </w:rPr>
              <w:t>≥</w:t>
            </w:r>
            <w:r>
              <w:rPr>
                <w:color w:val="000000"/>
                <w:szCs w:val="21"/>
              </w:rPr>
              <w:t>1.3MPa</w:t>
            </w:r>
          </w:p>
        </w:tc>
        <w:tc>
          <w:tcPr>
            <w:tcW w:w="1133" w:type="dxa"/>
            <w:vMerge w:val="continue"/>
            <w:vAlign w:val="center"/>
          </w:tcPr>
          <w:p w14:paraId="7D5E5AF6">
            <w:pPr>
              <w:spacing w:line="360" w:lineRule="auto"/>
              <w:jc w:val="center"/>
              <w:rPr>
                <w:color w:val="000000"/>
                <w:szCs w:val="21"/>
              </w:rPr>
            </w:pPr>
          </w:p>
        </w:tc>
        <w:tc>
          <w:tcPr>
            <w:tcW w:w="2034" w:type="dxa"/>
            <w:vMerge w:val="continue"/>
            <w:vAlign w:val="center"/>
          </w:tcPr>
          <w:p w14:paraId="111719F1">
            <w:pPr>
              <w:spacing w:line="360" w:lineRule="auto"/>
              <w:jc w:val="center"/>
              <w:rPr>
                <w:color w:val="000000"/>
                <w:szCs w:val="21"/>
              </w:rPr>
            </w:pPr>
          </w:p>
        </w:tc>
      </w:tr>
    </w:tbl>
    <w:p w14:paraId="13448E25">
      <w:pPr>
        <w:spacing w:line="400" w:lineRule="exact"/>
        <w:ind w:firstLine="422" w:firstLineChars="200"/>
        <w:rPr>
          <w:color w:val="000000"/>
          <w:szCs w:val="21"/>
        </w:rPr>
      </w:pPr>
      <w:r>
        <w:rPr>
          <w:b/>
          <w:color w:val="000000"/>
          <w:szCs w:val="21"/>
        </w:rPr>
        <w:t>3</w:t>
      </w:r>
      <w:r>
        <w:rPr>
          <w:color w:val="000000"/>
          <w:szCs w:val="21"/>
        </w:rPr>
        <w:t xml:space="preserve">  新增砂浆面层的钢筋保护层厚度，允许偏差为+5 mm，无负偏差。</w:t>
      </w:r>
    </w:p>
    <w:p w14:paraId="12172E9B">
      <w:pPr>
        <w:spacing w:line="400" w:lineRule="exact"/>
        <w:rPr>
          <w:color w:val="000000"/>
          <w:szCs w:val="21"/>
        </w:rPr>
      </w:pPr>
      <w:r>
        <w:rPr>
          <w:b/>
          <w:color w:val="000000"/>
          <w:szCs w:val="22"/>
        </w:rPr>
        <w:t xml:space="preserve">10.4.12  </w:t>
      </w:r>
      <w:r>
        <w:rPr>
          <w:color w:val="000000"/>
          <w:szCs w:val="21"/>
        </w:rPr>
        <w:t>钢构件增大截面加固工程，新增钢部件加工和安装的偏差，连接螺栓、焊缝质量应符合</w:t>
      </w:r>
      <w:r>
        <w:rPr>
          <w:rFonts w:hint="eastAsia"/>
          <w:color w:val="000000"/>
          <w:szCs w:val="21"/>
        </w:rPr>
        <w:t>现行</w:t>
      </w:r>
      <w:r>
        <w:rPr>
          <w:rFonts w:hint="eastAsia"/>
          <w:color w:val="000000"/>
          <w:szCs w:val="21"/>
          <w:lang w:val="en-US" w:eastAsia="zh-CN"/>
        </w:rPr>
        <w:t>地方标准</w:t>
      </w:r>
      <w:r>
        <w:rPr>
          <w:color w:val="000000"/>
          <w:szCs w:val="21"/>
        </w:rPr>
        <w:t>《建筑结构</w:t>
      </w:r>
      <w:r>
        <w:rPr>
          <w:color w:val="000000"/>
          <w:kern w:val="0"/>
          <w:szCs w:val="21"/>
        </w:rPr>
        <w:t>长城杯</w:t>
      </w:r>
      <w:r>
        <w:rPr>
          <w:color w:val="000000"/>
          <w:szCs w:val="21"/>
        </w:rPr>
        <w:t>工程质量评审</w:t>
      </w:r>
      <w:r>
        <w:rPr>
          <w:rFonts w:hint="eastAsia"/>
          <w:color w:val="000000"/>
          <w:szCs w:val="21"/>
        </w:rPr>
        <w:t>标准</w:t>
      </w:r>
      <w:r>
        <w:rPr>
          <w:color w:val="000000"/>
          <w:szCs w:val="21"/>
        </w:rPr>
        <w:t>》DB11/T</w:t>
      </w:r>
      <w:r>
        <w:rPr>
          <w:rFonts w:hint="eastAsia"/>
          <w:color w:val="000000"/>
          <w:szCs w:val="21"/>
          <w:lang w:val="en-US" w:eastAsia="zh-CN"/>
        </w:rPr>
        <w:t xml:space="preserve"> </w:t>
      </w:r>
      <w:r>
        <w:rPr>
          <w:color w:val="000000"/>
          <w:szCs w:val="21"/>
        </w:rPr>
        <w:t>1074的相关规定。</w:t>
      </w:r>
    </w:p>
    <w:bookmarkEnd w:id="539"/>
    <w:p w14:paraId="3C3CD66B">
      <w:pPr>
        <w:pStyle w:val="4"/>
        <w:numPr>
          <w:ilvl w:val="0"/>
          <w:numId w:val="0"/>
        </w:numPr>
        <w:spacing w:before="312" w:beforeLines="100" w:line="400" w:lineRule="exact"/>
        <w:jc w:val="center"/>
        <w:rPr>
          <w:rFonts w:ascii="Times New Roman" w:hAnsi="Times New Roman" w:eastAsia="黑体"/>
          <w:sz w:val="24"/>
          <w:szCs w:val="24"/>
        </w:rPr>
      </w:pPr>
      <w:bookmarkStart w:id="544" w:name="_Toc18954"/>
      <w:bookmarkStart w:id="545" w:name="_Toc10938"/>
      <w:bookmarkStart w:id="546" w:name="_Toc19158"/>
      <w:bookmarkStart w:id="547" w:name="_Toc12841"/>
      <w:bookmarkStart w:id="548" w:name="_Toc14234"/>
      <w:r>
        <w:rPr>
          <w:rFonts w:ascii="Times New Roman" w:hAnsi="Times New Roman" w:eastAsia="黑体"/>
          <w:b/>
          <w:bCs/>
          <w:sz w:val="24"/>
          <w:szCs w:val="24"/>
        </w:rPr>
        <w:t>10.5</w:t>
      </w:r>
      <w:r>
        <w:rPr>
          <w:rFonts w:ascii="Times New Roman" w:hAnsi="Times New Roman" w:eastAsia="黑体"/>
          <w:b/>
          <w:bCs/>
          <w:sz w:val="24"/>
          <w:szCs w:val="24"/>
          <w:lang w:val="en-US"/>
        </w:rPr>
        <w:t xml:space="preserve"> </w:t>
      </w:r>
      <w:r>
        <w:rPr>
          <w:rFonts w:ascii="Times New Roman" w:hAnsi="Times New Roman" w:eastAsia="黑体"/>
          <w:sz w:val="24"/>
          <w:szCs w:val="24"/>
          <w:lang w:val="en-US"/>
        </w:rPr>
        <w:t xml:space="preserve"> </w:t>
      </w:r>
      <w:r>
        <w:rPr>
          <w:rFonts w:ascii="Times New Roman" w:hAnsi="Times New Roman" w:eastAsia="黑体"/>
          <w:sz w:val="24"/>
          <w:szCs w:val="24"/>
        </w:rPr>
        <w:t>屋面改造工程</w:t>
      </w:r>
      <w:bookmarkEnd w:id="544"/>
      <w:bookmarkEnd w:id="545"/>
      <w:bookmarkEnd w:id="546"/>
      <w:bookmarkEnd w:id="547"/>
      <w:bookmarkEnd w:id="548"/>
    </w:p>
    <w:p w14:paraId="198DD848">
      <w:pPr>
        <w:spacing w:line="400" w:lineRule="exact"/>
        <w:rPr>
          <w:b/>
          <w:bCs/>
          <w:color w:val="000000"/>
          <w:kern w:val="0"/>
          <w:szCs w:val="21"/>
        </w:rPr>
      </w:pPr>
      <w:bookmarkStart w:id="549" w:name="_Toc29293"/>
      <w:r>
        <w:rPr>
          <w:b/>
          <w:color w:val="000000"/>
          <w:szCs w:val="22"/>
        </w:rPr>
        <w:t xml:space="preserve">10.5.1  </w:t>
      </w:r>
      <w:r>
        <w:rPr>
          <w:color w:val="000000"/>
          <w:kern w:val="0"/>
          <w:szCs w:val="21"/>
        </w:rPr>
        <w:t>屋面改造工程应符合</w:t>
      </w:r>
      <w:r>
        <w:rPr>
          <w:rFonts w:hint="eastAsia"/>
          <w:color w:val="000000"/>
          <w:kern w:val="0"/>
          <w:szCs w:val="21"/>
        </w:rPr>
        <w:t>下列规定</w:t>
      </w:r>
      <w:r>
        <w:rPr>
          <w:color w:val="000000"/>
          <w:kern w:val="0"/>
          <w:szCs w:val="21"/>
        </w:rPr>
        <w:t>：</w:t>
      </w:r>
    </w:p>
    <w:p w14:paraId="16FC0480">
      <w:pPr>
        <w:spacing w:line="400" w:lineRule="exact"/>
        <w:ind w:firstLine="422" w:firstLineChars="200"/>
        <w:rPr>
          <w:dstrike/>
          <w:color w:val="000000"/>
          <w:kern w:val="0"/>
          <w:szCs w:val="21"/>
        </w:rPr>
      </w:pPr>
      <w:r>
        <w:rPr>
          <w:b/>
          <w:bCs/>
          <w:color w:val="000000"/>
          <w:kern w:val="0"/>
          <w:szCs w:val="21"/>
        </w:rPr>
        <w:t>1</w:t>
      </w:r>
      <w:r>
        <w:rPr>
          <w:color w:val="000000"/>
          <w:kern w:val="0"/>
          <w:szCs w:val="21"/>
        </w:rPr>
        <w:t xml:space="preserve">  既有建筑平改坡改造，应根据屋顶情况及周围环境选择坡屋面形式及坡度，</w:t>
      </w:r>
      <w:r>
        <w:rPr>
          <w:rFonts w:hint="eastAsia"/>
          <w:color w:val="000000"/>
          <w:kern w:val="0"/>
          <w:szCs w:val="21"/>
        </w:rPr>
        <w:t>保证</w:t>
      </w:r>
      <w:r>
        <w:rPr>
          <w:color w:val="000000"/>
          <w:kern w:val="0"/>
          <w:szCs w:val="21"/>
        </w:rPr>
        <w:t>其保温隔热效果和结构安全性；新坡顶下空间严禁堆物和另作他用；</w:t>
      </w:r>
    </w:p>
    <w:p w14:paraId="5945F02E">
      <w:pPr>
        <w:spacing w:line="400" w:lineRule="exact"/>
        <w:ind w:firstLine="422" w:firstLineChars="200"/>
        <w:rPr>
          <w:color w:val="000000"/>
          <w:kern w:val="0"/>
          <w:szCs w:val="21"/>
        </w:rPr>
      </w:pPr>
      <w:r>
        <w:rPr>
          <w:b/>
          <w:bCs/>
          <w:color w:val="000000"/>
          <w:kern w:val="0"/>
          <w:szCs w:val="21"/>
        </w:rPr>
        <w:t>2</w:t>
      </w:r>
      <w:r>
        <w:rPr>
          <w:color w:val="000000"/>
          <w:kern w:val="0"/>
          <w:szCs w:val="21"/>
        </w:rPr>
        <w:t xml:space="preserve">  既有建筑屋面改造时，新</w:t>
      </w:r>
      <w:r>
        <w:rPr>
          <w:rFonts w:hint="eastAsia"/>
          <w:color w:val="000000"/>
          <w:kern w:val="0"/>
          <w:szCs w:val="21"/>
        </w:rPr>
        <w:t>、</w:t>
      </w:r>
      <w:r>
        <w:rPr>
          <w:color w:val="000000"/>
          <w:kern w:val="0"/>
          <w:szCs w:val="21"/>
        </w:rPr>
        <w:t>旧构件间应有可靠连接。新增结构应满足抗震、抗风、抗雪承载力要求。应根据设计要求弹线定位，弹线前应精确复核既有承重墙、柱位置，新增结构应支撑在既有承重墙、柱上；</w:t>
      </w:r>
    </w:p>
    <w:p w14:paraId="32C1B6DB">
      <w:pPr>
        <w:spacing w:line="400" w:lineRule="exact"/>
        <w:ind w:firstLine="422" w:firstLineChars="200"/>
        <w:rPr>
          <w:dstrike/>
          <w:color w:val="000000"/>
          <w:kern w:val="0"/>
          <w:szCs w:val="21"/>
        </w:rPr>
      </w:pPr>
      <w:r>
        <w:rPr>
          <w:b/>
          <w:bCs/>
          <w:color w:val="000000"/>
          <w:kern w:val="0"/>
          <w:szCs w:val="21"/>
        </w:rPr>
        <w:t>3</w:t>
      </w:r>
      <w:r>
        <w:rPr>
          <w:color w:val="000000"/>
          <w:szCs w:val="21"/>
        </w:rPr>
        <w:t xml:space="preserve">  坡屋面屋脊四周均应设置</w:t>
      </w:r>
      <w:r>
        <w:rPr>
          <w:color w:val="000000"/>
          <w:kern w:val="0"/>
          <w:szCs w:val="21"/>
        </w:rPr>
        <w:t>防雷带，新增防雷带应与原防雷系统可靠焊接；</w:t>
      </w:r>
    </w:p>
    <w:p w14:paraId="67776C2B">
      <w:pPr>
        <w:spacing w:line="400" w:lineRule="exact"/>
        <w:ind w:firstLine="422" w:firstLineChars="200"/>
        <w:rPr>
          <w:color w:val="000000"/>
          <w:kern w:val="0"/>
          <w:szCs w:val="21"/>
        </w:rPr>
      </w:pPr>
      <w:r>
        <w:rPr>
          <w:b/>
          <w:bCs/>
          <w:color w:val="000000"/>
          <w:kern w:val="0"/>
          <w:szCs w:val="21"/>
        </w:rPr>
        <w:t>4</w:t>
      </w:r>
      <w:r>
        <w:rPr>
          <w:color w:val="000000"/>
          <w:kern w:val="0"/>
          <w:szCs w:val="21"/>
        </w:rPr>
        <w:t xml:space="preserve">  既有建筑屋面改造过程中，新增伸出屋面的管道、设备基座、预埋件等对原有屋面构造层损坏的，应按设计要求进行修复，应利用其原有平屋面排水系统并保持排水通畅、不积水；</w:t>
      </w:r>
    </w:p>
    <w:p w14:paraId="58F1AF67">
      <w:pPr>
        <w:spacing w:line="400" w:lineRule="exact"/>
        <w:ind w:firstLine="422" w:firstLineChars="200"/>
        <w:rPr>
          <w:color w:val="000000"/>
          <w:kern w:val="0"/>
          <w:szCs w:val="21"/>
        </w:rPr>
      </w:pPr>
      <w:r>
        <w:rPr>
          <w:b/>
          <w:bCs/>
          <w:color w:val="000000"/>
          <w:kern w:val="0"/>
          <w:szCs w:val="21"/>
        </w:rPr>
        <w:t xml:space="preserve">5  </w:t>
      </w:r>
      <w:r>
        <w:rPr>
          <w:color w:val="000000"/>
          <w:kern w:val="0"/>
          <w:szCs w:val="21"/>
        </w:rPr>
        <w:t>屋面改造工程的各构造层应符合本标准</w:t>
      </w:r>
      <w:r>
        <w:rPr>
          <w:rFonts w:hint="eastAsia"/>
          <w:color w:val="000000"/>
          <w:kern w:val="0"/>
          <w:szCs w:val="21"/>
          <w:lang w:val="en-US" w:eastAsia="zh-CN"/>
        </w:rPr>
        <w:t>第</w:t>
      </w:r>
      <w:r>
        <w:rPr>
          <w:color w:val="000000"/>
          <w:kern w:val="0"/>
          <w:szCs w:val="21"/>
        </w:rPr>
        <w:t>7.2</w:t>
      </w:r>
      <w:r>
        <w:rPr>
          <w:rFonts w:hint="eastAsia"/>
          <w:color w:val="000000"/>
          <w:kern w:val="0"/>
          <w:szCs w:val="21"/>
          <w:lang w:val="en-US" w:eastAsia="zh-CN"/>
        </w:rPr>
        <w:t>节</w:t>
      </w:r>
      <w:r>
        <w:rPr>
          <w:color w:val="000000"/>
          <w:kern w:val="0"/>
          <w:szCs w:val="21"/>
        </w:rPr>
        <w:t>的规定；</w:t>
      </w:r>
    </w:p>
    <w:p w14:paraId="05E7CECE">
      <w:pPr>
        <w:spacing w:line="400" w:lineRule="exact"/>
        <w:ind w:firstLine="422" w:firstLineChars="200"/>
        <w:rPr>
          <w:color w:val="000000"/>
          <w:kern w:val="0"/>
          <w:szCs w:val="21"/>
        </w:rPr>
      </w:pPr>
      <w:r>
        <w:rPr>
          <w:b/>
          <w:bCs/>
          <w:color w:val="000000"/>
          <w:kern w:val="0"/>
          <w:szCs w:val="21"/>
        </w:rPr>
        <w:t xml:space="preserve">6  </w:t>
      </w:r>
      <w:r>
        <w:rPr>
          <w:color w:val="000000"/>
          <w:kern w:val="0"/>
          <w:szCs w:val="21"/>
        </w:rPr>
        <w:t>既有建筑改造中，新</w:t>
      </w:r>
      <w:r>
        <w:rPr>
          <w:rFonts w:hint="eastAsia"/>
          <w:color w:val="000000"/>
          <w:kern w:val="0"/>
          <w:szCs w:val="21"/>
        </w:rPr>
        <w:t>、</w:t>
      </w:r>
      <w:r>
        <w:rPr>
          <w:color w:val="000000"/>
          <w:kern w:val="0"/>
          <w:szCs w:val="21"/>
        </w:rPr>
        <w:t>旧防水层存在连接的，应有专项节点设计，防水与密封材料应满足相容性要求。</w:t>
      </w:r>
    </w:p>
    <w:p w14:paraId="21A8A3EA">
      <w:pPr>
        <w:spacing w:line="400" w:lineRule="exact"/>
        <w:rPr>
          <w:color w:val="000000"/>
          <w:kern w:val="0"/>
          <w:szCs w:val="21"/>
        </w:rPr>
      </w:pPr>
      <w:r>
        <w:rPr>
          <w:b/>
          <w:color w:val="000000"/>
          <w:szCs w:val="22"/>
        </w:rPr>
        <w:t xml:space="preserve">10.5.2  </w:t>
      </w:r>
      <w:r>
        <w:rPr>
          <w:color w:val="000000"/>
          <w:kern w:val="0"/>
          <w:szCs w:val="21"/>
        </w:rPr>
        <w:t>屋面加装太阳能系统应符合</w:t>
      </w:r>
      <w:r>
        <w:rPr>
          <w:rFonts w:hint="eastAsia"/>
          <w:color w:val="000000"/>
          <w:kern w:val="0"/>
          <w:szCs w:val="21"/>
        </w:rPr>
        <w:t>下列规定</w:t>
      </w:r>
      <w:r>
        <w:rPr>
          <w:color w:val="000000"/>
          <w:kern w:val="0"/>
          <w:szCs w:val="21"/>
        </w:rPr>
        <w:t>：</w:t>
      </w:r>
    </w:p>
    <w:p w14:paraId="3D7385F8">
      <w:pPr>
        <w:spacing w:line="400" w:lineRule="exact"/>
        <w:ind w:firstLine="422" w:firstLineChars="200"/>
        <w:rPr>
          <w:color w:val="000000"/>
          <w:kern w:val="0"/>
          <w:szCs w:val="21"/>
        </w:rPr>
      </w:pPr>
      <w:r>
        <w:rPr>
          <w:b/>
          <w:bCs/>
          <w:color w:val="000000"/>
          <w:kern w:val="0"/>
          <w:szCs w:val="21"/>
        </w:rPr>
        <w:t xml:space="preserve">1 </w:t>
      </w:r>
      <w:r>
        <w:rPr>
          <w:rFonts w:hint="eastAsia"/>
          <w:b/>
          <w:bCs/>
          <w:color w:val="000000"/>
          <w:kern w:val="0"/>
          <w:szCs w:val="21"/>
        </w:rPr>
        <w:t xml:space="preserve"> </w:t>
      </w:r>
      <w:r>
        <w:rPr>
          <w:color w:val="000000"/>
          <w:kern w:val="0"/>
          <w:szCs w:val="21"/>
        </w:rPr>
        <w:t>在既有建筑上增设或改造太阳能系统，必须经建筑结构安全复核，满足建筑结构安全性要求；</w:t>
      </w:r>
    </w:p>
    <w:p w14:paraId="39520810">
      <w:pPr>
        <w:spacing w:line="400" w:lineRule="exact"/>
        <w:ind w:firstLine="422" w:firstLineChars="200"/>
        <w:rPr>
          <w:dstrike/>
          <w:color w:val="000000"/>
          <w:kern w:val="0"/>
          <w:szCs w:val="21"/>
        </w:rPr>
      </w:pPr>
      <w:r>
        <w:rPr>
          <w:b/>
          <w:bCs/>
          <w:color w:val="000000"/>
          <w:kern w:val="0"/>
          <w:szCs w:val="21"/>
        </w:rPr>
        <w:t>2</w:t>
      </w:r>
      <w:r>
        <w:rPr>
          <w:color w:val="000000"/>
          <w:kern w:val="0"/>
          <w:szCs w:val="21"/>
        </w:rPr>
        <w:t xml:space="preserve"> </w:t>
      </w:r>
      <w:r>
        <w:rPr>
          <w:rFonts w:hint="eastAsia"/>
          <w:color w:val="000000"/>
          <w:kern w:val="0"/>
          <w:szCs w:val="21"/>
        </w:rPr>
        <w:t xml:space="preserve"> </w:t>
      </w:r>
      <w:r>
        <w:rPr>
          <w:color w:val="000000"/>
          <w:kern w:val="0"/>
          <w:szCs w:val="21"/>
        </w:rPr>
        <w:t>在既有建筑上</w:t>
      </w:r>
      <w:r>
        <w:rPr>
          <w:rFonts w:hint="eastAsia"/>
          <w:color w:val="000000"/>
          <w:kern w:val="0"/>
          <w:szCs w:val="21"/>
        </w:rPr>
        <w:t>加装太阳能系统</w:t>
      </w:r>
      <w:r>
        <w:rPr>
          <w:color w:val="000000"/>
          <w:kern w:val="0"/>
          <w:szCs w:val="21"/>
        </w:rPr>
        <w:t>，应</w:t>
      </w:r>
      <w:r>
        <w:rPr>
          <w:rFonts w:hint="eastAsia"/>
          <w:color w:val="000000"/>
          <w:kern w:val="0"/>
          <w:szCs w:val="21"/>
        </w:rPr>
        <w:t>根据</w:t>
      </w:r>
      <w:r>
        <w:rPr>
          <w:color w:val="000000"/>
          <w:kern w:val="0"/>
          <w:szCs w:val="21"/>
        </w:rPr>
        <w:t>建筑物的建设年代、结构状况，选择最可靠、安全的安装方法；</w:t>
      </w:r>
    </w:p>
    <w:p w14:paraId="070A383E">
      <w:pPr>
        <w:spacing w:line="400" w:lineRule="exact"/>
        <w:ind w:firstLine="422" w:firstLineChars="200"/>
        <w:rPr>
          <w:color w:val="000000"/>
          <w:kern w:val="0"/>
          <w:szCs w:val="21"/>
        </w:rPr>
      </w:pPr>
      <w:r>
        <w:rPr>
          <w:b/>
          <w:bCs/>
          <w:color w:val="000000"/>
          <w:kern w:val="0"/>
          <w:szCs w:val="21"/>
        </w:rPr>
        <w:t>3</w:t>
      </w:r>
      <w:r>
        <w:rPr>
          <w:rFonts w:hint="eastAsia"/>
          <w:b/>
          <w:bCs/>
          <w:color w:val="000000"/>
          <w:kern w:val="0"/>
          <w:szCs w:val="21"/>
        </w:rPr>
        <w:t xml:space="preserve"> </w:t>
      </w:r>
      <w:r>
        <w:rPr>
          <w:b/>
          <w:bCs/>
          <w:color w:val="000000"/>
          <w:kern w:val="0"/>
          <w:szCs w:val="21"/>
        </w:rPr>
        <w:t xml:space="preserve"> </w:t>
      </w:r>
      <w:r>
        <w:rPr>
          <w:color w:val="000000"/>
          <w:kern w:val="0"/>
          <w:szCs w:val="21"/>
        </w:rPr>
        <w:t>既有建筑加装太阳能系统，新增的支架基础、管线对原建筑物防水有损坏时，应根据原防水重新进行防水密封处理，严禁出现渗漏现象；</w:t>
      </w:r>
    </w:p>
    <w:p w14:paraId="550F6BD6">
      <w:pPr>
        <w:spacing w:line="400" w:lineRule="exact"/>
        <w:ind w:firstLine="422" w:firstLineChars="200"/>
        <w:rPr>
          <w:b/>
          <w:bCs/>
          <w:color w:val="000000"/>
          <w:kern w:val="0"/>
          <w:szCs w:val="21"/>
        </w:rPr>
      </w:pPr>
      <w:r>
        <w:rPr>
          <w:b/>
          <w:bCs/>
          <w:color w:val="000000"/>
          <w:kern w:val="0"/>
          <w:szCs w:val="21"/>
        </w:rPr>
        <w:t>4</w:t>
      </w:r>
      <w:r>
        <w:rPr>
          <w:color w:val="000000"/>
          <w:kern w:val="0"/>
          <w:szCs w:val="21"/>
        </w:rPr>
        <w:t xml:space="preserve"> </w:t>
      </w:r>
      <w:r>
        <w:rPr>
          <w:rFonts w:hint="eastAsia"/>
          <w:color w:val="000000"/>
          <w:kern w:val="0"/>
          <w:szCs w:val="21"/>
        </w:rPr>
        <w:t xml:space="preserve"> </w:t>
      </w:r>
      <w:r>
        <w:rPr>
          <w:color w:val="000000"/>
          <w:kern w:val="0"/>
          <w:szCs w:val="21"/>
        </w:rPr>
        <w:t>既有建筑加装太阳能系统，钢结构支架应与既有建筑防雷接闪带可靠连接。</w:t>
      </w:r>
    </w:p>
    <w:p w14:paraId="60CC7CA3">
      <w:pPr>
        <w:pStyle w:val="4"/>
        <w:numPr>
          <w:ilvl w:val="0"/>
          <w:numId w:val="0"/>
        </w:numPr>
        <w:spacing w:before="312" w:beforeLines="100" w:line="400" w:lineRule="exact"/>
        <w:jc w:val="center"/>
        <w:rPr>
          <w:rFonts w:ascii="Times New Roman" w:hAnsi="Times New Roman" w:eastAsia="黑体"/>
          <w:b/>
          <w:bCs/>
          <w:sz w:val="24"/>
          <w:szCs w:val="24"/>
        </w:rPr>
      </w:pPr>
      <w:bookmarkStart w:id="550" w:name="_Toc31477"/>
      <w:bookmarkStart w:id="551" w:name="_Toc9410"/>
      <w:bookmarkStart w:id="552" w:name="_Toc29522"/>
      <w:bookmarkStart w:id="553" w:name="_Toc9761"/>
      <w:r>
        <w:rPr>
          <w:rFonts w:ascii="Times New Roman" w:hAnsi="Times New Roman" w:eastAsia="黑体"/>
          <w:b/>
          <w:bCs/>
          <w:sz w:val="24"/>
          <w:szCs w:val="24"/>
        </w:rPr>
        <w:t xml:space="preserve">10.6 </w:t>
      </w:r>
      <w:r>
        <w:rPr>
          <w:rFonts w:ascii="Times New Roman" w:hAnsi="Times New Roman" w:eastAsia="黑体"/>
          <w:b/>
          <w:bCs/>
          <w:sz w:val="24"/>
          <w:szCs w:val="24"/>
          <w:lang w:val="en-US"/>
        </w:rPr>
        <w:t xml:space="preserve"> </w:t>
      </w:r>
      <w:r>
        <w:rPr>
          <w:rFonts w:ascii="Times New Roman" w:hAnsi="Times New Roman" w:eastAsia="黑体"/>
          <w:sz w:val="24"/>
          <w:szCs w:val="24"/>
        </w:rPr>
        <w:t>外装修改造工程</w:t>
      </w:r>
      <w:bookmarkEnd w:id="549"/>
      <w:bookmarkEnd w:id="550"/>
      <w:bookmarkEnd w:id="551"/>
      <w:bookmarkEnd w:id="552"/>
      <w:bookmarkEnd w:id="553"/>
    </w:p>
    <w:p w14:paraId="617F139A">
      <w:pPr>
        <w:spacing w:line="400" w:lineRule="exact"/>
        <w:rPr>
          <w:bCs/>
          <w:color w:val="000000"/>
          <w:szCs w:val="22"/>
        </w:rPr>
      </w:pPr>
      <w:r>
        <w:rPr>
          <w:b/>
          <w:color w:val="000000"/>
          <w:szCs w:val="22"/>
        </w:rPr>
        <w:t xml:space="preserve">10.6.1  </w:t>
      </w:r>
      <w:r>
        <w:rPr>
          <w:bCs/>
          <w:color w:val="000000"/>
          <w:szCs w:val="22"/>
        </w:rPr>
        <w:t>外墙使用的各种涂料及胶粘剂挥发性有机化合物含量应符合</w:t>
      </w:r>
      <w:r>
        <w:rPr>
          <w:rFonts w:hint="eastAsia"/>
          <w:bCs/>
          <w:color w:val="000000"/>
          <w:szCs w:val="22"/>
          <w:lang w:val="en-US" w:eastAsia="zh-CN"/>
        </w:rPr>
        <w:t>现行地方标准</w:t>
      </w:r>
      <w:r>
        <w:rPr>
          <w:bCs/>
          <w:color w:val="000000"/>
          <w:szCs w:val="22"/>
        </w:rPr>
        <w:t>《建筑类涂料与胶粘剂挥发性有机化合物含量限值标准》DB11/ 1983要求。</w:t>
      </w:r>
    </w:p>
    <w:p w14:paraId="03770CC1">
      <w:pPr>
        <w:spacing w:line="400" w:lineRule="exact"/>
        <w:rPr>
          <w:bCs/>
          <w:color w:val="000000"/>
          <w:szCs w:val="22"/>
        </w:rPr>
      </w:pPr>
      <w:r>
        <w:rPr>
          <w:b/>
          <w:color w:val="000000"/>
          <w:szCs w:val="22"/>
        </w:rPr>
        <w:t>10.6.2</w:t>
      </w:r>
      <w:r>
        <w:rPr>
          <w:bCs/>
          <w:color w:val="000000"/>
          <w:szCs w:val="22"/>
        </w:rPr>
        <w:t xml:space="preserve">  外墙外装前，基层处理应符合设计要求，涂饰工程改造前，基层涂刷界面剂符合要求。</w:t>
      </w:r>
    </w:p>
    <w:p w14:paraId="56710EDD">
      <w:pPr>
        <w:spacing w:line="400" w:lineRule="exact"/>
        <w:rPr>
          <w:b/>
          <w:color w:val="000000"/>
          <w:szCs w:val="22"/>
        </w:rPr>
      </w:pPr>
      <w:r>
        <w:rPr>
          <w:b/>
          <w:color w:val="000000"/>
          <w:szCs w:val="22"/>
        </w:rPr>
        <w:t xml:space="preserve">10.6.3  </w:t>
      </w:r>
      <w:r>
        <w:rPr>
          <w:bCs/>
          <w:color w:val="000000"/>
          <w:szCs w:val="22"/>
        </w:rPr>
        <w:t>外墙面上的雨水管卡、预埋铁件、设备穿墙管道、空调机架、搁板和防护栅栏等应提前改装完毕，并预留出外保温层的厚度。外墙外侧管道、线路应拆除改装。</w:t>
      </w:r>
    </w:p>
    <w:p w14:paraId="3B59134D">
      <w:pPr>
        <w:spacing w:line="400" w:lineRule="exact"/>
        <w:rPr>
          <w:bCs/>
          <w:color w:val="000000"/>
          <w:szCs w:val="22"/>
        </w:rPr>
      </w:pPr>
      <w:r>
        <w:rPr>
          <w:b/>
          <w:color w:val="000000"/>
          <w:szCs w:val="22"/>
        </w:rPr>
        <w:t xml:space="preserve">10.6.4  </w:t>
      </w:r>
      <w:r>
        <w:rPr>
          <w:bCs/>
          <w:color w:val="000000"/>
          <w:szCs w:val="22"/>
        </w:rPr>
        <w:t>外保温系统应包覆门窗框外侧洞口、女儿墙、封闭阳台栏板及外挑出部分等热桥部位。</w:t>
      </w:r>
    </w:p>
    <w:p w14:paraId="25E0FCD3">
      <w:pPr>
        <w:spacing w:line="400" w:lineRule="exact"/>
        <w:rPr>
          <w:bCs/>
          <w:color w:val="000000"/>
          <w:szCs w:val="22"/>
        </w:rPr>
      </w:pPr>
      <w:r>
        <w:rPr>
          <w:b/>
          <w:color w:val="000000"/>
          <w:szCs w:val="22"/>
        </w:rPr>
        <w:t xml:space="preserve">10.6.5  </w:t>
      </w:r>
      <w:r>
        <w:rPr>
          <w:bCs/>
          <w:color w:val="000000"/>
          <w:szCs w:val="22"/>
        </w:rPr>
        <w:t>外保温系统与</w:t>
      </w:r>
      <w:r>
        <w:rPr>
          <w:color w:val="000000"/>
          <w:kern w:val="0"/>
          <w:szCs w:val="21"/>
        </w:rPr>
        <w:t>基层</w:t>
      </w:r>
      <w:r>
        <w:rPr>
          <w:bCs/>
          <w:color w:val="000000"/>
          <w:szCs w:val="22"/>
        </w:rPr>
        <w:t>采用以粘结为主的外保温做法时，粘结面积率应不小于50%。外保温系统采用以锚固为主的外保温做法时，应根据在工程墙体基面上进行锚栓的现场拉拔承载力试验确定锚栓数量。</w:t>
      </w:r>
    </w:p>
    <w:p w14:paraId="320066E6">
      <w:pPr>
        <w:spacing w:line="400" w:lineRule="exact"/>
        <w:rPr>
          <w:b/>
          <w:color w:val="000000"/>
          <w:szCs w:val="22"/>
        </w:rPr>
      </w:pPr>
      <w:r>
        <w:rPr>
          <w:b/>
          <w:color w:val="000000"/>
          <w:szCs w:val="22"/>
        </w:rPr>
        <w:t xml:space="preserve">10.6.6  </w:t>
      </w:r>
      <w:r>
        <w:rPr>
          <w:bCs/>
          <w:color w:val="000000"/>
          <w:szCs w:val="22"/>
        </w:rPr>
        <w:t>幕墙后置埋件</w:t>
      </w:r>
      <w:r>
        <w:rPr>
          <w:color w:val="000000"/>
          <w:kern w:val="0"/>
          <w:szCs w:val="21"/>
        </w:rPr>
        <w:t>承载力</w:t>
      </w:r>
      <w:r>
        <w:rPr>
          <w:bCs/>
          <w:color w:val="000000"/>
          <w:szCs w:val="22"/>
        </w:rPr>
        <w:t>应满足设计要求。</w:t>
      </w:r>
    </w:p>
    <w:p w14:paraId="784DEE6D">
      <w:pPr>
        <w:spacing w:line="400" w:lineRule="exact"/>
        <w:rPr>
          <w:b/>
          <w:color w:val="000000"/>
          <w:szCs w:val="22"/>
        </w:rPr>
      </w:pPr>
      <w:r>
        <w:rPr>
          <w:b/>
          <w:color w:val="000000"/>
          <w:szCs w:val="22"/>
        </w:rPr>
        <w:t xml:space="preserve">10.6.7  </w:t>
      </w:r>
      <w:r>
        <w:rPr>
          <w:bCs/>
          <w:color w:val="000000"/>
          <w:szCs w:val="22"/>
        </w:rPr>
        <w:t>外幕墙用石材、瓷板、陶板、纤维水泥板和石材蜂窝板的抗冻性符合设计要求；外墙陶瓷饰面砖的抗冻性</w:t>
      </w:r>
      <w:r>
        <w:rPr>
          <w:color w:val="000000"/>
          <w:kern w:val="0"/>
          <w:szCs w:val="21"/>
        </w:rPr>
        <w:t>符合</w:t>
      </w:r>
      <w:r>
        <w:rPr>
          <w:bCs/>
          <w:color w:val="000000"/>
          <w:szCs w:val="22"/>
        </w:rPr>
        <w:t>设计要求。</w:t>
      </w:r>
    </w:p>
    <w:p w14:paraId="1843FF31">
      <w:pPr>
        <w:spacing w:line="400" w:lineRule="exact"/>
        <w:rPr>
          <w:bCs/>
          <w:color w:val="000000"/>
          <w:szCs w:val="22"/>
        </w:rPr>
      </w:pPr>
      <w:r>
        <w:rPr>
          <w:b/>
          <w:color w:val="000000"/>
          <w:szCs w:val="22"/>
        </w:rPr>
        <w:t xml:space="preserve">10.6.8  </w:t>
      </w:r>
      <w:r>
        <w:rPr>
          <w:bCs/>
          <w:color w:val="000000"/>
          <w:szCs w:val="22"/>
        </w:rPr>
        <w:t>外墙饰面砖施工前粘贴样板和外墙饰面砖粘贴工程饰面砖粘结强度符合要求。</w:t>
      </w:r>
    </w:p>
    <w:p w14:paraId="534BA568">
      <w:pPr>
        <w:pStyle w:val="4"/>
        <w:numPr>
          <w:ilvl w:val="0"/>
          <w:numId w:val="0"/>
        </w:numPr>
        <w:spacing w:before="312" w:beforeLines="100" w:line="400" w:lineRule="exact"/>
        <w:jc w:val="center"/>
        <w:rPr>
          <w:rFonts w:ascii="Times New Roman" w:hAnsi="Times New Roman" w:eastAsia="黑体"/>
          <w:b/>
          <w:bCs/>
          <w:sz w:val="24"/>
          <w:szCs w:val="24"/>
        </w:rPr>
      </w:pPr>
      <w:bookmarkStart w:id="554" w:name="_Toc4834"/>
      <w:bookmarkStart w:id="555" w:name="_Toc25870"/>
      <w:bookmarkStart w:id="556" w:name="_Toc20344"/>
      <w:bookmarkStart w:id="557" w:name="_Toc2709"/>
      <w:r>
        <w:rPr>
          <w:rFonts w:ascii="Times New Roman" w:hAnsi="Times New Roman" w:eastAsia="黑体"/>
          <w:b/>
          <w:bCs/>
          <w:sz w:val="24"/>
          <w:szCs w:val="24"/>
        </w:rPr>
        <w:t>10.7</w:t>
      </w:r>
      <w:r>
        <w:rPr>
          <w:rFonts w:ascii="Times New Roman" w:hAnsi="Times New Roman" w:eastAsia="黑体"/>
          <w:b/>
          <w:bCs/>
          <w:sz w:val="24"/>
          <w:szCs w:val="24"/>
          <w:lang w:val="en-US"/>
        </w:rPr>
        <w:t xml:space="preserve">  </w:t>
      </w:r>
      <w:r>
        <w:rPr>
          <w:rFonts w:ascii="Times New Roman" w:hAnsi="Times New Roman" w:eastAsia="黑体"/>
          <w:sz w:val="24"/>
          <w:szCs w:val="24"/>
        </w:rPr>
        <w:t>室内装修改造工程</w:t>
      </w:r>
      <w:bookmarkEnd w:id="554"/>
      <w:bookmarkEnd w:id="555"/>
      <w:bookmarkEnd w:id="556"/>
      <w:bookmarkEnd w:id="557"/>
    </w:p>
    <w:p w14:paraId="05B84003">
      <w:pPr>
        <w:spacing w:line="400" w:lineRule="exact"/>
        <w:rPr>
          <w:bCs/>
          <w:color w:val="000000"/>
          <w:szCs w:val="22"/>
        </w:rPr>
      </w:pPr>
      <w:r>
        <w:rPr>
          <w:b/>
          <w:color w:val="000000"/>
          <w:szCs w:val="22"/>
        </w:rPr>
        <w:t xml:space="preserve">10.7.1  </w:t>
      </w:r>
      <w:r>
        <w:rPr>
          <w:bCs/>
          <w:color w:val="000000"/>
          <w:szCs w:val="22"/>
        </w:rPr>
        <w:t>室内装修改造拆除时，应将表面的装修面层拆除干净，确保重新装修改造施工的基层安全稳固。</w:t>
      </w:r>
      <w:r>
        <w:rPr>
          <w:color w:val="000000"/>
          <w:szCs w:val="21"/>
        </w:rPr>
        <w:t>既有建筑室内装饰装修与基层不牢固时，应予加固；当饰面砖、饰面板、吊顶出现开裂、脱落时，应进行修缮或拆换。</w:t>
      </w:r>
    </w:p>
    <w:p w14:paraId="5DC98627">
      <w:pPr>
        <w:spacing w:line="400" w:lineRule="exact"/>
        <w:rPr>
          <w:bCs/>
          <w:color w:val="000000"/>
          <w:szCs w:val="22"/>
        </w:rPr>
      </w:pPr>
      <w:r>
        <w:rPr>
          <w:b/>
          <w:color w:val="000000"/>
          <w:szCs w:val="22"/>
        </w:rPr>
        <w:t>10.7.2</w:t>
      </w:r>
      <w:r>
        <w:rPr>
          <w:bCs/>
          <w:color w:val="000000"/>
          <w:szCs w:val="22"/>
        </w:rPr>
        <w:t xml:space="preserve">  </w:t>
      </w:r>
      <w:r>
        <w:rPr>
          <w:color w:val="000000"/>
          <w:szCs w:val="21"/>
        </w:rPr>
        <w:t>既有建筑改造时应对室内环境污染进行严格控制，建筑室内防水工程不得使用溶剂型防水涂料。</w:t>
      </w:r>
    </w:p>
    <w:p w14:paraId="637F4528">
      <w:pPr>
        <w:spacing w:line="400" w:lineRule="exact"/>
        <w:rPr>
          <w:bCs/>
          <w:color w:val="000000"/>
          <w:szCs w:val="22"/>
        </w:rPr>
      </w:pPr>
      <w:r>
        <w:rPr>
          <w:b/>
          <w:color w:val="000000"/>
          <w:szCs w:val="22"/>
        </w:rPr>
        <w:t>10.7.3</w:t>
      </w:r>
      <w:r>
        <w:rPr>
          <w:bCs/>
          <w:color w:val="000000"/>
          <w:szCs w:val="22"/>
        </w:rPr>
        <w:t xml:space="preserve">  装修改造后的室内设施应安全稳固、美观整洁、节能环保，满足各项使用功能要求，符合设计图纸和国家现行标准的规定。</w:t>
      </w:r>
    </w:p>
    <w:p w14:paraId="6A159E75">
      <w:pPr>
        <w:pStyle w:val="4"/>
        <w:numPr>
          <w:ilvl w:val="0"/>
          <w:numId w:val="0"/>
        </w:numPr>
        <w:spacing w:before="312" w:beforeLines="100" w:line="400" w:lineRule="exact"/>
        <w:jc w:val="center"/>
        <w:rPr>
          <w:rFonts w:ascii="Times New Roman" w:hAnsi="Times New Roman" w:eastAsia="黑体"/>
          <w:sz w:val="24"/>
          <w:szCs w:val="24"/>
        </w:rPr>
      </w:pPr>
      <w:bookmarkStart w:id="558" w:name="_Toc29311"/>
      <w:bookmarkStart w:id="559" w:name="_Toc11652"/>
      <w:bookmarkStart w:id="560" w:name="_Toc12360"/>
      <w:bookmarkStart w:id="561" w:name="_Toc800"/>
      <w:bookmarkStart w:id="562" w:name="_Toc24564"/>
      <w:r>
        <w:rPr>
          <w:rFonts w:ascii="Times New Roman" w:hAnsi="Times New Roman" w:eastAsia="黑体"/>
          <w:b/>
          <w:bCs/>
          <w:sz w:val="24"/>
          <w:szCs w:val="24"/>
        </w:rPr>
        <w:t>10.8</w:t>
      </w:r>
      <w:r>
        <w:rPr>
          <w:rFonts w:ascii="Times New Roman" w:hAnsi="Times New Roman" w:eastAsia="黑体"/>
          <w:sz w:val="24"/>
          <w:szCs w:val="24"/>
        </w:rPr>
        <w:t xml:space="preserve"> </w:t>
      </w:r>
      <w:r>
        <w:rPr>
          <w:rFonts w:ascii="Times New Roman" w:hAnsi="Times New Roman" w:eastAsia="黑体"/>
          <w:sz w:val="24"/>
          <w:szCs w:val="24"/>
          <w:lang w:val="en-US"/>
        </w:rPr>
        <w:t xml:space="preserve"> </w:t>
      </w:r>
      <w:r>
        <w:rPr>
          <w:rFonts w:ascii="Times New Roman" w:hAnsi="Times New Roman" w:eastAsia="黑体"/>
          <w:sz w:val="24"/>
          <w:szCs w:val="24"/>
        </w:rPr>
        <w:t>设备安装改造工程</w:t>
      </w:r>
      <w:bookmarkEnd w:id="558"/>
      <w:bookmarkEnd w:id="559"/>
      <w:bookmarkEnd w:id="560"/>
      <w:bookmarkEnd w:id="561"/>
      <w:bookmarkEnd w:id="562"/>
    </w:p>
    <w:p w14:paraId="42C1CE17">
      <w:pPr>
        <w:spacing w:line="400" w:lineRule="exact"/>
        <w:rPr>
          <w:color w:val="000000"/>
          <w:szCs w:val="21"/>
        </w:rPr>
      </w:pPr>
      <w:r>
        <w:rPr>
          <w:b/>
          <w:color w:val="000000"/>
          <w:szCs w:val="22"/>
        </w:rPr>
        <w:t xml:space="preserve">10.8.1  </w:t>
      </w:r>
      <w:r>
        <w:rPr>
          <w:color w:val="000000"/>
          <w:szCs w:val="21"/>
        </w:rPr>
        <w:t>设备安装</w:t>
      </w:r>
      <w:r>
        <w:rPr>
          <w:color w:val="000000"/>
          <w:kern w:val="0"/>
          <w:szCs w:val="21"/>
        </w:rPr>
        <w:t>改造</w:t>
      </w:r>
      <w:r>
        <w:rPr>
          <w:color w:val="000000"/>
          <w:szCs w:val="21"/>
        </w:rPr>
        <w:t>工程的设计文件应完整、明确，改造内容与原系统的衔接应满足使用功能的要求，如有特殊功能要求时应进行专项设计交底。</w:t>
      </w:r>
    </w:p>
    <w:p w14:paraId="757DA54F">
      <w:pPr>
        <w:spacing w:line="400" w:lineRule="exact"/>
        <w:rPr>
          <w:color w:val="000000"/>
          <w:szCs w:val="21"/>
        </w:rPr>
      </w:pPr>
      <w:r>
        <w:rPr>
          <w:b/>
          <w:color w:val="000000"/>
          <w:szCs w:val="22"/>
        </w:rPr>
        <w:t xml:space="preserve">10.8.2  </w:t>
      </w:r>
      <w:r>
        <w:rPr>
          <w:color w:val="000000"/>
          <w:szCs w:val="21"/>
        </w:rPr>
        <w:t>设备安装改造工程施工方案应明确改造范围、改造内容、主要工程量、拆除方法、适用的规范、检验与试验标准及相关技术指标。</w:t>
      </w:r>
    </w:p>
    <w:p w14:paraId="0651B80D">
      <w:pPr>
        <w:spacing w:line="400" w:lineRule="exact"/>
        <w:rPr>
          <w:color w:val="000000"/>
          <w:szCs w:val="21"/>
        </w:rPr>
      </w:pPr>
      <w:r>
        <w:rPr>
          <w:b/>
          <w:color w:val="000000"/>
          <w:szCs w:val="22"/>
        </w:rPr>
        <w:t>10.8.3</w:t>
      </w:r>
      <w:r>
        <w:rPr>
          <w:color w:val="000000"/>
          <w:szCs w:val="21"/>
        </w:rPr>
        <w:t xml:space="preserve">  工程实施前应对既有建筑全部设备安装系统的设备、管路进行核对检查，明确改造、新增管路与原系统管路的接口，并做好相关记录。 </w:t>
      </w:r>
    </w:p>
    <w:p w14:paraId="25741303">
      <w:pPr>
        <w:spacing w:line="400" w:lineRule="exact"/>
        <w:rPr>
          <w:color w:val="000000"/>
          <w:szCs w:val="21"/>
        </w:rPr>
      </w:pPr>
      <w:r>
        <w:rPr>
          <w:b/>
          <w:color w:val="000000"/>
          <w:szCs w:val="22"/>
        </w:rPr>
        <w:t xml:space="preserve">10.8.4  </w:t>
      </w:r>
      <w:r>
        <w:rPr>
          <w:color w:val="000000"/>
          <w:szCs w:val="21"/>
        </w:rPr>
        <w:t>设备管道支、吊、托架的设置形式、规格、位置和间距应符合规范要求，各类支、吊、托架应与结构接触紧密、固定牢固；如使用原有支、吊、托架应检验其可靠性并进行防腐处理。</w:t>
      </w:r>
    </w:p>
    <w:p w14:paraId="3429F38D">
      <w:pPr>
        <w:spacing w:line="400" w:lineRule="exact"/>
        <w:rPr>
          <w:color w:val="000000"/>
          <w:szCs w:val="21"/>
        </w:rPr>
      </w:pPr>
      <w:r>
        <w:rPr>
          <w:b/>
          <w:color w:val="000000"/>
          <w:szCs w:val="22"/>
        </w:rPr>
        <w:t>10.8.5</w:t>
      </w:r>
      <w:r>
        <w:rPr>
          <w:color w:val="000000"/>
          <w:szCs w:val="21"/>
        </w:rPr>
        <w:t xml:space="preserve">  给水系统</w:t>
      </w:r>
      <w:r>
        <w:rPr>
          <w:color w:val="000000"/>
          <w:kern w:val="0"/>
          <w:szCs w:val="21"/>
        </w:rPr>
        <w:t>改造</w:t>
      </w:r>
      <w:r>
        <w:rPr>
          <w:color w:val="000000"/>
          <w:szCs w:val="21"/>
        </w:rPr>
        <w:t>应符合</w:t>
      </w:r>
      <w:r>
        <w:rPr>
          <w:rFonts w:hint="eastAsia"/>
          <w:color w:val="000000"/>
          <w:szCs w:val="21"/>
        </w:rPr>
        <w:t>下列规定</w:t>
      </w:r>
      <w:r>
        <w:rPr>
          <w:color w:val="000000"/>
          <w:szCs w:val="21"/>
        </w:rPr>
        <w:t>：</w:t>
      </w:r>
    </w:p>
    <w:p w14:paraId="5059B4ED">
      <w:pPr>
        <w:spacing w:line="400" w:lineRule="exact"/>
        <w:ind w:firstLine="422" w:firstLineChars="200"/>
        <w:rPr>
          <w:color w:val="000000"/>
          <w:szCs w:val="21"/>
        </w:rPr>
      </w:pPr>
      <w:r>
        <w:rPr>
          <w:b/>
          <w:color w:val="000000"/>
          <w:szCs w:val="22"/>
        </w:rPr>
        <w:t>1</w:t>
      </w:r>
      <w:r>
        <w:rPr>
          <w:color w:val="000000"/>
          <w:szCs w:val="21"/>
        </w:rPr>
        <w:t xml:space="preserve">  新</w:t>
      </w:r>
      <w:r>
        <w:rPr>
          <w:rFonts w:hint="eastAsia"/>
          <w:color w:val="000000"/>
          <w:szCs w:val="21"/>
        </w:rPr>
        <w:t>、</w:t>
      </w:r>
      <w:r>
        <w:rPr>
          <w:color w:val="000000"/>
          <w:szCs w:val="21"/>
        </w:rPr>
        <w:t>旧系统接驳处应设置开闭可靠、拆卸简便的阀部件进行转换；</w:t>
      </w:r>
    </w:p>
    <w:p w14:paraId="2E37A49E">
      <w:pPr>
        <w:spacing w:line="400" w:lineRule="exact"/>
        <w:ind w:firstLine="422" w:firstLineChars="200"/>
        <w:rPr>
          <w:color w:val="000000"/>
          <w:szCs w:val="21"/>
        </w:rPr>
      </w:pPr>
      <w:r>
        <w:rPr>
          <w:b/>
          <w:color w:val="000000"/>
          <w:szCs w:val="22"/>
        </w:rPr>
        <w:t>2</w:t>
      </w:r>
      <w:r>
        <w:rPr>
          <w:color w:val="000000"/>
          <w:szCs w:val="21"/>
        </w:rPr>
        <w:t xml:space="preserve">  天井、地埋、出屋面等有防冻要求的部位应做好保温，并采取防冻措施；</w:t>
      </w:r>
    </w:p>
    <w:p w14:paraId="3B6EE496">
      <w:pPr>
        <w:spacing w:line="400" w:lineRule="exact"/>
        <w:ind w:firstLine="422" w:firstLineChars="200"/>
        <w:rPr>
          <w:color w:val="000000"/>
          <w:szCs w:val="21"/>
        </w:rPr>
      </w:pPr>
      <w:r>
        <w:rPr>
          <w:b/>
          <w:color w:val="000000"/>
          <w:szCs w:val="22"/>
        </w:rPr>
        <w:t>3</w:t>
      </w:r>
      <w:r>
        <w:rPr>
          <w:color w:val="000000"/>
          <w:szCs w:val="21"/>
        </w:rPr>
        <w:t xml:space="preserve">  给水计量表前后应留有表前不小于8倍表后不小于5倍管径的直管段长度。</w:t>
      </w:r>
    </w:p>
    <w:p w14:paraId="6316B16C">
      <w:pPr>
        <w:spacing w:line="400" w:lineRule="exact"/>
        <w:rPr>
          <w:color w:val="000000"/>
          <w:szCs w:val="21"/>
        </w:rPr>
      </w:pPr>
      <w:r>
        <w:rPr>
          <w:b/>
          <w:color w:val="000000"/>
          <w:szCs w:val="22"/>
        </w:rPr>
        <w:t>10.8.6</w:t>
      </w:r>
      <w:r>
        <w:rPr>
          <w:color w:val="000000"/>
          <w:szCs w:val="21"/>
        </w:rPr>
        <w:t xml:space="preserve">  排水系统改造管路如需与原管路连接，原管道接口部位应平整洁净，连接部件的材质、规格应符合规范要求，并连接牢固。水平排水管道变径应采用偏心变径且</w:t>
      </w:r>
      <w:r>
        <w:rPr>
          <w:rFonts w:hint="eastAsia"/>
          <w:color w:val="000000"/>
          <w:szCs w:val="21"/>
        </w:rPr>
        <w:t>顶平安装</w:t>
      </w:r>
      <w:r>
        <w:rPr>
          <w:color w:val="000000"/>
          <w:szCs w:val="21"/>
        </w:rPr>
        <w:t>。</w:t>
      </w:r>
    </w:p>
    <w:p w14:paraId="02EDD1F2">
      <w:pPr>
        <w:spacing w:line="400" w:lineRule="exact"/>
        <w:rPr>
          <w:color w:val="000000"/>
          <w:szCs w:val="21"/>
        </w:rPr>
      </w:pPr>
      <w:r>
        <w:rPr>
          <w:b/>
          <w:color w:val="000000"/>
          <w:szCs w:val="22"/>
        </w:rPr>
        <w:t xml:space="preserve">10.8.7  </w:t>
      </w:r>
      <w:r>
        <w:rPr>
          <w:color w:val="000000"/>
          <w:szCs w:val="21"/>
        </w:rPr>
        <w:t>供暖系统改造应符合</w:t>
      </w:r>
      <w:r>
        <w:rPr>
          <w:rFonts w:hint="eastAsia"/>
          <w:color w:val="000000"/>
          <w:szCs w:val="21"/>
        </w:rPr>
        <w:t>下列规定</w:t>
      </w:r>
      <w:r>
        <w:rPr>
          <w:color w:val="000000"/>
          <w:szCs w:val="21"/>
        </w:rPr>
        <w:t>：</w:t>
      </w:r>
    </w:p>
    <w:p w14:paraId="708B5C10">
      <w:pPr>
        <w:spacing w:line="400" w:lineRule="exact"/>
        <w:ind w:firstLine="422" w:firstLineChars="200"/>
        <w:rPr>
          <w:color w:val="000000"/>
          <w:szCs w:val="21"/>
        </w:rPr>
      </w:pPr>
      <w:r>
        <w:rPr>
          <w:b/>
          <w:color w:val="000000"/>
          <w:szCs w:val="22"/>
        </w:rPr>
        <w:t>1</w:t>
      </w:r>
      <w:r>
        <w:rPr>
          <w:color w:val="000000"/>
          <w:szCs w:val="21"/>
        </w:rPr>
        <w:t xml:space="preserve">  住宅工程中同一系统各支路热负荷与</w:t>
      </w:r>
      <w:r>
        <w:rPr>
          <w:rFonts w:hint="eastAsia"/>
          <w:color w:val="000000"/>
          <w:szCs w:val="21"/>
        </w:rPr>
        <w:t>阻力应协调</w:t>
      </w:r>
      <w:r>
        <w:rPr>
          <w:color w:val="000000"/>
          <w:szCs w:val="21"/>
        </w:rPr>
        <w:t>；</w:t>
      </w:r>
    </w:p>
    <w:p w14:paraId="14B8DAEE">
      <w:pPr>
        <w:spacing w:line="400" w:lineRule="exact"/>
        <w:ind w:firstLine="422" w:firstLineChars="200"/>
        <w:rPr>
          <w:color w:val="000000"/>
          <w:szCs w:val="21"/>
        </w:rPr>
      </w:pPr>
      <w:r>
        <w:rPr>
          <w:b/>
          <w:color w:val="000000"/>
          <w:szCs w:val="22"/>
        </w:rPr>
        <w:t>2</w:t>
      </w:r>
      <w:r>
        <w:rPr>
          <w:color w:val="000000"/>
          <w:szCs w:val="21"/>
        </w:rPr>
        <w:t xml:space="preserve">  既有与改造的供暖系统混用时，应合理设置平衡装置。</w:t>
      </w:r>
    </w:p>
    <w:p w14:paraId="7E43A364">
      <w:pPr>
        <w:spacing w:line="400" w:lineRule="exact"/>
        <w:rPr>
          <w:color w:val="000000"/>
          <w:szCs w:val="21"/>
        </w:rPr>
      </w:pPr>
      <w:r>
        <w:rPr>
          <w:b/>
          <w:color w:val="000000"/>
          <w:szCs w:val="22"/>
        </w:rPr>
        <w:t xml:space="preserve">10.8.8  </w:t>
      </w:r>
      <w:r>
        <w:rPr>
          <w:color w:val="000000"/>
          <w:szCs w:val="21"/>
        </w:rPr>
        <w:t>通风与空调系统改造应符合</w:t>
      </w:r>
      <w:r>
        <w:rPr>
          <w:rFonts w:hint="eastAsia"/>
          <w:color w:val="000000"/>
          <w:szCs w:val="21"/>
        </w:rPr>
        <w:t>下列规定</w:t>
      </w:r>
      <w:r>
        <w:rPr>
          <w:color w:val="000000"/>
          <w:szCs w:val="21"/>
        </w:rPr>
        <w:t>：</w:t>
      </w:r>
    </w:p>
    <w:p w14:paraId="7595E1E5">
      <w:pPr>
        <w:spacing w:line="400" w:lineRule="exact"/>
        <w:ind w:firstLine="422" w:firstLineChars="200"/>
        <w:rPr>
          <w:color w:val="000000"/>
          <w:szCs w:val="21"/>
        </w:rPr>
      </w:pPr>
      <w:r>
        <w:rPr>
          <w:b/>
          <w:color w:val="000000"/>
          <w:szCs w:val="22"/>
        </w:rPr>
        <w:t>1</w:t>
      </w:r>
      <w:r>
        <w:rPr>
          <w:color w:val="000000"/>
          <w:szCs w:val="21"/>
        </w:rPr>
        <w:t xml:space="preserve">  住宅工程厨卫排风立管系统应顺直通畅，中途不应出现截断、面积缩小、管路偏移等现象；</w:t>
      </w:r>
    </w:p>
    <w:p w14:paraId="16773C2D">
      <w:pPr>
        <w:spacing w:line="400" w:lineRule="exact"/>
        <w:ind w:firstLine="422" w:firstLineChars="200"/>
        <w:rPr>
          <w:color w:val="000000"/>
          <w:szCs w:val="21"/>
        </w:rPr>
      </w:pPr>
      <w:r>
        <w:rPr>
          <w:b/>
          <w:color w:val="000000"/>
          <w:szCs w:val="22"/>
        </w:rPr>
        <w:t>2</w:t>
      </w:r>
      <w:r>
        <w:rPr>
          <w:color w:val="000000"/>
          <w:szCs w:val="21"/>
        </w:rPr>
        <w:t xml:space="preserve">  风管穿越封闭的防火防爆墙体应设置防护套管，间隙采用不燃材料封堵严密；保温风管穿越封闭的墙体加保护套管；</w:t>
      </w:r>
    </w:p>
    <w:p w14:paraId="75A53641">
      <w:pPr>
        <w:spacing w:line="400" w:lineRule="exact"/>
        <w:ind w:firstLine="422" w:firstLineChars="200"/>
        <w:rPr>
          <w:color w:val="000000"/>
          <w:szCs w:val="21"/>
        </w:rPr>
      </w:pPr>
      <w:r>
        <w:rPr>
          <w:b/>
          <w:color w:val="000000"/>
          <w:szCs w:val="22"/>
        </w:rPr>
        <w:t>3</w:t>
      </w:r>
      <w:r>
        <w:rPr>
          <w:color w:val="000000"/>
          <w:szCs w:val="21"/>
        </w:rPr>
        <w:t xml:space="preserve">  阀门、部件的安装位置合理，方向正确，系统运行时，应按参数设计要求进行校核、调整；</w:t>
      </w:r>
    </w:p>
    <w:p w14:paraId="3343C750">
      <w:pPr>
        <w:spacing w:line="400" w:lineRule="exact"/>
        <w:ind w:firstLine="422" w:firstLineChars="200"/>
        <w:rPr>
          <w:color w:val="000000"/>
          <w:szCs w:val="21"/>
        </w:rPr>
      </w:pPr>
      <w:r>
        <w:rPr>
          <w:b/>
          <w:color w:val="000000"/>
          <w:szCs w:val="22"/>
        </w:rPr>
        <w:t xml:space="preserve">4 </w:t>
      </w:r>
      <w:r>
        <w:rPr>
          <w:color w:val="000000"/>
          <w:szCs w:val="21"/>
        </w:rPr>
        <w:t xml:space="preserve"> 设备安装位置合理，满足管道安装及操作检修空间的要求。设备固定牢固，减振有效，周边有组织排水设施合理。过滤装置安装位置合理、方向正确、便于检修。</w:t>
      </w:r>
    </w:p>
    <w:p w14:paraId="6D38374E">
      <w:pPr>
        <w:spacing w:line="400" w:lineRule="exact"/>
        <w:rPr>
          <w:color w:val="000000"/>
          <w:szCs w:val="21"/>
        </w:rPr>
      </w:pPr>
      <w:r>
        <w:rPr>
          <w:b/>
          <w:color w:val="000000"/>
          <w:szCs w:val="22"/>
        </w:rPr>
        <w:t>10.8.9</w:t>
      </w:r>
      <w:r>
        <w:rPr>
          <w:color w:val="000000"/>
          <w:szCs w:val="21"/>
        </w:rPr>
        <w:t xml:space="preserve">  试验与调试应符合</w:t>
      </w:r>
      <w:r>
        <w:rPr>
          <w:rFonts w:hint="eastAsia"/>
          <w:color w:val="000000"/>
          <w:szCs w:val="21"/>
        </w:rPr>
        <w:t>下列规定</w:t>
      </w:r>
      <w:r>
        <w:rPr>
          <w:color w:val="000000"/>
          <w:szCs w:val="21"/>
        </w:rPr>
        <w:t>：</w:t>
      </w:r>
    </w:p>
    <w:p w14:paraId="260AE419">
      <w:pPr>
        <w:spacing w:line="400" w:lineRule="exact"/>
        <w:ind w:firstLine="422" w:firstLineChars="200"/>
        <w:rPr>
          <w:color w:val="000000"/>
          <w:szCs w:val="21"/>
        </w:rPr>
      </w:pPr>
      <w:r>
        <w:rPr>
          <w:b/>
          <w:bCs/>
          <w:color w:val="000000"/>
          <w:szCs w:val="21"/>
        </w:rPr>
        <w:t>1</w:t>
      </w:r>
      <w:r>
        <w:rPr>
          <w:color w:val="000000"/>
          <w:szCs w:val="21"/>
        </w:rPr>
        <w:t xml:space="preserve">  住宅工程设备系统应以户为单位进行独立闭水、</w:t>
      </w:r>
      <w:r>
        <w:rPr>
          <w:rFonts w:hint="eastAsia"/>
          <w:color w:val="000000"/>
          <w:kern w:val="21"/>
          <w:szCs w:val="21"/>
        </w:rPr>
        <w:t>试压</w:t>
      </w:r>
      <w:r>
        <w:rPr>
          <w:color w:val="000000"/>
          <w:szCs w:val="21"/>
        </w:rPr>
        <w:t>、冲洗等试验；</w:t>
      </w:r>
    </w:p>
    <w:p w14:paraId="5CB2E6B6">
      <w:pPr>
        <w:spacing w:line="400" w:lineRule="exact"/>
        <w:ind w:firstLine="422" w:firstLineChars="200"/>
        <w:rPr>
          <w:color w:val="000000"/>
          <w:szCs w:val="21"/>
        </w:rPr>
      </w:pPr>
      <w:r>
        <w:rPr>
          <w:b/>
          <w:bCs/>
          <w:color w:val="000000"/>
          <w:szCs w:val="21"/>
        </w:rPr>
        <w:t xml:space="preserve">2 </w:t>
      </w:r>
      <w:r>
        <w:rPr>
          <w:color w:val="000000"/>
          <w:szCs w:val="21"/>
        </w:rPr>
        <w:t xml:space="preserve"> 设备安装改造工程完成后应进行单机试运行和系统联合试运行，调试的内容和参数应符合设计和规范的要求； </w:t>
      </w:r>
    </w:p>
    <w:p w14:paraId="15A60FE9">
      <w:pPr>
        <w:spacing w:line="400" w:lineRule="exact"/>
        <w:ind w:firstLine="422" w:firstLineChars="200"/>
        <w:rPr>
          <w:color w:val="000000"/>
          <w:szCs w:val="21"/>
        </w:rPr>
      </w:pPr>
      <w:r>
        <w:rPr>
          <w:b/>
          <w:bCs/>
          <w:color w:val="000000"/>
          <w:szCs w:val="21"/>
        </w:rPr>
        <w:t xml:space="preserve">3 </w:t>
      </w:r>
      <w:r>
        <w:rPr>
          <w:color w:val="000000"/>
          <w:szCs w:val="21"/>
        </w:rPr>
        <w:t xml:space="preserve"> 消防工程系统联合试运行，运行结果符合设计要求及国家现行标准的相关规定；</w:t>
      </w:r>
    </w:p>
    <w:p w14:paraId="04202AD6">
      <w:pPr>
        <w:spacing w:line="400" w:lineRule="exact"/>
        <w:ind w:firstLine="422" w:firstLineChars="200"/>
        <w:rPr>
          <w:color w:val="000000"/>
          <w:szCs w:val="21"/>
        </w:rPr>
      </w:pPr>
      <w:r>
        <w:rPr>
          <w:b/>
          <w:bCs/>
          <w:color w:val="000000"/>
          <w:szCs w:val="21"/>
        </w:rPr>
        <w:t xml:space="preserve">4 </w:t>
      </w:r>
      <w:r>
        <w:rPr>
          <w:color w:val="000000"/>
          <w:szCs w:val="21"/>
        </w:rPr>
        <w:t xml:space="preserve"> 供暖系统应在使用季前完成试验，达到供暖条件后完成系统调试；</w:t>
      </w:r>
    </w:p>
    <w:p w14:paraId="7871E171">
      <w:pPr>
        <w:spacing w:line="400" w:lineRule="exact"/>
        <w:ind w:firstLine="422" w:firstLineChars="200"/>
        <w:rPr>
          <w:color w:val="000000"/>
          <w:szCs w:val="21"/>
        </w:rPr>
      </w:pPr>
      <w:r>
        <w:rPr>
          <w:b/>
          <w:bCs/>
          <w:color w:val="000000"/>
          <w:szCs w:val="21"/>
        </w:rPr>
        <w:t xml:space="preserve">5  </w:t>
      </w:r>
      <w:r>
        <w:rPr>
          <w:color w:val="000000"/>
          <w:szCs w:val="21"/>
        </w:rPr>
        <w:t>生活给水系统管道在使用前必须进行冲洗和消毒，进行取样检验，符合</w:t>
      </w:r>
      <w:r>
        <w:rPr>
          <w:rFonts w:hint="eastAsia"/>
          <w:color w:val="000000"/>
          <w:szCs w:val="21"/>
          <w:lang w:val="en-US" w:eastAsia="zh-CN"/>
        </w:rPr>
        <w:t>现行国家标准</w:t>
      </w:r>
      <w:r>
        <w:rPr>
          <w:color w:val="000000"/>
          <w:szCs w:val="21"/>
        </w:rPr>
        <w:t>《生活饮用水</w:t>
      </w:r>
      <w:r>
        <w:rPr>
          <w:rFonts w:hint="eastAsia"/>
          <w:color w:val="000000"/>
          <w:szCs w:val="21"/>
        </w:rPr>
        <w:t>卫生</w:t>
      </w:r>
      <w:r>
        <w:rPr>
          <w:color w:val="000000"/>
          <w:szCs w:val="21"/>
        </w:rPr>
        <w:t>标准》</w:t>
      </w:r>
      <w:r>
        <w:rPr>
          <w:rFonts w:hint="eastAsia"/>
          <w:color w:val="000000"/>
          <w:szCs w:val="21"/>
        </w:rPr>
        <w:t>GB 5749</w:t>
      </w:r>
      <w:r>
        <w:rPr>
          <w:color w:val="000000"/>
          <w:szCs w:val="21"/>
        </w:rPr>
        <w:t>方可使用。</w:t>
      </w:r>
    </w:p>
    <w:p w14:paraId="7B94020F">
      <w:pPr>
        <w:spacing w:line="400" w:lineRule="exact"/>
        <w:rPr>
          <w:color w:val="000000"/>
          <w:szCs w:val="21"/>
        </w:rPr>
      </w:pPr>
      <w:r>
        <w:rPr>
          <w:b/>
          <w:color w:val="000000"/>
          <w:szCs w:val="22"/>
        </w:rPr>
        <w:t xml:space="preserve">10.8.10  </w:t>
      </w:r>
      <w:r>
        <w:rPr>
          <w:color w:val="000000"/>
          <w:szCs w:val="21"/>
        </w:rPr>
        <w:t>工程</w:t>
      </w:r>
      <w:r>
        <w:rPr>
          <w:color w:val="000000"/>
          <w:kern w:val="0"/>
          <w:szCs w:val="21"/>
        </w:rPr>
        <w:t>资料</w:t>
      </w:r>
      <w:r>
        <w:rPr>
          <w:color w:val="000000"/>
          <w:szCs w:val="21"/>
        </w:rPr>
        <w:t>应符合</w:t>
      </w:r>
      <w:r>
        <w:rPr>
          <w:rFonts w:hint="eastAsia"/>
          <w:color w:val="000000"/>
          <w:szCs w:val="21"/>
        </w:rPr>
        <w:t>下列规定</w:t>
      </w:r>
      <w:r>
        <w:rPr>
          <w:color w:val="000000"/>
          <w:szCs w:val="21"/>
        </w:rPr>
        <w:t>：</w:t>
      </w:r>
    </w:p>
    <w:p w14:paraId="3B464437">
      <w:pPr>
        <w:spacing w:line="400" w:lineRule="exact"/>
        <w:ind w:firstLine="422" w:firstLineChars="200"/>
        <w:rPr>
          <w:color w:val="000000"/>
          <w:szCs w:val="21"/>
        </w:rPr>
      </w:pPr>
      <w:r>
        <w:rPr>
          <w:b/>
          <w:bCs/>
          <w:color w:val="000000"/>
          <w:szCs w:val="21"/>
        </w:rPr>
        <w:t>1</w:t>
      </w:r>
      <w:r>
        <w:rPr>
          <w:color w:val="000000"/>
          <w:szCs w:val="21"/>
        </w:rPr>
        <w:t xml:space="preserve">  住宅工程设备系统应具有以户为单位进行的闭水、打压、冲洗等试验的记录；</w:t>
      </w:r>
    </w:p>
    <w:p w14:paraId="4EE88B61">
      <w:pPr>
        <w:spacing w:line="400" w:lineRule="exact"/>
        <w:ind w:firstLine="422" w:firstLineChars="200"/>
        <w:rPr>
          <w:color w:val="000000"/>
          <w:szCs w:val="21"/>
        </w:rPr>
      </w:pPr>
      <w:r>
        <w:rPr>
          <w:b/>
          <w:bCs/>
          <w:color w:val="000000"/>
          <w:szCs w:val="21"/>
        </w:rPr>
        <w:t xml:space="preserve">2  </w:t>
      </w:r>
      <w:r>
        <w:rPr>
          <w:color w:val="000000"/>
          <w:szCs w:val="21"/>
        </w:rPr>
        <w:t>有特殊功能需求的试验记录，现有施工技术资料规程未涵盖时，可按实际检验试验项目对记录内容进行调整，并应符合专项验收部门规定的要求；</w:t>
      </w:r>
    </w:p>
    <w:p w14:paraId="455263BE">
      <w:pPr>
        <w:spacing w:line="400" w:lineRule="exact"/>
        <w:ind w:firstLine="422" w:firstLineChars="200"/>
        <w:rPr>
          <w:bCs/>
          <w:color w:val="000000"/>
          <w:szCs w:val="22"/>
        </w:rPr>
      </w:pPr>
      <w:r>
        <w:rPr>
          <w:b/>
          <w:bCs/>
          <w:color w:val="000000"/>
          <w:szCs w:val="21"/>
        </w:rPr>
        <w:t>3</w:t>
      </w:r>
      <w:r>
        <w:rPr>
          <w:color w:val="000000"/>
          <w:szCs w:val="21"/>
        </w:rPr>
        <w:t xml:space="preserve">  各系统调试应有系统调试记录。</w:t>
      </w:r>
    </w:p>
    <w:p w14:paraId="6651C8B6">
      <w:pPr>
        <w:pStyle w:val="4"/>
        <w:numPr>
          <w:ilvl w:val="0"/>
          <w:numId w:val="0"/>
        </w:numPr>
        <w:spacing w:before="312" w:beforeLines="100" w:line="400" w:lineRule="exact"/>
        <w:jc w:val="center"/>
        <w:rPr>
          <w:rFonts w:ascii="Times New Roman" w:hAnsi="Times New Roman" w:eastAsia="黑体"/>
          <w:sz w:val="24"/>
          <w:szCs w:val="24"/>
        </w:rPr>
      </w:pPr>
      <w:bookmarkStart w:id="563" w:name="_Toc7030"/>
      <w:bookmarkStart w:id="564" w:name="_Toc14999"/>
      <w:bookmarkStart w:id="565" w:name="_Toc15521"/>
      <w:bookmarkStart w:id="566" w:name="_Toc29105"/>
      <w:bookmarkStart w:id="567" w:name="_Toc20771"/>
      <w:r>
        <w:rPr>
          <w:rFonts w:ascii="Times New Roman" w:hAnsi="Times New Roman" w:eastAsia="黑体"/>
          <w:b/>
          <w:bCs/>
          <w:sz w:val="24"/>
          <w:szCs w:val="24"/>
        </w:rPr>
        <w:t>10.9</w:t>
      </w:r>
      <w:r>
        <w:rPr>
          <w:rFonts w:ascii="Times New Roman" w:hAnsi="Times New Roman" w:eastAsia="黑体"/>
          <w:sz w:val="24"/>
          <w:szCs w:val="24"/>
          <w:lang w:val="en-US"/>
        </w:rPr>
        <w:t xml:space="preserve">  </w:t>
      </w:r>
      <w:r>
        <w:rPr>
          <w:rFonts w:ascii="Times New Roman" w:hAnsi="Times New Roman" w:eastAsia="黑体"/>
          <w:sz w:val="24"/>
          <w:szCs w:val="24"/>
        </w:rPr>
        <w:t>电气改造工程</w:t>
      </w:r>
      <w:bookmarkEnd w:id="563"/>
      <w:bookmarkEnd w:id="564"/>
      <w:bookmarkEnd w:id="565"/>
      <w:bookmarkEnd w:id="566"/>
      <w:bookmarkEnd w:id="567"/>
    </w:p>
    <w:p w14:paraId="30242B59">
      <w:pPr>
        <w:spacing w:line="400" w:lineRule="exact"/>
        <w:rPr>
          <w:b/>
          <w:color w:val="000000"/>
          <w:szCs w:val="22"/>
        </w:rPr>
      </w:pPr>
      <w:r>
        <w:rPr>
          <w:b/>
          <w:color w:val="000000"/>
          <w:szCs w:val="22"/>
        </w:rPr>
        <w:t xml:space="preserve">10.9.1  </w:t>
      </w:r>
      <w:r>
        <w:rPr>
          <w:bCs/>
          <w:color w:val="000000"/>
          <w:szCs w:val="22"/>
        </w:rPr>
        <w:t>电气改造</w:t>
      </w:r>
      <w:r>
        <w:rPr>
          <w:color w:val="000000"/>
          <w:kern w:val="0"/>
          <w:szCs w:val="21"/>
        </w:rPr>
        <w:t>工程</w:t>
      </w:r>
      <w:r>
        <w:rPr>
          <w:bCs/>
          <w:color w:val="000000"/>
          <w:szCs w:val="22"/>
        </w:rPr>
        <w:t>设计图纸应明确适用范围、安装要求、检测与试验标准。</w:t>
      </w:r>
    </w:p>
    <w:p w14:paraId="282909DC">
      <w:pPr>
        <w:spacing w:line="400" w:lineRule="exact"/>
        <w:rPr>
          <w:b/>
          <w:color w:val="000000"/>
          <w:szCs w:val="22"/>
        </w:rPr>
      </w:pPr>
      <w:r>
        <w:rPr>
          <w:b/>
          <w:color w:val="000000"/>
          <w:szCs w:val="22"/>
        </w:rPr>
        <w:t xml:space="preserve">10.9.2  </w:t>
      </w:r>
      <w:r>
        <w:rPr>
          <w:bCs/>
          <w:color w:val="000000"/>
          <w:szCs w:val="22"/>
        </w:rPr>
        <w:t>电气改造</w:t>
      </w:r>
      <w:r>
        <w:rPr>
          <w:color w:val="000000"/>
          <w:kern w:val="0"/>
          <w:szCs w:val="21"/>
        </w:rPr>
        <w:t>施工</w:t>
      </w:r>
      <w:r>
        <w:rPr>
          <w:bCs/>
          <w:color w:val="000000"/>
          <w:szCs w:val="22"/>
        </w:rPr>
        <w:t>方案应明确改造范围、改造内容及相关技术要求。</w:t>
      </w:r>
    </w:p>
    <w:p w14:paraId="7F9A9E04">
      <w:pPr>
        <w:spacing w:line="400" w:lineRule="exact"/>
        <w:rPr>
          <w:b/>
          <w:color w:val="000000"/>
          <w:szCs w:val="22"/>
        </w:rPr>
      </w:pPr>
      <w:r>
        <w:rPr>
          <w:b/>
          <w:color w:val="000000"/>
          <w:szCs w:val="22"/>
        </w:rPr>
        <w:t xml:space="preserve">10.9.3  </w:t>
      </w:r>
      <w:r>
        <w:rPr>
          <w:bCs/>
          <w:color w:val="000000"/>
          <w:szCs w:val="22"/>
        </w:rPr>
        <w:t>新增变压器</w:t>
      </w:r>
      <w:r>
        <w:rPr>
          <w:color w:val="000000"/>
          <w:kern w:val="0"/>
          <w:szCs w:val="21"/>
        </w:rPr>
        <w:t>容量</w:t>
      </w:r>
      <w:r>
        <w:rPr>
          <w:bCs/>
          <w:color w:val="000000"/>
          <w:szCs w:val="22"/>
        </w:rPr>
        <w:t>应根据用电设备的功率、性质和使用时间确定需要的负荷量，变压器运行时承受的用电负荷应在额定容量的75%~90%。</w:t>
      </w:r>
    </w:p>
    <w:p w14:paraId="6FBE93DC">
      <w:pPr>
        <w:spacing w:line="400" w:lineRule="exact"/>
        <w:rPr>
          <w:bCs/>
          <w:color w:val="000000"/>
          <w:szCs w:val="22"/>
        </w:rPr>
      </w:pPr>
      <w:r>
        <w:rPr>
          <w:b/>
          <w:color w:val="000000"/>
          <w:szCs w:val="22"/>
        </w:rPr>
        <w:t xml:space="preserve">10.9.4  </w:t>
      </w:r>
      <w:r>
        <w:rPr>
          <w:bCs/>
          <w:color w:val="000000"/>
          <w:szCs w:val="22"/>
        </w:rPr>
        <w:t>新装电梯、路灯等安装应符合</w:t>
      </w:r>
      <w:r>
        <w:rPr>
          <w:rFonts w:hint="eastAsia"/>
          <w:bCs/>
          <w:color w:val="000000"/>
          <w:szCs w:val="22"/>
        </w:rPr>
        <w:t>下列规定</w:t>
      </w:r>
      <w:r>
        <w:rPr>
          <w:bCs/>
          <w:color w:val="000000"/>
          <w:szCs w:val="22"/>
        </w:rPr>
        <w:t>：</w:t>
      </w:r>
    </w:p>
    <w:p w14:paraId="7BC3430F">
      <w:pPr>
        <w:spacing w:line="400" w:lineRule="exact"/>
        <w:ind w:firstLine="422" w:firstLineChars="200"/>
        <w:rPr>
          <w:bCs/>
          <w:color w:val="000000"/>
          <w:szCs w:val="22"/>
        </w:rPr>
      </w:pPr>
      <w:r>
        <w:rPr>
          <w:b/>
          <w:bCs/>
          <w:color w:val="000000"/>
          <w:szCs w:val="21"/>
        </w:rPr>
        <w:t xml:space="preserve">1 </w:t>
      </w:r>
      <w:r>
        <w:rPr>
          <w:bCs/>
          <w:color w:val="000000"/>
          <w:szCs w:val="22"/>
        </w:rPr>
        <w:t xml:space="preserve"> 新装电梯电源应采用双重供电，住宅外置新装电梯电源需单独提供，不能与楼内居民用电混用，确保设备运行安全；</w:t>
      </w:r>
    </w:p>
    <w:p w14:paraId="5F9AFA48">
      <w:pPr>
        <w:spacing w:line="400" w:lineRule="exact"/>
        <w:ind w:firstLine="422" w:firstLineChars="200"/>
        <w:rPr>
          <w:b/>
          <w:color w:val="000000"/>
          <w:szCs w:val="22"/>
        </w:rPr>
      </w:pPr>
      <w:r>
        <w:rPr>
          <w:b/>
          <w:bCs/>
          <w:color w:val="000000"/>
          <w:szCs w:val="21"/>
        </w:rPr>
        <w:t xml:space="preserve">2 </w:t>
      </w:r>
      <w:r>
        <w:rPr>
          <w:bCs/>
          <w:color w:val="000000"/>
          <w:szCs w:val="22"/>
        </w:rPr>
        <w:t xml:space="preserve"> 新装路灯安装位置准确，室外电源管线埋深大于0.7 m。</w:t>
      </w:r>
    </w:p>
    <w:p w14:paraId="1EA6C412">
      <w:pPr>
        <w:spacing w:line="400" w:lineRule="exact"/>
        <w:rPr>
          <w:bCs/>
          <w:color w:val="000000"/>
          <w:szCs w:val="22"/>
        </w:rPr>
      </w:pPr>
      <w:r>
        <w:rPr>
          <w:b/>
          <w:color w:val="000000"/>
          <w:szCs w:val="22"/>
        </w:rPr>
        <w:t>10.9.5</w:t>
      </w:r>
      <w:r>
        <w:rPr>
          <w:rFonts w:hint="eastAsia"/>
          <w:b/>
          <w:color w:val="000000"/>
          <w:szCs w:val="22"/>
        </w:rPr>
        <w:t xml:space="preserve">  </w:t>
      </w:r>
      <w:r>
        <w:rPr>
          <w:bCs/>
          <w:color w:val="000000"/>
          <w:szCs w:val="22"/>
        </w:rPr>
        <w:t>建筑电气改造应符合</w:t>
      </w:r>
      <w:r>
        <w:rPr>
          <w:rFonts w:hint="eastAsia"/>
          <w:bCs/>
          <w:color w:val="000000"/>
          <w:szCs w:val="22"/>
        </w:rPr>
        <w:t>下列规定</w:t>
      </w:r>
      <w:r>
        <w:rPr>
          <w:bCs/>
          <w:color w:val="000000"/>
          <w:szCs w:val="22"/>
        </w:rPr>
        <w:t>：</w:t>
      </w:r>
    </w:p>
    <w:p w14:paraId="7090CE01">
      <w:pPr>
        <w:spacing w:line="400" w:lineRule="exact"/>
        <w:ind w:firstLine="422" w:firstLineChars="200"/>
        <w:rPr>
          <w:bCs/>
          <w:dstrike/>
          <w:color w:val="000000"/>
          <w:szCs w:val="22"/>
        </w:rPr>
      </w:pPr>
      <w:r>
        <w:rPr>
          <w:b/>
          <w:bCs/>
          <w:color w:val="000000"/>
          <w:szCs w:val="21"/>
        </w:rPr>
        <w:t>1</w:t>
      </w:r>
      <w:r>
        <w:rPr>
          <w:bCs/>
          <w:color w:val="000000"/>
          <w:szCs w:val="22"/>
        </w:rPr>
        <w:t xml:space="preserve">  建筑电气改造应根据原设计图纸对各系统进行全面详尽排查，了解全部设备位置及线路走向；</w:t>
      </w:r>
    </w:p>
    <w:p w14:paraId="3A6A8057">
      <w:pPr>
        <w:spacing w:line="400" w:lineRule="exact"/>
        <w:ind w:firstLine="422" w:firstLineChars="200"/>
        <w:rPr>
          <w:bCs/>
          <w:dstrike/>
          <w:color w:val="000000"/>
          <w:szCs w:val="22"/>
        </w:rPr>
      </w:pPr>
      <w:r>
        <w:rPr>
          <w:b/>
          <w:bCs/>
          <w:color w:val="000000"/>
          <w:szCs w:val="21"/>
        </w:rPr>
        <w:t>2</w:t>
      </w:r>
      <w:r>
        <w:rPr>
          <w:bCs/>
          <w:color w:val="000000"/>
          <w:szCs w:val="22"/>
        </w:rPr>
        <w:t xml:space="preserve">  室内灯具、开关插座固定牢固可靠，无松动。灯具紧贴装饰面，灯罩干净整洁，表面无污染，灯具功能正常，开关启闭灵活；</w:t>
      </w:r>
    </w:p>
    <w:p w14:paraId="0E7F3297">
      <w:pPr>
        <w:spacing w:line="400" w:lineRule="exact"/>
        <w:ind w:firstLine="422" w:firstLineChars="200"/>
        <w:rPr>
          <w:bCs/>
          <w:dstrike/>
          <w:color w:val="000000"/>
          <w:szCs w:val="22"/>
        </w:rPr>
      </w:pPr>
      <w:r>
        <w:rPr>
          <w:b/>
          <w:bCs/>
          <w:color w:val="000000"/>
          <w:szCs w:val="21"/>
        </w:rPr>
        <w:t>3</w:t>
      </w:r>
      <w:r>
        <w:rPr>
          <w:bCs/>
          <w:color w:val="000000"/>
          <w:szCs w:val="22"/>
        </w:rPr>
        <w:t xml:space="preserve">  楼梯间内照明灯具采用发光效率高，显色性好，使用寿命长的高效光源；</w:t>
      </w:r>
    </w:p>
    <w:p w14:paraId="5328BB8F">
      <w:pPr>
        <w:spacing w:line="400" w:lineRule="exact"/>
        <w:ind w:firstLine="422" w:firstLineChars="200"/>
        <w:rPr>
          <w:bCs/>
          <w:color w:val="000000"/>
          <w:szCs w:val="22"/>
        </w:rPr>
      </w:pPr>
      <w:r>
        <w:rPr>
          <w:b/>
          <w:bCs/>
          <w:color w:val="000000"/>
          <w:szCs w:val="21"/>
        </w:rPr>
        <w:t>4</w:t>
      </w:r>
      <w:r>
        <w:rPr>
          <w:bCs/>
          <w:color w:val="000000"/>
          <w:szCs w:val="22"/>
        </w:rPr>
        <w:t xml:space="preserve">  弱电线缆不得擅自拆除，应由各产权运营商配合施工，规整至弱电槽盒内；</w:t>
      </w:r>
    </w:p>
    <w:p w14:paraId="14C3F1F2">
      <w:pPr>
        <w:spacing w:line="400" w:lineRule="exact"/>
        <w:ind w:firstLine="422" w:firstLineChars="200"/>
        <w:rPr>
          <w:bCs/>
          <w:color w:val="000000"/>
          <w:szCs w:val="22"/>
        </w:rPr>
      </w:pPr>
      <w:r>
        <w:rPr>
          <w:b/>
          <w:bCs/>
          <w:color w:val="000000"/>
          <w:szCs w:val="21"/>
        </w:rPr>
        <w:t xml:space="preserve">5 </w:t>
      </w:r>
      <w:r>
        <w:rPr>
          <w:bCs/>
          <w:color w:val="000000"/>
          <w:szCs w:val="22"/>
        </w:rPr>
        <w:t xml:space="preserve"> 改造小区内架空线入地时，需与供电部门确定单元门地箱安装位置及单元电源箱连接方式。</w:t>
      </w:r>
    </w:p>
    <w:p w14:paraId="53AEF6DF">
      <w:pPr>
        <w:spacing w:line="400" w:lineRule="exact"/>
        <w:rPr>
          <w:bCs/>
          <w:color w:val="000000"/>
          <w:szCs w:val="22"/>
        </w:rPr>
      </w:pPr>
      <w:r>
        <w:rPr>
          <w:b/>
          <w:color w:val="000000"/>
          <w:szCs w:val="22"/>
        </w:rPr>
        <w:t xml:space="preserve">10.9.6  </w:t>
      </w:r>
      <w:r>
        <w:rPr>
          <w:bCs/>
          <w:color w:val="000000"/>
          <w:szCs w:val="22"/>
        </w:rPr>
        <w:t>防雷设施改造安装应符合</w:t>
      </w:r>
      <w:r>
        <w:rPr>
          <w:rFonts w:hint="eastAsia"/>
          <w:bCs/>
          <w:color w:val="000000"/>
          <w:szCs w:val="22"/>
        </w:rPr>
        <w:t>下列规定</w:t>
      </w:r>
      <w:r>
        <w:rPr>
          <w:bCs/>
          <w:color w:val="000000"/>
          <w:szCs w:val="22"/>
        </w:rPr>
        <w:t>：</w:t>
      </w:r>
    </w:p>
    <w:p w14:paraId="72BA0DDC">
      <w:pPr>
        <w:spacing w:line="400" w:lineRule="exact"/>
        <w:ind w:firstLine="422" w:firstLineChars="200"/>
        <w:rPr>
          <w:bCs/>
          <w:color w:val="000000"/>
          <w:szCs w:val="22"/>
        </w:rPr>
      </w:pPr>
      <w:r>
        <w:rPr>
          <w:b/>
          <w:bCs/>
          <w:color w:val="000000"/>
          <w:szCs w:val="21"/>
        </w:rPr>
        <w:t xml:space="preserve">1 </w:t>
      </w:r>
      <w:r>
        <w:rPr>
          <w:bCs/>
          <w:color w:val="000000"/>
          <w:szCs w:val="22"/>
        </w:rPr>
        <w:t xml:space="preserve"> 防雷引下线及接闪器布置、安装数量和连接方式符合设计要求；</w:t>
      </w:r>
    </w:p>
    <w:p w14:paraId="66460BB0">
      <w:pPr>
        <w:spacing w:line="400" w:lineRule="exact"/>
        <w:ind w:firstLine="422" w:firstLineChars="200"/>
        <w:rPr>
          <w:bCs/>
          <w:color w:val="000000"/>
          <w:szCs w:val="22"/>
        </w:rPr>
      </w:pPr>
      <w:r>
        <w:rPr>
          <w:b/>
          <w:bCs/>
          <w:color w:val="000000"/>
          <w:szCs w:val="21"/>
        </w:rPr>
        <w:t xml:space="preserve">2 </w:t>
      </w:r>
      <w:r>
        <w:rPr>
          <w:bCs/>
          <w:color w:val="000000"/>
          <w:szCs w:val="22"/>
        </w:rPr>
        <w:t xml:space="preserve"> 原防雷引下线锈蚀部分需做除锈处理，与结构连接松动部分</w:t>
      </w:r>
      <w:r>
        <w:rPr>
          <w:rFonts w:hint="eastAsia"/>
          <w:bCs/>
          <w:color w:val="000000"/>
          <w:szCs w:val="22"/>
        </w:rPr>
        <w:t>应</w:t>
      </w:r>
      <w:r>
        <w:rPr>
          <w:bCs/>
          <w:color w:val="000000"/>
          <w:szCs w:val="22"/>
        </w:rPr>
        <w:t>做加固处理，新装防雷带与引下线焊接牢固，防雷卡子</w:t>
      </w:r>
      <w:r>
        <w:rPr>
          <w:rFonts w:hint="eastAsia"/>
          <w:bCs/>
          <w:color w:val="000000"/>
          <w:szCs w:val="22"/>
        </w:rPr>
        <w:t>应</w:t>
      </w:r>
      <w:r>
        <w:rPr>
          <w:bCs/>
          <w:color w:val="000000"/>
          <w:szCs w:val="22"/>
        </w:rPr>
        <w:t xml:space="preserve">进行密封处理； </w:t>
      </w:r>
    </w:p>
    <w:p w14:paraId="3648D427">
      <w:pPr>
        <w:spacing w:line="400" w:lineRule="exact"/>
        <w:ind w:firstLine="422" w:firstLineChars="200"/>
        <w:rPr>
          <w:bCs/>
          <w:dstrike/>
          <w:color w:val="000000"/>
          <w:szCs w:val="22"/>
        </w:rPr>
      </w:pPr>
      <w:r>
        <w:rPr>
          <w:b/>
          <w:bCs/>
          <w:color w:val="000000"/>
          <w:szCs w:val="21"/>
        </w:rPr>
        <w:t>3</w:t>
      </w:r>
      <w:r>
        <w:rPr>
          <w:bCs/>
          <w:color w:val="000000"/>
          <w:szCs w:val="22"/>
        </w:rPr>
        <w:t xml:space="preserve">  屋顶上所有外露金属物均</w:t>
      </w:r>
      <w:r>
        <w:rPr>
          <w:rFonts w:hint="eastAsia"/>
          <w:bCs/>
          <w:color w:val="000000"/>
          <w:szCs w:val="22"/>
        </w:rPr>
        <w:t>应</w:t>
      </w:r>
      <w:r>
        <w:rPr>
          <w:bCs/>
          <w:color w:val="000000"/>
          <w:szCs w:val="22"/>
        </w:rPr>
        <w:t>与防雷网可靠连接，焊接连接搭接长度</w:t>
      </w:r>
      <w:r>
        <w:rPr>
          <w:rFonts w:hint="eastAsia"/>
          <w:bCs/>
          <w:color w:val="000000"/>
          <w:szCs w:val="22"/>
        </w:rPr>
        <w:t>应</w:t>
      </w:r>
      <w:r>
        <w:rPr>
          <w:bCs/>
          <w:color w:val="000000"/>
          <w:szCs w:val="22"/>
        </w:rPr>
        <w:t>符合要求；</w:t>
      </w:r>
    </w:p>
    <w:p w14:paraId="45C9FE3B">
      <w:pPr>
        <w:spacing w:line="400" w:lineRule="exact"/>
        <w:ind w:firstLine="422" w:firstLineChars="200"/>
        <w:rPr>
          <w:bCs/>
          <w:color w:val="000000"/>
          <w:szCs w:val="22"/>
        </w:rPr>
      </w:pPr>
      <w:r>
        <w:rPr>
          <w:b/>
          <w:bCs/>
          <w:color w:val="000000"/>
          <w:szCs w:val="21"/>
        </w:rPr>
        <w:t>4</w:t>
      </w:r>
      <w:r>
        <w:rPr>
          <w:bCs/>
          <w:color w:val="000000"/>
          <w:szCs w:val="22"/>
        </w:rPr>
        <w:t xml:space="preserve">  屋顶透气管与防雷网应采用卡箍形式可靠连接。</w:t>
      </w:r>
    </w:p>
    <w:p w14:paraId="3F698B02">
      <w:pPr>
        <w:spacing w:line="400" w:lineRule="exact"/>
        <w:rPr>
          <w:bCs/>
          <w:color w:val="000000"/>
          <w:szCs w:val="22"/>
        </w:rPr>
      </w:pPr>
      <w:r>
        <w:rPr>
          <w:b/>
          <w:color w:val="000000"/>
          <w:szCs w:val="22"/>
        </w:rPr>
        <w:t xml:space="preserve">10.9.7  </w:t>
      </w:r>
      <w:r>
        <w:rPr>
          <w:bCs/>
          <w:color w:val="000000"/>
          <w:szCs w:val="22"/>
        </w:rPr>
        <w:t>检验与试验</w:t>
      </w:r>
      <w:r>
        <w:rPr>
          <w:color w:val="000000"/>
          <w:szCs w:val="21"/>
        </w:rPr>
        <w:t>应符合</w:t>
      </w:r>
      <w:r>
        <w:rPr>
          <w:rFonts w:hint="eastAsia"/>
          <w:color w:val="000000"/>
          <w:szCs w:val="21"/>
        </w:rPr>
        <w:t>下列规定</w:t>
      </w:r>
      <w:r>
        <w:rPr>
          <w:color w:val="000000"/>
          <w:szCs w:val="21"/>
        </w:rPr>
        <w:t>：</w:t>
      </w:r>
    </w:p>
    <w:p w14:paraId="25305970">
      <w:pPr>
        <w:spacing w:line="400" w:lineRule="exact"/>
        <w:ind w:firstLine="422" w:firstLineChars="200"/>
        <w:rPr>
          <w:bCs/>
          <w:color w:val="000000"/>
          <w:szCs w:val="22"/>
        </w:rPr>
      </w:pPr>
      <w:r>
        <w:rPr>
          <w:b/>
          <w:bCs/>
          <w:color w:val="000000"/>
          <w:szCs w:val="21"/>
        </w:rPr>
        <w:t>1</w:t>
      </w:r>
      <w:r>
        <w:rPr>
          <w:bCs/>
          <w:color w:val="000000"/>
          <w:szCs w:val="22"/>
        </w:rPr>
        <w:t xml:space="preserve">  电线电缆恢复前需对所有线缆进行绝缘电阻测试，确保线缆无异常；</w:t>
      </w:r>
    </w:p>
    <w:p w14:paraId="2FF35563">
      <w:pPr>
        <w:spacing w:line="400" w:lineRule="exact"/>
        <w:ind w:firstLine="422" w:firstLineChars="200"/>
        <w:rPr>
          <w:b/>
          <w:color w:val="000000"/>
          <w:szCs w:val="22"/>
        </w:rPr>
      </w:pPr>
      <w:r>
        <w:rPr>
          <w:b/>
          <w:bCs/>
          <w:color w:val="000000"/>
          <w:szCs w:val="21"/>
        </w:rPr>
        <w:t>2</w:t>
      </w:r>
      <w:r>
        <w:rPr>
          <w:color w:val="000000"/>
          <w:szCs w:val="21"/>
        </w:rPr>
        <w:t xml:space="preserve"> </w:t>
      </w:r>
      <w:r>
        <w:rPr>
          <w:bCs/>
          <w:color w:val="000000"/>
          <w:szCs w:val="22"/>
        </w:rPr>
        <w:t xml:space="preserve"> 防雷带更换完成后</w:t>
      </w:r>
      <w:r>
        <w:rPr>
          <w:rFonts w:hint="eastAsia"/>
          <w:bCs/>
          <w:color w:val="000000"/>
          <w:szCs w:val="22"/>
        </w:rPr>
        <w:t>应</w:t>
      </w:r>
      <w:r>
        <w:rPr>
          <w:bCs/>
          <w:color w:val="000000"/>
          <w:szCs w:val="22"/>
        </w:rPr>
        <w:t>进行防雷带拉力试验，每个支架应能承受49 N的垂直拉力。所有防雷网全部安装完成后</w:t>
      </w:r>
      <w:r>
        <w:rPr>
          <w:rFonts w:hint="eastAsia"/>
          <w:bCs/>
          <w:color w:val="000000"/>
          <w:szCs w:val="22"/>
        </w:rPr>
        <w:t>应</w:t>
      </w:r>
      <w:r>
        <w:rPr>
          <w:bCs/>
          <w:color w:val="000000"/>
          <w:szCs w:val="22"/>
        </w:rPr>
        <w:t>取得第三方出具的防雷装置检测报告。</w:t>
      </w:r>
    </w:p>
    <w:p w14:paraId="79890531">
      <w:pPr>
        <w:spacing w:line="400" w:lineRule="exact"/>
        <w:rPr>
          <w:b/>
          <w:color w:val="000000"/>
          <w:szCs w:val="22"/>
        </w:rPr>
      </w:pPr>
      <w:r>
        <w:rPr>
          <w:b/>
          <w:color w:val="000000"/>
          <w:szCs w:val="22"/>
        </w:rPr>
        <w:t xml:space="preserve">10.9.8  </w:t>
      </w:r>
      <w:r>
        <w:rPr>
          <w:bCs/>
          <w:color w:val="000000"/>
          <w:szCs w:val="22"/>
        </w:rPr>
        <w:t>电气改造工程资料需符合本标准工程资料管理规定。</w:t>
      </w:r>
    </w:p>
    <w:p w14:paraId="0F8B5561">
      <w:pPr>
        <w:pStyle w:val="4"/>
        <w:numPr>
          <w:ilvl w:val="0"/>
          <w:numId w:val="0"/>
        </w:numPr>
        <w:spacing w:before="312" w:beforeLines="100" w:line="400" w:lineRule="exact"/>
        <w:jc w:val="center"/>
        <w:rPr>
          <w:rFonts w:ascii="Times New Roman" w:hAnsi="Times New Roman" w:eastAsia="黑体"/>
          <w:sz w:val="24"/>
          <w:szCs w:val="24"/>
          <w:lang w:val="en-US"/>
        </w:rPr>
      </w:pPr>
      <w:bookmarkStart w:id="568" w:name="_Toc2389"/>
      <w:bookmarkStart w:id="569" w:name="_Toc28566"/>
      <w:bookmarkStart w:id="570" w:name="_Toc11735"/>
      <w:bookmarkStart w:id="571" w:name="_Toc21382"/>
      <w:bookmarkStart w:id="572" w:name="_Toc25007"/>
      <w:r>
        <w:rPr>
          <w:rFonts w:ascii="Times New Roman" w:hAnsi="Times New Roman" w:eastAsia="黑体"/>
          <w:b/>
          <w:bCs/>
          <w:sz w:val="24"/>
          <w:szCs w:val="24"/>
        </w:rPr>
        <w:t>10.10</w:t>
      </w:r>
      <w:r>
        <w:rPr>
          <w:rFonts w:hint="eastAsia" w:ascii="Times New Roman" w:hAnsi="Times New Roman" w:eastAsia="黑体"/>
          <w:sz w:val="24"/>
          <w:szCs w:val="24"/>
          <w:lang w:val="en-US"/>
        </w:rPr>
        <w:t xml:space="preserve">  </w:t>
      </w:r>
      <w:r>
        <w:rPr>
          <w:rFonts w:ascii="Times New Roman" w:hAnsi="Times New Roman" w:eastAsia="黑体"/>
          <w:sz w:val="24"/>
          <w:szCs w:val="24"/>
        </w:rPr>
        <w:t>电梯改造</w:t>
      </w:r>
      <w:bookmarkEnd w:id="568"/>
      <w:r>
        <w:rPr>
          <w:rFonts w:hint="eastAsia" w:ascii="Times New Roman" w:hAnsi="Times New Roman" w:eastAsia="黑体"/>
          <w:sz w:val="24"/>
          <w:szCs w:val="24"/>
          <w:lang w:val="en-US"/>
        </w:rPr>
        <w:t>工程</w:t>
      </w:r>
      <w:bookmarkEnd w:id="569"/>
      <w:bookmarkEnd w:id="570"/>
      <w:bookmarkEnd w:id="571"/>
      <w:bookmarkEnd w:id="572"/>
    </w:p>
    <w:p w14:paraId="59086623">
      <w:pPr>
        <w:spacing w:line="400" w:lineRule="exact"/>
        <w:rPr>
          <w:color w:val="000000"/>
          <w:szCs w:val="22"/>
        </w:rPr>
      </w:pPr>
      <w:r>
        <w:rPr>
          <w:b/>
          <w:color w:val="000000"/>
          <w:szCs w:val="22"/>
        </w:rPr>
        <w:t xml:space="preserve">10.10.1  </w:t>
      </w:r>
      <w:r>
        <w:rPr>
          <w:color w:val="000000"/>
          <w:szCs w:val="22"/>
        </w:rPr>
        <w:t>电梯改造应符合设计要求，施工前编制施工方案，审批手续齐全有效。</w:t>
      </w:r>
    </w:p>
    <w:p w14:paraId="3ABE9283">
      <w:pPr>
        <w:spacing w:line="400" w:lineRule="exact"/>
        <w:rPr>
          <w:color w:val="000000"/>
          <w:szCs w:val="22"/>
        </w:rPr>
      </w:pPr>
      <w:r>
        <w:rPr>
          <w:b/>
          <w:color w:val="000000"/>
          <w:szCs w:val="22"/>
        </w:rPr>
        <w:t>10.10.2</w:t>
      </w:r>
      <w:r>
        <w:rPr>
          <w:color w:val="000000"/>
          <w:szCs w:val="22"/>
        </w:rPr>
        <w:t xml:space="preserve">  电梯</w:t>
      </w:r>
      <w:r>
        <w:rPr>
          <w:color w:val="000000"/>
          <w:kern w:val="0"/>
          <w:szCs w:val="21"/>
        </w:rPr>
        <w:t>改造</w:t>
      </w:r>
      <w:r>
        <w:rPr>
          <w:color w:val="000000"/>
          <w:szCs w:val="22"/>
        </w:rPr>
        <w:t>时新增部分的结构与既有建筑之间宜采用柔性连接，连接宜位于混凝土构造柱或圈梁位置，需钻孔时应避开原结构构件内的钢筋。</w:t>
      </w:r>
    </w:p>
    <w:p w14:paraId="29FC74BB">
      <w:pPr>
        <w:spacing w:line="400" w:lineRule="exact"/>
        <w:rPr>
          <w:color w:val="000000"/>
          <w:szCs w:val="22"/>
        </w:rPr>
      </w:pPr>
      <w:r>
        <w:rPr>
          <w:b/>
          <w:color w:val="000000"/>
          <w:szCs w:val="22"/>
        </w:rPr>
        <w:t>10.10.3</w:t>
      </w:r>
      <w:r>
        <w:rPr>
          <w:color w:val="000000"/>
          <w:szCs w:val="22"/>
        </w:rPr>
        <w:t xml:space="preserve">  电梯改造时，基础、主体结构、装饰装修、屋面、建筑电气、设备及电梯安装等工程均应符合本标准的要求。</w:t>
      </w:r>
    </w:p>
    <w:p w14:paraId="0E02EE6E">
      <w:pPr>
        <w:spacing w:line="400" w:lineRule="exact"/>
        <w:rPr>
          <w:color w:val="000000"/>
          <w:szCs w:val="22"/>
        </w:rPr>
      </w:pPr>
      <w:r>
        <w:rPr>
          <w:b/>
          <w:color w:val="000000"/>
          <w:szCs w:val="22"/>
        </w:rPr>
        <w:t>10.10.4</w:t>
      </w:r>
      <w:r>
        <w:rPr>
          <w:color w:val="000000"/>
          <w:szCs w:val="22"/>
        </w:rPr>
        <w:t xml:space="preserve">  电梯井工程质量应符合下列规定：</w:t>
      </w:r>
    </w:p>
    <w:p w14:paraId="7401D152">
      <w:pPr>
        <w:spacing w:line="400" w:lineRule="exact"/>
        <w:ind w:firstLine="422" w:firstLineChars="200"/>
        <w:rPr>
          <w:color w:val="000000"/>
          <w:szCs w:val="22"/>
        </w:rPr>
      </w:pPr>
      <w:r>
        <w:rPr>
          <w:b/>
          <w:color w:val="000000"/>
          <w:szCs w:val="22"/>
        </w:rPr>
        <w:t xml:space="preserve">1  </w:t>
      </w:r>
      <w:r>
        <w:rPr>
          <w:color w:val="000000"/>
          <w:szCs w:val="22"/>
        </w:rPr>
        <w:t>电梯改造不宜破坏既有建筑地下防水层，当破坏防水层时，应进行修补。底坑应做防水处理，并宜设置集水坑；</w:t>
      </w:r>
    </w:p>
    <w:p w14:paraId="3CD1B800">
      <w:pPr>
        <w:spacing w:line="400" w:lineRule="exact"/>
        <w:ind w:firstLine="422" w:firstLineChars="200"/>
        <w:rPr>
          <w:color w:val="000000"/>
          <w:szCs w:val="22"/>
        </w:rPr>
      </w:pPr>
      <w:r>
        <w:rPr>
          <w:b/>
          <w:color w:val="000000"/>
          <w:szCs w:val="22"/>
        </w:rPr>
        <w:t>2</w:t>
      </w:r>
      <w:r>
        <w:rPr>
          <w:color w:val="000000"/>
          <w:szCs w:val="22"/>
        </w:rPr>
        <w:t xml:space="preserve">  电梯首层厅门入口应采取严密的挡水、防水措施，电梯井道与地面交接处宜设置高度</w:t>
      </w:r>
      <w:r>
        <w:rPr>
          <w:rFonts w:hint="eastAsia" w:ascii="宋体" w:hAnsi="宋体" w:cs="宋体"/>
          <w:color w:val="000000"/>
          <w:szCs w:val="22"/>
        </w:rPr>
        <w:t>不小于</w:t>
      </w:r>
      <w:r>
        <w:rPr>
          <w:color w:val="000000"/>
          <w:szCs w:val="22"/>
        </w:rPr>
        <w:t>250 mm的防水台，避免雨水通过厅门入口或从周边建筑墙体和地坪流入底坑；</w:t>
      </w:r>
    </w:p>
    <w:p w14:paraId="57728F9F">
      <w:pPr>
        <w:spacing w:line="400" w:lineRule="exact"/>
        <w:ind w:firstLine="422" w:firstLineChars="200"/>
        <w:rPr>
          <w:color w:val="000000"/>
          <w:szCs w:val="22"/>
        </w:rPr>
      </w:pPr>
      <w:r>
        <w:rPr>
          <w:b/>
          <w:color w:val="000000"/>
          <w:szCs w:val="22"/>
        </w:rPr>
        <w:t>3</w:t>
      </w:r>
      <w:r>
        <w:rPr>
          <w:color w:val="000000"/>
          <w:szCs w:val="22"/>
        </w:rPr>
        <w:t xml:space="preserve">  电梯井外立面阴阳角应顺直，各层标高应符合要求。加装电梯与主体结构之间应设置永久变形缝，变形缝的宽度应满足防震缝的要求，并做好防水处理；</w:t>
      </w:r>
    </w:p>
    <w:p w14:paraId="47027A50">
      <w:pPr>
        <w:spacing w:line="400" w:lineRule="exact"/>
        <w:ind w:firstLine="422" w:firstLineChars="200"/>
        <w:rPr>
          <w:color w:val="000000"/>
          <w:szCs w:val="22"/>
        </w:rPr>
      </w:pPr>
      <w:r>
        <w:rPr>
          <w:b/>
          <w:color w:val="000000"/>
          <w:szCs w:val="22"/>
        </w:rPr>
        <w:t xml:space="preserve">4  </w:t>
      </w:r>
      <w:r>
        <w:rPr>
          <w:color w:val="000000"/>
          <w:szCs w:val="22"/>
        </w:rPr>
        <w:t>井道外侧与地面交接处应设置高度</w:t>
      </w:r>
      <w:r>
        <w:rPr>
          <w:rFonts w:hint="eastAsia"/>
          <w:color w:val="000000"/>
          <w:szCs w:val="22"/>
        </w:rPr>
        <w:t>不小于</w:t>
      </w:r>
      <w:r>
        <w:rPr>
          <w:color w:val="000000"/>
          <w:szCs w:val="22"/>
        </w:rPr>
        <w:t>600 mm的防撞围栏，宜采用金属栏杆、钢筋混凝土挡墙等具有强度好、寿命长、外观美且整体协调的材料；</w:t>
      </w:r>
    </w:p>
    <w:p w14:paraId="3308B196">
      <w:pPr>
        <w:spacing w:line="400" w:lineRule="exact"/>
        <w:ind w:firstLine="422" w:firstLineChars="200"/>
        <w:rPr>
          <w:color w:val="000000"/>
          <w:szCs w:val="22"/>
        </w:rPr>
      </w:pPr>
      <w:r>
        <w:rPr>
          <w:b/>
          <w:color w:val="000000"/>
          <w:szCs w:val="22"/>
        </w:rPr>
        <w:t>5</w:t>
      </w:r>
      <w:r>
        <w:rPr>
          <w:color w:val="000000"/>
          <w:szCs w:val="22"/>
        </w:rPr>
        <w:t xml:space="preserve">  电梯改造工程如对既有建筑外保温系统造成局部损坏，工程竣工前应将</w:t>
      </w:r>
      <w:r>
        <w:rPr>
          <w:color w:val="000000"/>
          <w:szCs w:val="21"/>
        </w:rPr>
        <w:t>损坏</w:t>
      </w:r>
      <w:r>
        <w:rPr>
          <w:color w:val="000000"/>
          <w:szCs w:val="22"/>
        </w:rPr>
        <w:t>部位及时修复，修复后的外保温及外装饰应与既有建筑协调一致。</w:t>
      </w:r>
    </w:p>
    <w:p w14:paraId="26674CDB">
      <w:pPr>
        <w:spacing w:line="400" w:lineRule="exact"/>
        <w:rPr>
          <w:color w:val="000000"/>
          <w:szCs w:val="22"/>
        </w:rPr>
      </w:pPr>
      <w:r>
        <w:rPr>
          <w:b/>
          <w:color w:val="000000"/>
          <w:szCs w:val="22"/>
        </w:rPr>
        <w:t xml:space="preserve">10.10.5  </w:t>
      </w:r>
      <w:r>
        <w:rPr>
          <w:color w:val="000000"/>
          <w:szCs w:val="22"/>
        </w:rPr>
        <w:t>电梯基础应无不均匀沉降、变形及影响功能的质量问题，并做好沉降观测记录。</w:t>
      </w:r>
    </w:p>
    <w:p w14:paraId="1D688057">
      <w:pPr>
        <w:spacing w:line="400" w:lineRule="exact"/>
        <w:rPr>
          <w:color w:val="000000"/>
          <w:szCs w:val="22"/>
        </w:rPr>
      </w:pPr>
      <w:r>
        <w:rPr>
          <w:b/>
          <w:color w:val="000000"/>
          <w:szCs w:val="22"/>
        </w:rPr>
        <w:t xml:space="preserve">10.10.6  </w:t>
      </w:r>
      <w:r>
        <w:rPr>
          <w:color w:val="000000"/>
          <w:szCs w:val="22"/>
        </w:rPr>
        <w:t>电梯交付、使用应符合下列规定：</w:t>
      </w:r>
    </w:p>
    <w:p w14:paraId="53C0374C">
      <w:pPr>
        <w:spacing w:line="400" w:lineRule="exact"/>
        <w:ind w:firstLine="422" w:firstLineChars="200"/>
        <w:rPr>
          <w:color w:val="000000"/>
          <w:szCs w:val="22"/>
        </w:rPr>
      </w:pPr>
      <w:r>
        <w:rPr>
          <w:b/>
          <w:color w:val="000000"/>
          <w:szCs w:val="22"/>
        </w:rPr>
        <w:t>1</w:t>
      </w:r>
      <w:r>
        <w:rPr>
          <w:color w:val="000000"/>
          <w:szCs w:val="22"/>
        </w:rPr>
        <w:t xml:space="preserve">  电梯安装后交付使用前应进行试运行，应由特种设备检验检测研究所检测检验，出具电梯监督检验报告；</w:t>
      </w:r>
    </w:p>
    <w:p w14:paraId="56CAF82F">
      <w:pPr>
        <w:spacing w:line="400" w:lineRule="exact"/>
        <w:ind w:firstLine="422" w:firstLineChars="200"/>
        <w:rPr>
          <w:b/>
          <w:bCs/>
          <w:color w:val="000000"/>
        </w:rPr>
      </w:pPr>
      <w:r>
        <w:rPr>
          <w:b/>
          <w:color w:val="000000"/>
          <w:szCs w:val="22"/>
        </w:rPr>
        <w:t>2</w:t>
      </w:r>
      <w:r>
        <w:rPr>
          <w:color w:val="000000"/>
          <w:szCs w:val="22"/>
        </w:rPr>
        <w:t xml:space="preserve">  电梯投入使用前应在质量技术监督管理局进行登记、备案，取得登记证，应将登记证置于该电梯的显著位置，方可以投入使用。</w:t>
      </w:r>
    </w:p>
    <w:p w14:paraId="4BA44677">
      <w:pPr>
        <w:pStyle w:val="4"/>
        <w:numPr>
          <w:ilvl w:val="0"/>
          <w:numId w:val="0"/>
        </w:numPr>
        <w:spacing w:before="312" w:beforeLines="100" w:line="400" w:lineRule="exact"/>
        <w:jc w:val="center"/>
        <w:rPr>
          <w:rFonts w:ascii="Times New Roman" w:hAnsi="Times New Roman" w:eastAsia="黑体"/>
          <w:sz w:val="24"/>
          <w:szCs w:val="24"/>
          <w:lang w:val="en-US"/>
        </w:rPr>
      </w:pPr>
      <w:bookmarkStart w:id="573" w:name="_Toc6277"/>
      <w:bookmarkStart w:id="574" w:name="_Toc3243"/>
      <w:bookmarkStart w:id="575" w:name="_Toc15455"/>
      <w:bookmarkStart w:id="576" w:name="_Toc32298"/>
      <w:bookmarkStart w:id="577" w:name="_Toc13426"/>
      <w:r>
        <w:rPr>
          <w:rFonts w:ascii="Times New Roman" w:hAnsi="Times New Roman" w:eastAsia="黑体"/>
          <w:b/>
          <w:bCs/>
          <w:sz w:val="24"/>
          <w:szCs w:val="24"/>
        </w:rPr>
        <w:t>10.11</w:t>
      </w:r>
      <w:r>
        <w:rPr>
          <w:rFonts w:ascii="Times New Roman" w:hAnsi="Times New Roman" w:eastAsia="黑体"/>
          <w:sz w:val="24"/>
          <w:szCs w:val="24"/>
          <w:lang w:val="en-US"/>
        </w:rPr>
        <w:t xml:space="preserve">  </w:t>
      </w:r>
      <w:r>
        <w:rPr>
          <w:rFonts w:ascii="Times New Roman" w:hAnsi="Times New Roman" w:eastAsia="黑体"/>
          <w:sz w:val="24"/>
          <w:szCs w:val="24"/>
        </w:rPr>
        <w:t>停车场改造</w:t>
      </w:r>
      <w:bookmarkEnd w:id="573"/>
      <w:r>
        <w:rPr>
          <w:rFonts w:hint="eastAsia" w:ascii="Times New Roman" w:hAnsi="Times New Roman" w:eastAsia="黑体"/>
          <w:sz w:val="24"/>
          <w:szCs w:val="24"/>
          <w:lang w:val="en-US"/>
        </w:rPr>
        <w:t>工程</w:t>
      </w:r>
      <w:bookmarkEnd w:id="574"/>
      <w:bookmarkEnd w:id="575"/>
      <w:bookmarkEnd w:id="576"/>
      <w:bookmarkEnd w:id="577"/>
    </w:p>
    <w:p w14:paraId="2FF186B3">
      <w:pPr>
        <w:spacing w:line="400" w:lineRule="exact"/>
        <w:rPr>
          <w:color w:val="000000"/>
          <w:kern w:val="0"/>
          <w:szCs w:val="21"/>
        </w:rPr>
      </w:pPr>
      <w:r>
        <w:rPr>
          <w:b/>
          <w:color w:val="000000"/>
          <w:szCs w:val="22"/>
        </w:rPr>
        <w:t xml:space="preserve">10.11.1  </w:t>
      </w:r>
      <w:r>
        <w:rPr>
          <w:color w:val="000000"/>
          <w:kern w:val="0"/>
          <w:szCs w:val="21"/>
        </w:rPr>
        <w:t>停车场地面应采用耐磨、耐油、耐水和防滑等要求的建筑材料。地面密实、平整、不空、不裂，颜色均匀整洁，</w:t>
      </w:r>
      <w:r>
        <w:rPr>
          <w:rFonts w:hint="eastAsia"/>
          <w:color w:val="000000"/>
          <w:kern w:val="0"/>
          <w:szCs w:val="21"/>
        </w:rPr>
        <w:t>分格缝</w:t>
      </w:r>
      <w:r>
        <w:rPr>
          <w:color w:val="000000"/>
          <w:kern w:val="0"/>
          <w:szCs w:val="21"/>
        </w:rPr>
        <w:t>设置规范、切缝顺直。停车场坡道应设置防冰雪、防滑措施。</w:t>
      </w:r>
    </w:p>
    <w:p w14:paraId="10AD840D">
      <w:pPr>
        <w:spacing w:line="400" w:lineRule="exact"/>
        <w:rPr>
          <w:color w:val="000000"/>
          <w:kern w:val="0"/>
          <w:szCs w:val="21"/>
        </w:rPr>
      </w:pPr>
      <w:r>
        <w:rPr>
          <w:b/>
          <w:color w:val="000000"/>
          <w:szCs w:val="22"/>
        </w:rPr>
        <w:t xml:space="preserve">10.11.2  </w:t>
      </w:r>
      <w:r>
        <w:rPr>
          <w:color w:val="000000"/>
          <w:kern w:val="0"/>
          <w:szCs w:val="21"/>
        </w:rPr>
        <w:t>停车场各系统管道综合排布合理、排列整齐美观，管道种类和介质流向标志明确。</w:t>
      </w:r>
    </w:p>
    <w:p w14:paraId="3E25A30D">
      <w:pPr>
        <w:spacing w:line="400" w:lineRule="exact"/>
        <w:rPr>
          <w:color w:val="000000"/>
          <w:kern w:val="0"/>
          <w:szCs w:val="21"/>
        </w:rPr>
      </w:pPr>
      <w:r>
        <w:rPr>
          <w:b/>
          <w:color w:val="000000"/>
          <w:szCs w:val="22"/>
        </w:rPr>
        <w:t xml:space="preserve">10.11.3  </w:t>
      </w:r>
      <w:r>
        <w:rPr>
          <w:color w:val="000000"/>
          <w:kern w:val="0"/>
          <w:szCs w:val="21"/>
        </w:rPr>
        <w:t>停车场指示、警告、禁止、指路等交通标志应齐全、清晰、明确、满足可视性，安装牢固、可靠。</w:t>
      </w:r>
    </w:p>
    <w:p w14:paraId="45EB0AC5">
      <w:pPr>
        <w:spacing w:line="400" w:lineRule="exact"/>
        <w:rPr>
          <w:color w:val="000000"/>
          <w:kern w:val="0"/>
          <w:szCs w:val="21"/>
        </w:rPr>
      </w:pPr>
      <w:r>
        <w:rPr>
          <w:b/>
          <w:color w:val="000000"/>
          <w:szCs w:val="22"/>
        </w:rPr>
        <w:t xml:space="preserve">10.11.4  </w:t>
      </w:r>
      <w:r>
        <w:rPr>
          <w:color w:val="000000"/>
          <w:kern w:val="0"/>
          <w:szCs w:val="21"/>
        </w:rPr>
        <w:t>停车场挡车器、防撞、减速</w:t>
      </w:r>
      <w:r>
        <w:rPr>
          <w:color w:val="000000"/>
          <w:szCs w:val="21"/>
        </w:rPr>
        <w:t>措施</w:t>
      </w:r>
      <w:r>
        <w:rPr>
          <w:color w:val="000000"/>
          <w:kern w:val="0"/>
          <w:szCs w:val="21"/>
        </w:rPr>
        <w:t>、防护栏、隔离设施等交通安全设施齐全、安装牢固、满足可视性、有效性。</w:t>
      </w:r>
    </w:p>
    <w:p w14:paraId="489F6E59">
      <w:pPr>
        <w:spacing w:line="360" w:lineRule="auto"/>
        <w:jc w:val="center"/>
        <w:rPr>
          <w:rStyle w:val="32"/>
          <w:rFonts w:ascii="Times New Roman" w:hAnsi="Times New Roman" w:eastAsia="黑体"/>
          <w:sz w:val="28"/>
          <w:szCs w:val="28"/>
          <w:lang w:val="en-US"/>
        </w:rPr>
      </w:pPr>
      <w:r>
        <w:rPr>
          <w:b/>
          <w:bCs/>
          <w:color w:val="000000"/>
          <w:szCs w:val="21"/>
        </w:rPr>
        <w:br w:type="page"/>
      </w:r>
      <w:bookmarkStart w:id="578" w:name="_Toc10300"/>
      <w:bookmarkStart w:id="579" w:name="_Toc21157"/>
      <w:bookmarkStart w:id="580" w:name="_Toc31469"/>
      <w:bookmarkStart w:id="581" w:name="_Toc8401"/>
      <w:bookmarkStart w:id="582" w:name="_Toc696"/>
      <w:r>
        <w:rPr>
          <w:rStyle w:val="32"/>
          <w:rFonts w:ascii="Times New Roman" w:hAnsi="Times New Roman" w:eastAsia="黑体"/>
          <w:b/>
          <w:bCs/>
          <w:sz w:val="28"/>
          <w:szCs w:val="28"/>
          <w:lang w:val="en-US"/>
        </w:rPr>
        <w:t xml:space="preserve">11  </w:t>
      </w:r>
      <w:r>
        <w:rPr>
          <w:rStyle w:val="32"/>
          <w:rFonts w:hint="eastAsia" w:ascii="Times New Roman" w:hAnsi="Times New Roman" w:eastAsia="黑体"/>
          <w:sz w:val="28"/>
          <w:szCs w:val="28"/>
          <w:lang w:val="en-US"/>
        </w:rPr>
        <w:t>现场</w:t>
      </w:r>
      <w:r>
        <w:rPr>
          <w:rStyle w:val="32"/>
          <w:rFonts w:ascii="Times New Roman" w:hAnsi="Times New Roman" w:eastAsia="黑体"/>
          <w:sz w:val="28"/>
          <w:szCs w:val="28"/>
          <w:lang w:val="en-US"/>
        </w:rPr>
        <w:t>检查及评议评价</w:t>
      </w:r>
      <w:bookmarkEnd w:id="513"/>
      <w:bookmarkEnd w:id="514"/>
      <w:bookmarkEnd w:id="515"/>
      <w:bookmarkEnd w:id="516"/>
      <w:bookmarkEnd w:id="522"/>
      <w:bookmarkEnd w:id="578"/>
    </w:p>
    <w:bookmarkEnd w:id="579"/>
    <w:bookmarkEnd w:id="580"/>
    <w:bookmarkEnd w:id="581"/>
    <w:bookmarkEnd w:id="582"/>
    <w:p w14:paraId="0B695A36">
      <w:pPr>
        <w:pStyle w:val="4"/>
        <w:numPr>
          <w:ilvl w:val="0"/>
          <w:numId w:val="0"/>
        </w:numPr>
        <w:spacing w:before="312" w:beforeLines="100" w:line="400" w:lineRule="exact"/>
        <w:jc w:val="center"/>
        <w:rPr>
          <w:rFonts w:ascii="Times New Roman" w:hAnsi="Times New Roman" w:eastAsia="黑体"/>
          <w:sz w:val="24"/>
          <w:szCs w:val="24"/>
        </w:rPr>
      </w:pPr>
      <w:bookmarkStart w:id="583" w:name="_Toc13897"/>
      <w:bookmarkStart w:id="584" w:name="_Toc25624"/>
      <w:bookmarkStart w:id="585" w:name="_Toc10268"/>
      <w:bookmarkStart w:id="586" w:name="_Toc26534_WPSOffice_Level1"/>
      <w:bookmarkStart w:id="587" w:name="_Toc12456"/>
      <w:bookmarkStart w:id="588" w:name="_Toc893"/>
      <w:bookmarkStart w:id="589" w:name="_Toc10805"/>
      <w:bookmarkStart w:id="590" w:name="_Toc12367"/>
      <w:bookmarkStart w:id="591" w:name="_Toc29808"/>
      <w:bookmarkStart w:id="592" w:name="_Toc16615"/>
      <w:r>
        <w:rPr>
          <w:rFonts w:ascii="Times New Roman" w:hAnsi="Times New Roman" w:eastAsia="黑体"/>
          <w:b/>
          <w:bCs/>
          <w:sz w:val="24"/>
          <w:szCs w:val="24"/>
        </w:rPr>
        <w:t>1</w:t>
      </w:r>
      <w:r>
        <w:rPr>
          <w:rFonts w:ascii="Times New Roman" w:hAnsi="Times New Roman" w:eastAsia="黑体"/>
          <w:b/>
          <w:bCs/>
          <w:sz w:val="24"/>
          <w:szCs w:val="24"/>
          <w:lang w:val="en-US"/>
        </w:rPr>
        <w:t>1</w:t>
      </w:r>
      <w:r>
        <w:rPr>
          <w:rFonts w:ascii="Times New Roman" w:hAnsi="Times New Roman" w:eastAsia="黑体"/>
          <w:b/>
          <w:bCs/>
          <w:sz w:val="24"/>
          <w:szCs w:val="24"/>
        </w:rPr>
        <w:t>.1</w:t>
      </w:r>
      <w:r>
        <w:rPr>
          <w:rFonts w:ascii="Times New Roman" w:hAnsi="Times New Roman" w:eastAsia="黑体"/>
          <w:sz w:val="24"/>
          <w:szCs w:val="24"/>
        </w:rPr>
        <w:tab/>
      </w:r>
      <w:r>
        <w:rPr>
          <w:rFonts w:hint="eastAsia" w:ascii="Times New Roman" w:hAnsi="Times New Roman" w:eastAsia="黑体"/>
          <w:sz w:val="24"/>
          <w:szCs w:val="24"/>
          <w:lang w:val="en-US"/>
        </w:rPr>
        <w:t xml:space="preserve"> 现场</w:t>
      </w:r>
      <w:r>
        <w:rPr>
          <w:rFonts w:ascii="Times New Roman" w:hAnsi="Times New Roman" w:eastAsia="黑体"/>
          <w:sz w:val="24"/>
          <w:szCs w:val="24"/>
        </w:rPr>
        <w:t>检查的方法及程序</w:t>
      </w:r>
      <w:bookmarkEnd w:id="583"/>
      <w:bookmarkEnd w:id="584"/>
      <w:bookmarkEnd w:id="585"/>
      <w:bookmarkEnd w:id="586"/>
      <w:bookmarkEnd w:id="587"/>
      <w:bookmarkEnd w:id="588"/>
      <w:bookmarkEnd w:id="589"/>
      <w:bookmarkEnd w:id="590"/>
      <w:bookmarkEnd w:id="591"/>
      <w:bookmarkEnd w:id="592"/>
    </w:p>
    <w:p w14:paraId="173279C9">
      <w:pPr>
        <w:spacing w:line="400" w:lineRule="exact"/>
        <w:rPr>
          <w:color w:val="000000"/>
          <w:szCs w:val="21"/>
        </w:rPr>
      </w:pPr>
      <w:r>
        <w:rPr>
          <w:b/>
          <w:bCs/>
          <w:color w:val="000000"/>
          <w:szCs w:val="21"/>
        </w:rPr>
        <w:t>11.1.1</w:t>
      </w:r>
      <w:r>
        <w:rPr>
          <w:color w:val="000000"/>
          <w:szCs w:val="21"/>
        </w:rPr>
        <w:t xml:space="preserve">  建筑长城杯工程主要</w:t>
      </w:r>
      <w:r>
        <w:rPr>
          <w:rFonts w:hint="eastAsia"/>
          <w:color w:val="000000"/>
          <w:szCs w:val="21"/>
        </w:rPr>
        <w:t>检查下列</w:t>
      </w:r>
      <w:r>
        <w:rPr>
          <w:color w:val="000000"/>
          <w:szCs w:val="21"/>
        </w:rPr>
        <w:t>七项内容：</w:t>
      </w:r>
    </w:p>
    <w:p w14:paraId="1BFCDFFF">
      <w:pPr>
        <w:spacing w:line="400" w:lineRule="exact"/>
        <w:ind w:firstLine="422" w:firstLineChars="200"/>
        <w:rPr>
          <w:color w:val="000000"/>
          <w:szCs w:val="21"/>
        </w:rPr>
      </w:pPr>
      <w:bookmarkStart w:id="593" w:name="_Toc18981"/>
      <w:bookmarkStart w:id="594" w:name="_Toc31888"/>
      <w:bookmarkStart w:id="595" w:name="_Toc6163_WPSOffice_Level2"/>
      <w:bookmarkStart w:id="596" w:name="_Toc25223"/>
      <w:r>
        <w:rPr>
          <w:b/>
          <w:color w:val="000000"/>
          <w:szCs w:val="21"/>
        </w:rPr>
        <w:t>1</w:t>
      </w:r>
      <w:r>
        <w:rPr>
          <w:b/>
          <w:bCs/>
          <w:color w:val="000000"/>
          <w:szCs w:val="21"/>
        </w:rPr>
        <w:t xml:space="preserve">  </w:t>
      </w:r>
      <w:r>
        <w:rPr>
          <w:color w:val="000000"/>
          <w:szCs w:val="21"/>
        </w:rPr>
        <w:t>土建工程实体质量可按</w:t>
      </w:r>
      <w:r>
        <w:rPr>
          <w:rFonts w:hint="eastAsia"/>
          <w:color w:val="000000"/>
          <w:szCs w:val="21"/>
          <w:lang w:val="en-US" w:eastAsia="zh-CN"/>
        </w:rPr>
        <w:t>本标准</w:t>
      </w:r>
      <w:r>
        <w:rPr>
          <w:color w:val="000000"/>
          <w:szCs w:val="21"/>
        </w:rPr>
        <w:t>附录A</w:t>
      </w:r>
      <w:r>
        <w:rPr>
          <w:rFonts w:hint="eastAsia"/>
          <w:color w:val="000000"/>
          <w:szCs w:val="21"/>
          <w:lang w:val="en-US" w:eastAsia="zh-CN"/>
        </w:rPr>
        <w:t>执行</w:t>
      </w:r>
      <w:r>
        <w:rPr>
          <w:color w:val="000000"/>
          <w:szCs w:val="21"/>
        </w:rPr>
        <w:t>；</w:t>
      </w:r>
      <w:bookmarkEnd w:id="593"/>
      <w:bookmarkEnd w:id="594"/>
      <w:bookmarkEnd w:id="595"/>
      <w:bookmarkEnd w:id="596"/>
    </w:p>
    <w:p w14:paraId="625367D4">
      <w:pPr>
        <w:spacing w:line="400" w:lineRule="exact"/>
        <w:ind w:firstLine="422" w:firstLineChars="200"/>
        <w:rPr>
          <w:b/>
          <w:bCs/>
          <w:color w:val="000000"/>
          <w:szCs w:val="21"/>
        </w:rPr>
      </w:pPr>
      <w:bookmarkStart w:id="597" w:name="_Toc21581"/>
      <w:bookmarkStart w:id="598" w:name="_Toc31727"/>
      <w:bookmarkStart w:id="599" w:name="_Toc6836"/>
      <w:bookmarkStart w:id="600" w:name="_Toc2349_WPSOffice_Level2"/>
      <w:r>
        <w:rPr>
          <w:b/>
          <w:color w:val="000000"/>
          <w:szCs w:val="21"/>
        </w:rPr>
        <w:t>2</w:t>
      </w:r>
      <w:r>
        <w:rPr>
          <w:b/>
          <w:bCs/>
          <w:color w:val="000000"/>
          <w:szCs w:val="21"/>
        </w:rPr>
        <w:t xml:space="preserve">  </w:t>
      </w:r>
      <w:r>
        <w:rPr>
          <w:color w:val="000000"/>
          <w:szCs w:val="21"/>
        </w:rPr>
        <w:t>建筑电气设备安装工程实体质量</w:t>
      </w:r>
      <w:r>
        <w:rPr>
          <w:rFonts w:hint="eastAsia"/>
          <w:color w:val="000000"/>
          <w:szCs w:val="21"/>
        </w:rPr>
        <w:t>检查</w:t>
      </w:r>
      <w:r>
        <w:rPr>
          <w:color w:val="000000"/>
          <w:szCs w:val="21"/>
        </w:rPr>
        <w:t>可按</w:t>
      </w:r>
      <w:r>
        <w:rPr>
          <w:rFonts w:hint="eastAsia"/>
          <w:color w:val="000000"/>
          <w:szCs w:val="21"/>
          <w:lang w:val="en-US" w:eastAsia="zh-CN"/>
        </w:rPr>
        <w:t>本标准</w:t>
      </w:r>
      <w:r>
        <w:rPr>
          <w:color w:val="000000"/>
          <w:szCs w:val="21"/>
        </w:rPr>
        <w:t>附录B</w:t>
      </w:r>
      <w:r>
        <w:rPr>
          <w:rFonts w:hint="eastAsia"/>
          <w:color w:val="000000"/>
          <w:szCs w:val="21"/>
          <w:lang w:val="en-US" w:eastAsia="zh-CN"/>
        </w:rPr>
        <w:t>执行</w:t>
      </w:r>
      <w:r>
        <w:rPr>
          <w:color w:val="000000"/>
          <w:szCs w:val="21"/>
        </w:rPr>
        <w:t>；</w:t>
      </w:r>
      <w:bookmarkEnd w:id="597"/>
      <w:bookmarkEnd w:id="598"/>
      <w:bookmarkEnd w:id="599"/>
      <w:bookmarkEnd w:id="600"/>
    </w:p>
    <w:p w14:paraId="05CD8C58">
      <w:pPr>
        <w:spacing w:line="400" w:lineRule="exact"/>
        <w:ind w:firstLine="422" w:firstLineChars="200"/>
        <w:rPr>
          <w:color w:val="000000"/>
          <w:szCs w:val="21"/>
        </w:rPr>
      </w:pPr>
      <w:bookmarkStart w:id="601" w:name="_Toc13185"/>
      <w:bookmarkStart w:id="602" w:name="_Toc27308"/>
      <w:bookmarkStart w:id="603" w:name="_Toc23344_WPSOffice_Level2"/>
      <w:bookmarkStart w:id="604" w:name="_Toc10066"/>
      <w:r>
        <w:rPr>
          <w:b/>
          <w:color w:val="000000"/>
          <w:szCs w:val="21"/>
        </w:rPr>
        <w:t>3</w:t>
      </w:r>
      <w:r>
        <w:rPr>
          <w:b/>
          <w:bCs/>
          <w:color w:val="000000"/>
          <w:szCs w:val="21"/>
        </w:rPr>
        <w:t xml:space="preserve">  </w:t>
      </w:r>
      <w:r>
        <w:rPr>
          <w:color w:val="000000"/>
          <w:szCs w:val="21"/>
        </w:rPr>
        <w:t>建筑设备安装工程实体质量</w:t>
      </w:r>
      <w:r>
        <w:rPr>
          <w:rFonts w:hint="eastAsia"/>
          <w:color w:val="000000"/>
          <w:szCs w:val="21"/>
        </w:rPr>
        <w:t>检查</w:t>
      </w:r>
      <w:r>
        <w:rPr>
          <w:color w:val="000000"/>
          <w:szCs w:val="21"/>
        </w:rPr>
        <w:t>可按</w:t>
      </w:r>
      <w:r>
        <w:rPr>
          <w:rFonts w:hint="eastAsia"/>
          <w:color w:val="000000"/>
          <w:szCs w:val="21"/>
          <w:lang w:val="en-US" w:eastAsia="zh-CN"/>
        </w:rPr>
        <w:t>本标准</w:t>
      </w:r>
      <w:r>
        <w:rPr>
          <w:color w:val="000000"/>
          <w:szCs w:val="21"/>
        </w:rPr>
        <w:t>附录C</w:t>
      </w:r>
      <w:r>
        <w:rPr>
          <w:rFonts w:hint="eastAsia"/>
          <w:color w:val="000000"/>
          <w:szCs w:val="21"/>
          <w:lang w:val="en-US" w:eastAsia="zh-CN"/>
        </w:rPr>
        <w:t>执行</w:t>
      </w:r>
      <w:r>
        <w:rPr>
          <w:color w:val="000000"/>
          <w:szCs w:val="21"/>
        </w:rPr>
        <w:t>；</w:t>
      </w:r>
      <w:bookmarkEnd w:id="601"/>
      <w:bookmarkEnd w:id="602"/>
      <w:bookmarkEnd w:id="603"/>
      <w:bookmarkEnd w:id="604"/>
    </w:p>
    <w:p w14:paraId="4BEF61F1">
      <w:pPr>
        <w:spacing w:line="400" w:lineRule="exact"/>
        <w:ind w:firstLine="422" w:firstLineChars="200"/>
        <w:rPr>
          <w:color w:val="000000"/>
          <w:szCs w:val="21"/>
        </w:rPr>
      </w:pPr>
      <w:bookmarkStart w:id="605" w:name="_Toc24665"/>
      <w:bookmarkStart w:id="606" w:name="_Toc7931"/>
      <w:bookmarkStart w:id="607" w:name="_Toc12266_WPSOffice_Level2"/>
      <w:bookmarkStart w:id="608" w:name="_Toc8586"/>
      <w:r>
        <w:rPr>
          <w:b/>
          <w:color w:val="000000"/>
          <w:szCs w:val="21"/>
        </w:rPr>
        <w:t>4</w:t>
      </w:r>
      <w:r>
        <w:rPr>
          <w:b/>
          <w:bCs/>
          <w:color w:val="000000"/>
          <w:szCs w:val="21"/>
        </w:rPr>
        <w:t xml:space="preserve">  </w:t>
      </w:r>
      <w:r>
        <w:rPr>
          <w:color w:val="000000"/>
          <w:szCs w:val="21"/>
        </w:rPr>
        <w:t>工程资料管理</w:t>
      </w:r>
      <w:r>
        <w:rPr>
          <w:rFonts w:hint="eastAsia"/>
          <w:color w:val="000000"/>
          <w:szCs w:val="21"/>
        </w:rPr>
        <w:t>检查</w:t>
      </w:r>
      <w:r>
        <w:rPr>
          <w:color w:val="000000"/>
          <w:szCs w:val="21"/>
        </w:rPr>
        <w:t>可按</w:t>
      </w:r>
      <w:r>
        <w:rPr>
          <w:rFonts w:hint="eastAsia"/>
          <w:color w:val="000000"/>
          <w:szCs w:val="21"/>
          <w:lang w:val="en-US" w:eastAsia="zh-CN"/>
        </w:rPr>
        <w:t>本标准</w:t>
      </w:r>
      <w:r>
        <w:rPr>
          <w:color w:val="000000"/>
          <w:szCs w:val="21"/>
        </w:rPr>
        <w:t>附录D</w:t>
      </w:r>
      <w:bookmarkEnd w:id="605"/>
      <w:bookmarkEnd w:id="606"/>
      <w:bookmarkEnd w:id="607"/>
      <w:bookmarkEnd w:id="608"/>
      <w:r>
        <w:rPr>
          <w:rFonts w:hint="eastAsia"/>
          <w:color w:val="000000"/>
          <w:szCs w:val="21"/>
        </w:rPr>
        <w:t>、附录H</w:t>
      </w:r>
      <w:r>
        <w:rPr>
          <w:rFonts w:hint="eastAsia"/>
          <w:color w:val="000000"/>
          <w:szCs w:val="21"/>
          <w:lang w:val="en-US" w:eastAsia="zh-CN"/>
        </w:rPr>
        <w:t>执行</w:t>
      </w:r>
      <w:r>
        <w:rPr>
          <w:rFonts w:hint="eastAsia"/>
          <w:color w:val="000000"/>
          <w:szCs w:val="21"/>
        </w:rPr>
        <w:t>；</w:t>
      </w:r>
    </w:p>
    <w:p w14:paraId="5E8349FA">
      <w:pPr>
        <w:spacing w:line="400" w:lineRule="exact"/>
        <w:ind w:firstLine="422" w:firstLineChars="200"/>
        <w:rPr>
          <w:b/>
          <w:bCs/>
          <w:color w:val="000000"/>
          <w:szCs w:val="21"/>
        </w:rPr>
      </w:pPr>
      <w:bookmarkStart w:id="609" w:name="_Toc24929_WPSOffice_Level2"/>
      <w:bookmarkStart w:id="610" w:name="_Toc598"/>
      <w:bookmarkStart w:id="611" w:name="_Toc27447"/>
      <w:bookmarkStart w:id="612" w:name="_Toc16859"/>
      <w:r>
        <w:rPr>
          <w:b/>
          <w:color w:val="000000"/>
          <w:szCs w:val="21"/>
        </w:rPr>
        <w:t>5</w:t>
      </w:r>
      <w:r>
        <w:rPr>
          <w:b/>
          <w:bCs/>
          <w:color w:val="000000"/>
          <w:szCs w:val="21"/>
        </w:rPr>
        <w:t xml:space="preserve">  </w:t>
      </w:r>
      <w:r>
        <w:rPr>
          <w:color w:val="000000"/>
          <w:szCs w:val="21"/>
        </w:rPr>
        <w:t>施工项目管理</w:t>
      </w:r>
      <w:r>
        <w:rPr>
          <w:rFonts w:hint="eastAsia"/>
          <w:color w:val="000000"/>
          <w:szCs w:val="21"/>
        </w:rPr>
        <w:t>检查</w:t>
      </w:r>
      <w:r>
        <w:rPr>
          <w:color w:val="000000"/>
          <w:szCs w:val="21"/>
        </w:rPr>
        <w:t>可按</w:t>
      </w:r>
      <w:r>
        <w:rPr>
          <w:rFonts w:hint="eastAsia"/>
          <w:color w:val="000000"/>
          <w:szCs w:val="21"/>
          <w:lang w:val="en-US" w:eastAsia="zh-CN"/>
        </w:rPr>
        <w:t>本标准</w:t>
      </w:r>
      <w:r>
        <w:rPr>
          <w:color w:val="000000"/>
          <w:szCs w:val="21"/>
        </w:rPr>
        <w:t>附录</w:t>
      </w:r>
      <w:r>
        <w:rPr>
          <w:rFonts w:hint="eastAsia"/>
          <w:color w:val="000000"/>
          <w:szCs w:val="21"/>
        </w:rPr>
        <w:t>E</w:t>
      </w:r>
      <w:r>
        <w:rPr>
          <w:rFonts w:hint="eastAsia"/>
          <w:color w:val="000000"/>
          <w:szCs w:val="21"/>
          <w:lang w:val="en-US" w:eastAsia="zh-CN"/>
        </w:rPr>
        <w:t>执行</w:t>
      </w:r>
      <w:r>
        <w:rPr>
          <w:color w:val="000000"/>
          <w:szCs w:val="21"/>
        </w:rPr>
        <w:t>；</w:t>
      </w:r>
      <w:bookmarkEnd w:id="609"/>
      <w:bookmarkEnd w:id="610"/>
      <w:bookmarkEnd w:id="611"/>
      <w:bookmarkEnd w:id="612"/>
    </w:p>
    <w:p w14:paraId="7384AC18">
      <w:pPr>
        <w:spacing w:line="400" w:lineRule="exact"/>
        <w:ind w:firstLine="422" w:firstLineChars="200"/>
        <w:rPr>
          <w:color w:val="000000"/>
          <w:szCs w:val="21"/>
        </w:rPr>
      </w:pPr>
      <w:bookmarkStart w:id="613" w:name="_Toc31045"/>
      <w:bookmarkStart w:id="614" w:name="_Toc7354"/>
      <w:bookmarkStart w:id="615" w:name="_Toc20024_WPSOffice_Level2"/>
      <w:bookmarkStart w:id="616" w:name="_Toc9835"/>
      <w:r>
        <w:rPr>
          <w:b/>
          <w:color w:val="000000"/>
          <w:szCs w:val="21"/>
        </w:rPr>
        <w:t>6</w:t>
      </w:r>
      <w:r>
        <w:rPr>
          <w:b/>
          <w:bCs/>
          <w:color w:val="000000"/>
          <w:szCs w:val="21"/>
        </w:rPr>
        <w:t xml:space="preserve">  </w:t>
      </w:r>
      <w:r>
        <w:rPr>
          <w:color w:val="000000"/>
          <w:szCs w:val="21"/>
        </w:rPr>
        <w:t>技术应用创新与</w:t>
      </w:r>
      <w:r>
        <w:rPr>
          <w:rFonts w:hint="eastAsia"/>
          <w:color w:val="000000"/>
          <w:szCs w:val="21"/>
        </w:rPr>
        <w:t>智能建造检查</w:t>
      </w:r>
      <w:r>
        <w:rPr>
          <w:color w:val="000000"/>
          <w:szCs w:val="21"/>
        </w:rPr>
        <w:t>可按</w:t>
      </w:r>
      <w:r>
        <w:rPr>
          <w:rFonts w:hint="eastAsia"/>
          <w:color w:val="000000"/>
          <w:szCs w:val="21"/>
          <w:lang w:val="en-US" w:eastAsia="zh-CN"/>
        </w:rPr>
        <w:t>本标准</w:t>
      </w:r>
      <w:r>
        <w:rPr>
          <w:color w:val="000000"/>
          <w:szCs w:val="21"/>
        </w:rPr>
        <w:t>附录</w:t>
      </w:r>
      <w:r>
        <w:rPr>
          <w:rFonts w:hint="eastAsia"/>
          <w:color w:val="000000"/>
          <w:szCs w:val="21"/>
        </w:rPr>
        <w:t>F</w:t>
      </w:r>
      <w:r>
        <w:rPr>
          <w:rFonts w:hint="eastAsia"/>
          <w:color w:val="000000"/>
          <w:szCs w:val="21"/>
          <w:lang w:val="en-US" w:eastAsia="zh-CN"/>
        </w:rPr>
        <w:t>执行</w:t>
      </w:r>
      <w:r>
        <w:rPr>
          <w:color w:val="000000"/>
          <w:szCs w:val="21"/>
        </w:rPr>
        <w:t>；</w:t>
      </w:r>
      <w:bookmarkEnd w:id="613"/>
      <w:bookmarkEnd w:id="614"/>
      <w:bookmarkEnd w:id="615"/>
      <w:bookmarkEnd w:id="616"/>
    </w:p>
    <w:p w14:paraId="154F60E0">
      <w:pPr>
        <w:spacing w:line="400" w:lineRule="exact"/>
        <w:ind w:firstLine="422" w:firstLineChars="200"/>
        <w:rPr>
          <w:b/>
          <w:bCs/>
          <w:color w:val="000000"/>
          <w:szCs w:val="21"/>
        </w:rPr>
      </w:pPr>
      <w:bookmarkStart w:id="617" w:name="_Toc14961"/>
      <w:bookmarkStart w:id="618" w:name="_Toc4323"/>
      <w:bookmarkStart w:id="619" w:name="_Toc4973_WPSOffice_Level2"/>
      <w:bookmarkStart w:id="620" w:name="_Toc4223"/>
      <w:r>
        <w:rPr>
          <w:b/>
          <w:color w:val="000000"/>
          <w:szCs w:val="21"/>
        </w:rPr>
        <w:t>7</w:t>
      </w:r>
      <w:r>
        <w:rPr>
          <w:b/>
          <w:bCs/>
          <w:color w:val="000000"/>
          <w:szCs w:val="21"/>
        </w:rPr>
        <w:t xml:space="preserve">  </w:t>
      </w:r>
      <w:r>
        <w:rPr>
          <w:rFonts w:hint="eastAsia"/>
          <w:color w:val="000000"/>
          <w:szCs w:val="21"/>
        </w:rPr>
        <w:t>绿色施工检查</w:t>
      </w:r>
      <w:r>
        <w:rPr>
          <w:color w:val="000000"/>
          <w:szCs w:val="21"/>
        </w:rPr>
        <w:t>可按</w:t>
      </w:r>
      <w:r>
        <w:rPr>
          <w:rFonts w:hint="eastAsia"/>
          <w:color w:val="000000"/>
          <w:szCs w:val="21"/>
          <w:lang w:val="en-US" w:eastAsia="zh-CN"/>
        </w:rPr>
        <w:t>本标准</w:t>
      </w:r>
      <w:r>
        <w:rPr>
          <w:color w:val="000000"/>
          <w:szCs w:val="21"/>
        </w:rPr>
        <w:t>附录</w:t>
      </w:r>
      <w:r>
        <w:rPr>
          <w:rFonts w:hint="eastAsia"/>
          <w:color w:val="000000"/>
          <w:szCs w:val="21"/>
        </w:rPr>
        <w:t>G</w:t>
      </w:r>
      <w:r>
        <w:rPr>
          <w:rFonts w:hint="eastAsia"/>
          <w:color w:val="000000"/>
          <w:szCs w:val="21"/>
          <w:lang w:val="en-US" w:eastAsia="zh-CN"/>
        </w:rPr>
        <w:t>执行</w:t>
      </w:r>
      <w:r>
        <w:rPr>
          <w:color w:val="000000"/>
          <w:szCs w:val="21"/>
        </w:rPr>
        <w:t>。</w:t>
      </w:r>
      <w:bookmarkEnd w:id="617"/>
      <w:bookmarkEnd w:id="618"/>
      <w:bookmarkEnd w:id="619"/>
      <w:bookmarkEnd w:id="620"/>
    </w:p>
    <w:p w14:paraId="640DF2FA">
      <w:pPr>
        <w:spacing w:line="400" w:lineRule="exact"/>
        <w:rPr>
          <w:color w:val="000000"/>
          <w:szCs w:val="21"/>
        </w:rPr>
      </w:pPr>
      <w:r>
        <w:rPr>
          <w:b/>
          <w:bCs/>
          <w:color w:val="000000"/>
          <w:szCs w:val="21"/>
        </w:rPr>
        <w:t>11.1.</w:t>
      </w:r>
      <w:r>
        <w:rPr>
          <w:rFonts w:hint="eastAsia"/>
          <w:b/>
          <w:bCs/>
          <w:color w:val="000000"/>
          <w:szCs w:val="21"/>
        </w:rPr>
        <w:t>2</w:t>
      </w:r>
      <w:r>
        <w:rPr>
          <w:b/>
          <w:bCs/>
          <w:color w:val="000000"/>
          <w:szCs w:val="21"/>
        </w:rPr>
        <w:t xml:space="preserve">  </w:t>
      </w:r>
      <w:r>
        <w:rPr>
          <w:rFonts w:hint="eastAsia"/>
          <w:color w:val="000000"/>
          <w:szCs w:val="21"/>
        </w:rPr>
        <w:t>改造</w:t>
      </w:r>
      <w:r>
        <w:rPr>
          <w:color w:val="000000"/>
          <w:szCs w:val="21"/>
        </w:rPr>
        <w:t>工程</w:t>
      </w:r>
      <w:r>
        <w:rPr>
          <w:rFonts w:hint="eastAsia"/>
          <w:color w:val="000000"/>
          <w:szCs w:val="21"/>
        </w:rPr>
        <w:t>原则上应组织两次现场检查。第一次过程检查应在工程拆除和地基基础加固完成之后、主体结构加固完成之前进行，形成改造工程现场检查记录，详见附录J，应重点核查施工手续和设计文件的合法性和完整性、既有建筑结构鉴定的完整性、过程管理的有效性及绿色施工措施等；第二次检查按照本标准2.0.1条。</w:t>
      </w:r>
    </w:p>
    <w:p w14:paraId="3D05BBD1">
      <w:pPr>
        <w:spacing w:line="400" w:lineRule="exact"/>
        <w:rPr>
          <w:color w:val="000000"/>
          <w:szCs w:val="21"/>
        </w:rPr>
      </w:pPr>
      <w:r>
        <w:rPr>
          <w:b/>
          <w:bCs/>
          <w:color w:val="000000"/>
          <w:szCs w:val="21"/>
        </w:rPr>
        <w:t>11.1.</w:t>
      </w:r>
      <w:r>
        <w:rPr>
          <w:rFonts w:hint="eastAsia"/>
          <w:b/>
          <w:bCs/>
          <w:color w:val="000000"/>
          <w:szCs w:val="21"/>
        </w:rPr>
        <w:t>3</w:t>
      </w:r>
      <w:r>
        <w:rPr>
          <w:b/>
          <w:bCs/>
          <w:color w:val="000000"/>
          <w:szCs w:val="21"/>
        </w:rPr>
        <w:t xml:space="preserve">  </w:t>
      </w:r>
      <w:r>
        <w:rPr>
          <w:color w:val="000000"/>
          <w:szCs w:val="21"/>
        </w:rPr>
        <w:t>每项建筑长城杯申报工程，依据本标准组织</w:t>
      </w:r>
      <w:r>
        <w:rPr>
          <w:rFonts w:hint="eastAsia"/>
          <w:color w:val="000000"/>
          <w:szCs w:val="21"/>
        </w:rPr>
        <w:t>现场</w:t>
      </w:r>
      <w:r>
        <w:rPr>
          <w:color w:val="000000"/>
          <w:szCs w:val="21"/>
        </w:rPr>
        <w:t>检查评价。其</w:t>
      </w:r>
      <w:r>
        <w:rPr>
          <w:rFonts w:hint="eastAsia"/>
          <w:color w:val="000000"/>
          <w:szCs w:val="21"/>
        </w:rPr>
        <w:t>评议</w:t>
      </w:r>
      <w:r>
        <w:rPr>
          <w:color w:val="000000"/>
          <w:szCs w:val="21"/>
        </w:rPr>
        <w:t>评价不具备长城杯工程推荐条件者，即行淘汰。</w:t>
      </w:r>
    </w:p>
    <w:p w14:paraId="6231EEF0">
      <w:pPr>
        <w:spacing w:line="400" w:lineRule="exact"/>
        <w:rPr>
          <w:color w:val="000000"/>
          <w:szCs w:val="21"/>
        </w:rPr>
      </w:pPr>
      <w:r>
        <w:rPr>
          <w:b/>
          <w:bCs/>
          <w:color w:val="000000"/>
          <w:szCs w:val="21"/>
        </w:rPr>
        <w:t>11.1.</w:t>
      </w:r>
      <w:r>
        <w:rPr>
          <w:rFonts w:hint="eastAsia"/>
          <w:b/>
          <w:bCs/>
          <w:color w:val="000000"/>
          <w:szCs w:val="21"/>
        </w:rPr>
        <w:t>4</w:t>
      </w:r>
      <w:r>
        <w:rPr>
          <w:color w:val="000000"/>
          <w:szCs w:val="21"/>
        </w:rPr>
        <w:t xml:space="preserve">  </w:t>
      </w:r>
      <w:r>
        <w:rPr>
          <w:rFonts w:hint="eastAsia"/>
          <w:color w:val="000000"/>
          <w:szCs w:val="21"/>
        </w:rPr>
        <w:t>检查</w:t>
      </w:r>
      <w:r>
        <w:rPr>
          <w:color w:val="000000"/>
          <w:szCs w:val="21"/>
        </w:rPr>
        <w:t>组检查建筑工程的主要部位和数量应符合</w:t>
      </w:r>
      <w:r>
        <w:rPr>
          <w:rFonts w:hint="eastAsia"/>
          <w:color w:val="000000"/>
          <w:szCs w:val="21"/>
        </w:rPr>
        <w:t>下列规定</w:t>
      </w:r>
      <w:r>
        <w:rPr>
          <w:color w:val="000000"/>
          <w:szCs w:val="21"/>
        </w:rPr>
        <w:t>：</w:t>
      </w:r>
    </w:p>
    <w:p w14:paraId="42630A56">
      <w:pPr>
        <w:spacing w:line="400" w:lineRule="exact"/>
        <w:ind w:firstLine="422" w:firstLineChars="200"/>
        <w:rPr>
          <w:color w:val="000000"/>
          <w:szCs w:val="21"/>
        </w:rPr>
      </w:pPr>
      <w:r>
        <w:rPr>
          <w:b/>
          <w:color w:val="000000"/>
          <w:szCs w:val="21"/>
        </w:rPr>
        <w:t xml:space="preserve">1  </w:t>
      </w:r>
      <w:r>
        <w:rPr>
          <w:color w:val="000000"/>
          <w:szCs w:val="21"/>
        </w:rPr>
        <w:t>小区、群体建筑工程，抽查全部的单位工程和配套工程；</w:t>
      </w:r>
    </w:p>
    <w:p w14:paraId="7EC4B2AD">
      <w:pPr>
        <w:spacing w:line="400" w:lineRule="exact"/>
        <w:ind w:firstLine="422" w:firstLineChars="200"/>
        <w:rPr>
          <w:color w:val="000000"/>
          <w:szCs w:val="21"/>
        </w:rPr>
      </w:pPr>
      <w:r>
        <w:rPr>
          <w:b/>
          <w:color w:val="000000"/>
          <w:szCs w:val="21"/>
        </w:rPr>
        <w:t xml:space="preserve">2  </w:t>
      </w:r>
      <w:r>
        <w:rPr>
          <w:color w:val="000000"/>
          <w:szCs w:val="21"/>
        </w:rPr>
        <w:t>对涉及规范、标准中的主控项目和涉及工程安全、耐久及环境质量的分部、分项工程，应全部抽查，一般项目应重点抽查。</w:t>
      </w:r>
    </w:p>
    <w:p w14:paraId="59342AD6">
      <w:pPr>
        <w:spacing w:line="400" w:lineRule="exact"/>
        <w:rPr>
          <w:color w:val="000000"/>
          <w:szCs w:val="21"/>
        </w:rPr>
      </w:pPr>
      <w:r>
        <w:rPr>
          <w:b/>
          <w:bCs/>
          <w:color w:val="000000"/>
          <w:szCs w:val="21"/>
        </w:rPr>
        <w:t>11.1.</w:t>
      </w:r>
      <w:r>
        <w:rPr>
          <w:rFonts w:hint="eastAsia"/>
          <w:b/>
          <w:bCs/>
          <w:color w:val="000000"/>
          <w:szCs w:val="21"/>
        </w:rPr>
        <w:t>5</w:t>
      </w:r>
      <w:r>
        <w:rPr>
          <w:b/>
          <w:bCs/>
          <w:color w:val="000000"/>
          <w:szCs w:val="21"/>
        </w:rPr>
        <w:t xml:space="preserve">  </w:t>
      </w:r>
      <w:r>
        <w:rPr>
          <w:color w:val="000000"/>
          <w:szCs w:val="21"/>
        </w:rPr>
        <w:t>单位工程的具体检查部位，应根据工程实际情况现场决定，一般工程至少应检查</w:t>
      </w:r>
      <w:r>
        <w:rPr>
          <w:rFonts w:hint="eastAsia"/>
          <w:color w:val="000000"/>
          <w:szCs w:val="21"/>
        </w:rPr>
        <w:t>下列</w:t>
      </w:r>
      <w:r>
        <w:rPr>
          <w:color w:val="000000"/>
          <w:szCs w:val="21"/>
        </w:rPr>
        <w:t>部位：</w:t>
      </w:r>
    </w:p>
    <w:p w14:paraId="03891407">
      <w:pPr>
        <w:spacing w:line="400" w:lineRule="exact"/>
        <w:ind w:firstLine="422" w:firstLineChars="200"/>
        <w:rPr>
          <w:snapToGrid w:val="0"/>
          <w:color w:val="000000"/>
          <w:szCs w:val="21"/>
        </w:rPr>
      </w:pPr>
      <w:r>
        <w:rPr>
          <w:b/>
          <w:color w:val="000000"/>
          <w:szCs w:val="21"/>
        </w:rPr>
        <w:t xml:space="preserve">1  </w:t>
      </w:r>
      <w:r>
        <w:rPr>
          <w:color w:val="000000"/>
          <w:szCs w:val="21"/>
        </w:rPr>
        <w:t>土建工程应抽查所有屋面、室外装饰和工程的顶层、首层、不同使用功能的中间层、避难层及地下各层；</w:t>
      </w:r>
    </w:p>
    <w:p w14:paraId="7B4BF8C7">
      <w:pPr>
        <w:spacing w:line="400" w:lineRule="exact"/>
        <w:ind w:firstLine="422" w:firstLineChars="200"/>
        <w:rPr>
          <w:color w:val="000000"/>
          <w:szCs w:val="21"/>
        </w:rPr>
      </w:pPr>
      <w:r>
        <w:rPr>
          <w:b/>
          <w:color w:val="000000"/>
          <w:szCs w:val="21"/>
        </w:rPr>
        <w:t>2</w:t>
      </w:r>
      <w:r>
        <w:rPr>
          <w:b/>
          <w:bCs/>
          <w:color w:val="000000"/>
          <w:szCs w:val="21"/>
        </w:rPr>
        <w:t xml:space="preserve">  </w:t>
      </w:r>
      <w:r>
        <w:rPr>
          <w:color w:val="000000"/>
          <w:szCs w:val="21"/>
        </w:rPr>
        <w:t>建筑电气设备安装工程应抽查有防雷装置的屋面、电梯机房、电气竖井、变配电室、柴油发电机房、锅炉房、弱电设备机房、消防中控室、防雷测试点、主要建筑房间、走道及其他建筑设备机房；</w:t>
      </w:r>
    </w:p>
    <w:p w14:paraId="6E4C6739">
      <w:pPr>
        <w:spacing w:line="400" w:lineRule="exact"/>
        <w:ind w:firstLine="422" w:firstLineChars="200"/>
        <w:rPr>
          <w:color w:val="000000"/>
          <w:szCs w:val="21"/>
        </w:rPr>
      </w:pPr>
      <w:r>
        <w:rPr>
          <w:b/>
          <w:color w:val="000000"/>
          <w:szCs w:val="21"/>
        </w:rPr>
        <w:t>3</w:t>
      </w:r>
      <w:r>
        <w:rPr>
          <w:b/>
          <w:bCs/>
          <w:color w:val="000000"/>
          <w:szCs w:val="21"/>
        </w:rPr>
        <w:t xml:space="preserve">  </w:t>
      </w:r>
      <w:r>
        <w:rPr>
          <w:color w:val="000000"/>
          <w:szCs w:val="21"/>
        </w:rPr>
        <w:t>建筑设备安装工程应抽查有建筑设备的屋面、水箱间、管井、空调机房、冷冻机房、锅炉房、交换站、各类泵房、风机房、厨卫间等含有建筑设备的主要房间、走道、场所。</w:t>
      </w:r>
    </w:p>
    <w:p w14:paraId="7439718C">
      <w:pPr>
        <w:spacing w:line="400" w:lineRule="exact"/>
        <w:rPr>
          <w:color w:val="000000"/>
          <w:szCs w:val="21"/>
        </w:rPr>
      </w:pPr>
      <w:r>
        <w:rPr>
          <w:b/>
          <w:bCs/>
          <w:color w:val="000000"/>
          <w:szCs w:val="21"/>
        </w:rPr>
        <w:t>11.1.</w:t>
      </w:r>
      <w:r>
        <w:rPr>
          <w:rFonts w:hint="eastAsia"/>
          <w:b/>
          <w:bCs/>
          <w:color w:val="000000"/>
          <w:szCs w:val="21"/>
        </w:rPr>
        <w:t>6</w:t>
      </w:r>
      <w:r>
        <w:rPr>
          <w:color w:val="000000"/>
          <w:szCs w:val="21"/>
        </w:rPr>
        <w:t xml:space="preserve">  </w:t>
      </w:r>
      <w:r>
        <w:rPr>
          <w:rFonts w:hint="eastAsia"/>
          <w:color w:val="000000"/>
          <w:szCs w:val="21"/>
        </w:rPr>
        <w:t>现场</w:t>
      </w:r>
      <w:r>
        <w:rPr>
          <w:color w:val="000000"/>
          <w:szCs w:val="21"/>
        </w:rPr>
        <w:t>检查应按</w:t>
      </w:r>
      <w:r>
        <w:rPr>
          <w:rFonts w:hint="eastAsia"/>
          <w:color w:val="000000"/>
          <w:szCs w:val="21"/>
        </w:rPr>
        <w:t>下列规定</w:t>
      </w:r>
      <w:r>
        <w:rPr>
          <w:color w:val="000000"/>
          <w:szCs w:val="21"/>
        </w:rPr>
        <w:t xml:space="preserve">进行： </w:t>
      </w:r>
    </w:p>
    <w:p w14:paraId="3EC08930">
      <w:pPr>
        <w:spacing w:line="400" w:lineRule="exact"/>
        <w:ind w:firstLine="422" w:firstLineChars="200"/>
        <w:rPr>
          <w:color w:val="000000"/>
          <w:szCs w:val="21"/>
        </w:rPr>
      </w:pPr>
      <w:r>
        <w:rPr>
          <w:b/>
          <w:color w:val="000000"/>
          <w:szCs w:val="21"/>
        </w:rPr>
        <w:t>1</w:t>
      </w:r>
      <w:r>
        <w:rPr>
          <w:color w:val="000000"/>
          <w:szCs w:val="21"/>
        </w:rPr>
        <w:t xml:space="preserve">  </w:t>
      </w:r>
      <w:r>
        <w:rPr>
          <w:rFonts w:hint="eastAsia"/>
          <w:color w:val="000000"/>
          <w:szCs w:val="21"/>
        </w:rPr>
        <w:t>检查</w:t>
      </w:r>
      <w:r>
        <w:rPr>
          <w:color w:val="000000"/>
          <w:szCs w:val="21"/>
        </w:rPr>
        <w:t>组进场会应由组长主持，施工单位</w:t>
      </w:r>
      <w:r>
        <w:rPr>
          <w:rFonts w:hint="eastAsia"/>
          <w:color w:val="000000"/>
          <w:szCs w:val="21"/>
        </w:rPr>
        <w:t>、</w:t>
      </w:r>
      <w:r>
        <w:rPr>
          <w:color w:val="000000"/>
          <w:szCs w:val="21"/>
        </w:rPr>
        <w:t>建设单位、监理单位和主要参建单位的代表参加会议；</w:t>
      </w:r>
    </w:p>
    <w:p w14:paraId="69ED173D">
      <w:pPr>
        <w:spacing w:line="400" w:lineRule="exact"/>
        <w:ind w:firstLine="422" w:firstLineChars="200"/>
        <w:rPr>
          <w:color w:val="000000"/>
          <w:szCs w:val="21"/>
        </w:rPr>
      </w:pPr>
      <w:r>
        <w:rPr>
          <w:b/>
          <w:bCs/>
          <w:color w:val="000000"/>
          <w:szCs w:val="21"/>
        </w:rPr>
        <w:t>2</w:t>
      </w:r>
      <w:r>
        <w:rPr>
          <w:color w:val="000000"/>
          <w:szCs w:val="21"/>
        </w:rPr>
        <w:t xml:space="preserve">  </w:t>
      </w:r>
      <w:r>
        <w:rPr>
          <w:rFonts w:hint="eastAsia"/>
          <w:color w:val="000000"/>
          <w:szCs w:val="21"/>
        </w:rPr>
        <w:t>检查</w:t>
      </w:r>
      <w:r>
        <w:rPr>
          <w:color w:val="000000"/>
          <w:szCs w:val="21"/>
        </w:rPr>
        <w:t>组组长应介绍</w:t>
      </w:r>
      <w:r>
        <w:rPr>
          <w:rFonts w:hint="eastAsia"/>
          <w:color w:val="000000"/>
          <w:szCs w:val="21"/>
        </w:rPr>
        <w:t>初评</w:t>
      </w:r>
      <w:r>
        <w:rPr>
          <w:color w:val="000000"/>
          <w:szCs w:val="21"/>
        </w:rPr>
        <w:t>组成员，施工单位负责人应介绍到会的各方主要人员；</w:t>
      </w:r>
    </w:p>
    <w:p w14:paraId="15553A3E">
      <w:pPr>
        <w:spacing w:line="400" w:lineRule="exact"/>
        <w:ind w:firstLine="422" w:firstLineChars="200"/>
        <w:rPr>
          <w:color w:val="000000"/>
          <w:szCs w:val="21"/>
        </w:rPr>
      </w:pPr>
      <w:r>
        <w:rPr>
          <w:b/>
          <w:bCs/>
          <w:color w:val="000000"/>
          <w:szCs w:val="21"/>
        </w:rPr>
        <w:t>3</w:t>
      </w:r>
      <w:r>
        <w:rPr>
          <w:color w:val="000000"/>
          <w:szCs w:val="21"/>
        </w:rPr>
        <w:t xml:space="preserve">  施工单位应由项目经理或项目总工介绍工程概况和创优工作情况，应重点介绍</w:t>
      </w:r>
      <w:r>
        <w:rPr>
          <w:rFonts w:hint="eastAsia"/>
          <w:color w:val="000000"/>
          <w:szCs w:val="21"/>
        </w:rPr>
        <w:t>初评</w:t>
      </w:r>
      <w:r>
        <w:rPr>
          <w:color w:val="000000"/>
          <w:szCs w:val="21"/>
        </w:rPr>
        <w:t>的七项内容和工程的特点及亮点；</w:t>
      </w:r>
    </w:p>
    <w:p w14:paraId="26CDA4DC">
      <w:pPr>
        <w:spacing w:line="400" w:lineRule="exact"/>
        <w:ind w:firstLine="422" w:firstLineChars="200"/>
        <w:rPr>
          <w:color w:val="000000"/>
          <w:szCs w:val="21"/>
        </w:rPr>
      </w:pPr>
      <w:r>
        <w:rPr>
          <w:b/>
          <w:bCs/>
          <w:color w:val="000000"/>
          <w:szCs w:val="21"/>
        </w:rPr>
        <w:t>4</w:t>
      </w:r>
      <w:r>
        <w:rPr>
          <w:color w:val="000000"/>
          <w:szCs w:val="21"/>
        </w:rPr>
        <w:t xml:space="preserve">  </w:t>
      </w:r>
      <w:r>
        <w:rPr>
          <w:rFonts w:hint="eastAsia"/>
          <w:color w:val="000000"/>
          <w:szCs w:val="21"/>
        </w:rPr>
        <w:t>检查</w:t>
      </w:r>
      <w:r>
        <w:rPr>
          <w:color w:val="000000"/>
          <w:szCs w:val="21"/>
        </w:rPr>
        <w:t>组成员应认真听取建设单位、监理单位对工程质量的评价，建设单位到会代表应按附录</w:t>
      </w:r>
      <w:r>
        <w:rPr>
          <w:rFonts w:hint="eastAsia"/>
          <w:color w:val="000000"/>
          <w:szCs w:val="21"/>
        </w:rPr>
        <w:t>K</w:t>
      </w:r>
      <w:r>
        <w:rPr>
          <w:color w:val="000000"/>
          <w:szCs w:val="21"/>
        </w:rPr>
        <w:t>的要求提供对该工程质量的评价意见，监理单位到会代表应按附录</w:t>
      </w:r>
      <w:r>
        <w:rPr>
          <w:rFonts w:hint="eastAsia"/>
          <w:color w:val="000000"/>
          <w:szCs w:val="21"/>
        </w:rPr>
        <w:t>L</w:t>
      </w:r>
      <w:r>
        <w:rPr>
          <w:color w:val="000000"/>
          <w:szCs w:val="21"/>
        </w:rPr>
        <w:t>的要求提供对该工程质量的评价意见；</w:t>
      </w:r>
    </w:p>
    <w:p w14:paraId="77C7B59C">
      <w:pPr>
        <w:spacing w:line="400" w:lineRule="exact"/>
        <w:ind w:firstLine="422" w:firstLineChars="200"/>
        <w:rPr>
          <w:color w:val="000000"/>
          <w:szCs w:val="21"/>
        </w:rPr>
      </w:pPr>
      <w:r>
        <w:rPr>
          <w:b/>
          <w:color w:val="000000"/>
          <w:szCs w:val="21"/>
        </w:rPr>
        <w:t>5</w:t>
      </w:r>
      <w:r>
        <w:rPr>
          <w:color w:val="000000"/>
          <w:szCs w:val="21"/>
        </w:rPr>
        <w:t xml:space="preserve">  </w:t>
      </w:r>
      <w:r>
        <w:rPr>
          <w:rFonts w:hint="eastAsia"/>
          <w:color w:val="000000"/>
          <w:szCs w:val="21"/>
        </w:rPr>
        <w:t>检查</w:t>
      </w:r>
      <w:r>
        <w:rPr>
          <w:color w:val="000000"/>
          <w:szCs w:val="21"/>
        </w:rPr>
        <w:t>组组长应根据工程实际情况，提出具体抽检部位，并应分专业组织抽查施工质量情况；</w:t>
      </w:r>
    </w:p>
    <w:p w14:paraId="20C9662F">
      <w:pPr>
        <w:spacing w:line="400" w:lineRule="exact"/>
        <w:ind w:firstLine="422" w:firstLineChars="200"/>
        <w:rPr>
          <w:color w:val="000000"/>
          <w:szCs w:val="21"/>
        </w:rPr>
      </w:pPr>
      <w:r>
        <w:rPr>
          <w:b/>
          <w:bCs/>
          <w:color w:val="000000"/>
          <w:szCs w:val="21"/>
        </w:rPr>
        <w:t xml:space="preserve">6  </w:t>
      </w:r>
      <w:r>
        <w:rPr>
          <w:rFonts w:hint="eastAsia"/>
          <w:color w:val="000000"/>
          <w:szCs w:val="21"/>
        </w:rPr>
        <w:t>检查</w:t>
      </w:r>
      <w:r>
        <w:rPr>
          <w:color w:val="000000"/>
          <w:szCs w:val="21"/>
        </w:rPr>
        <w:t>组成员应对照竣工图，结合抽查的施工质量情况，分专业抽查工程资料；</w:t>
      </w:r>
    </w:p>
    <w:p w14:paraId="16D38BC5">
      <w:pPr>
        <w:spacing w:line="400" w:lineRule="exact"/>
        <w:ind w:firstLine="422" w:firstLineChars="200"/>
        <w:rPr>
          <w:color w:val="000000"/>
          <w:szCs w:val="21"/>
        </w:rPr>
      </w:pPr>
      <w:r>
        <w:rPr>
          <w:b/>
          <w:color w:val="000000"/>
          <w:szCs w:val="21"/>
        </w:rPr>
        <w:t>7</w:t>
      </w:r>
      <w:r>
        <w:rPr>
          <w:b/>
          <w:bCs/>
          <w:color w:val="000000"/>
          <w:szCs w:val="21"/>
        </w:rPr>
        <w:t xml:space="preserve">  </w:t>
      </w:r>
      <w:r>
        <w:rPr>
          <w:rFonts w:hint="eastAsia"/>
          <w:color w:val="000000"/>
          <w:szCs w:val="21"/>
        </w:rPr>
        <w:t>检查</w:t>
      </w:r>
      <w:r>
        <w:rPr>
          <w:color w:val="000000"/>
          <w:szCs w:val="21"/>
        </w:rPr>
        <w:t>组应分专业对工程进行讲评，讲评中应肯定工程的优点和特点，并对存在的问题提出改进意见和建议。</w:t>
      </w:r>
      <w:r>
        <w:rPr>
          <w:rFonts w:hint="eastAsia"/>
          <w:color w:val="000000"/>
          <w:szCs w:val="21"/>
        </w:rPr>
        <w:t>检查</w:t>
      </w:r>
      <w:r>
        <w:rPr>
          <w:color w:val="000000"/>
          <w:szCs w:val="21"/>
        </w:rPr>
        <w:t>组组长应对</w:t>
      </w:r>
      <w:r>
        <w:rPr>
          <w:rFonts w:hint="eastAsia"/>
          <w:color w:val="000000"/>
          <w:szCs w:val="21"/>
        </w:rPr>
        <w:t>初评</w:t>
      </w:r>
      <w:r>
        <w:rPr>
          <w:color w:val="000000"/>
          <w:szCs w:val="21"/>
        </w:rPr>
        <w:t>情况进行总结，并应明确提出整改要求及整改报告送交的时间、地点。</w:t>
      </w:r>
    </w:p>
    <w:p w14:paraId="3F4FA444">
      <w:pPr>
        <w:pStyle w:val="4"/>
        <w:spacing w:before="312" w:beforeLines="100" w:line="400" w:lineRule="exact"/>
        <w:ind w:left="0" w:firstLine="0"/>
        <w:jc w:val="center"/>
        <w:rPr>
          <w:rFonts w:ascii="Times New Roman" w:hAnsi="Times New Roman" w:eastAsia="黑体"/>
          <w:sz w:val="24"/>
          <w:szCs w:val="24"/>
        </w:rPr>
      </w:pPr>
      <w:bookmarkStart w:id="621" w:name="_Toc3825"/>
      <w:bookmarkStart w:id="622" w:name="_Toc31604"/>
      <w:bookmarkStart w:id="623" w:name="_Toc12883_WPSOffice_Level1"/>
      <w:bookmarkStart w:id="624" w:name="_Toc15179"/>
      <w:bookmarkStart w:id="625" w:name="_Toc5661"/>
      <w:bookmarkStart w:id="626" w:name="_Toc5823"/>
      <w:bookmarkStart w:id="627" w:name="_Toc3476"/>
      <w:bookmarkStart w:id="628" w:name="_Toc16062"/>
      <w:bookmarkStart w:id="629" w:name="_Toc5450"/>
      <w:bookmarkStart w:id="630" w:name="_Toc23480"/>
      <w:bookmarkStart w:id="631" w:name="_Toc23464"/>
      <w:r>
        <w:rPr>
          <w:rFonts w:ascii="Times New Roman" w:hAnsi="Times New Roman" w:eastAsia="黑体"/>
          <w:b/>
          <w:bCs/>
          <w:sz w:val="24"/>
          <w:szCs w:val="24"/>
        </w:rPr>
        <w:t>1</w:t>
      </w:r>
      <w:r>
        <w:rPr>
          <w:rFonts w:ascii="Times New Roman" w:hAnsi="Times New Roman" w:eastAsia="黑体"/>
          <w:b/>
          <w:bCs/>
          <w:sz w:val="24"/>
          <w:szCs w:val="24"/>
          <w:lang w:val="en-US"/>
        </w:rPr>
        <w:t>1</w:t>
      </w:r>
      <w:r>
        <w:rPr>
          <w:rFonts w:ascii="Times New Roman" w:hAnsi="Times New Roman" w:eastAsia="黑体"/>
          <w:b/>
          <w:bCs/>
          <w:sz w:val="24"/>
          <w:szCs w:val="24"/>
        </w:rPr>
        <w:t>.2</w:t>
      </w:r>
      <w:r>
        <w:rPr>
          <w:rFonts w:ascii="Times New Roman" w:hAnsi="Times New Roman" w:eastAsia="黑体"/>
          <w:sz w:val="24"/>
          <w:szCs w:val="24"/>
        </w:rPr>
        <w:t xml:space="preserve">  </w:t>
      </w:r>
      <w:r>
        <w:rPr>
          <w:rFonts w:hint="eastAsia" w:ascii="Times New Roman" w:hAnsi="Times New Roman" w:eastAsia="黑体"/>
          <w:sz w:val="24"/>
          <w:szCs w:val="24"/>
          <w:lang w:val="en-US"/>
        </w:rPr>
        <w:t>现场</w:t>
      </w:r>
      <w:r>
        <w:rPr>
          <w:rFonts w:ascii="Times New Roman" w:hAnsi="Times New Roman" w:eastAsia="黑体"/>
          <w:sz w:val="24"/>
          <w:szCs w:val="24"/>
        </w:rPr>
        <w:t>检查的评议、评价</w:t>
      </w:r>
      <w:bookmarkEnd w:id="621"/>
      <w:bookmarkEnd w:id="622"/>
      <w:bookmarkEnd w:id="623"/>
      <w:bookmarkEnd w:id="624"/>
      <w:bookmarkEnd w:id="625"/>
      <w:bookmarkEnd w:id="626"/>
      <w:bookmarkEnd w:id="627"/>
      <w:bookmarkEnd w:id="628"/>
      <w:bookmarkEnd w:id="629"/>
      <w:bookmarkEnd w:id="630"/>
      <w:bookmarkEnd w:id="631"/>
    </w:p>
    <w:p w14:paraId="5B37CB7C">
      <w:pPr>
        <w:spacing w:line="400" w:lineRule="exact"/>
        <w:rPr>
          <w:color w:val="000000"/>
          <w:szCs w:val="21"/>
        </w:rPr>
      </w:pPr>
      <w:r>
        <w:rPr>
          <w:b/>
          <w:bCs/>
          <w:color w:val="000000"/>
          <w:szCs w:val="21"/>
        </w:rPr>
        <w:t>11.2.1</w:t>
      </w:r>
      <w:r>
        <w:rPr>
          <w:color w:val="000000"/>
          <w:szCs w:val="21"/>
        </w:rPr>
        <w:t xml:space="preserve">  </w:t>
      </w:r>
      <w:r>
        <w:rPr>
          <w:rFonts w:hint="eastAsia"/>
          <w:color w:val="000000"/>
          <w:szCs w:val="21"/>
        </w:rPr>
        <w:t>检查</w:t>
      </w:r>
      <w:r>
        <w:rPr>
          <w:color w:val="000000"/>
          <w:szCs w:val="21"/>
        </w:rPr>
        <w:t>组应根据抽查情况，并应结合建设单位、监理单位的意见，对工程进行</w:t>
      </w:r>
      <w:r>
        <w:rPr>
          <w:rFonts w:hint="eastAsia"/>
          <w:color w:val="000000"/>
          <w:szCs w:val="21"/>
        </w:rPr>
        <w:t>现场检查</w:t>
      </w:r>
      <w:r>
        <w:rPr>
          <w:color w:val="000000"/>
          <w:szCs w:val="21"/>
        </w:rPr>
        <w:t>评议。</w:t>
      </w:r>
      <w:r>
        <w:rPr>
          <w:rFonts w:hint="eastAsia"/>
          <w:color w:val="000000"/>
          <w:szCs w:val="21"/>
        </w:rPr>
        <w:t>检查</w:t>
      </w:r>
      <w:r>
        <w:rPr>
          <w:color w:val="000000"/>
          <w:szCs w:val="21"/>
        </w:rPr>
        <w:t>评议分</w:t>
      </w:r>
      <w:r>
        <w:rPr>
          <w:rFonts w:hint="eastAsia"/>
          <w:color w:val="000000"/>
          <w:szCs w:val="21"/>
        </w:rPr>
        <w:t>下列</w:t>
      </w:r>
      <w:r>
        <w:rPr>
          <w:color w:val="000000"/>
          <w:szCs w:val="21"/>
        </w:rPr>
        <w:t>两种情况：</w:t>
      </w:r>
    </w:p>
    <w:p w14:paraId="1FD15702">
      <w:pPr>
        <w:spacing w:line="400" w:lineRule="exact"/>
        <w:ind w:firstLine="422" w:firstLineChars="200"/>
        <w:rPr>
          <w:color w:val="000000"/>
          <w:szCs w:val="21"/>
        </w:rPr>
      </w:pPr>
      <w:r>
        <w:rPr>
          <w:b/>
          <w:color w:val="000000"/>
          <w:szCs w:val="21"/>
        </w:rPr>
        <w:t>1</w:t>
      </w:r>
      <w:r>
        <w:rPr>
          <w:bCs/>
          <w:color w:val="000000"/>
          <w:szCs w:val="21"/>
        </w:rPr>
        <w:t xml:space="preserve">  </w:t>
      </w:r>
      <w:r>
        <w:rPr>
          <w:color w:val="000000"/>
          <w:szCs w:val="21"/>
        </w:rPr>
        <w:t>即时评议出受检工程的</w:t>
      </w:r>
      <w:r>
        <w:rPr>
          <w:rFonts w:hint="eastAsia"/>
          <w:color w:val="000000"/>
          <w:szCs w:val="21"/>
        </w:rPr>
        <w:t>“</w:t>
      </w:r>
      <w:r>
        <w:rPr>
          <w:color w:val="000000"/>
          <w:szCs w:val="21"/>
        </w:rPr>
        <w:t>精</w:t>
      </w:r>
      <w:r>
        <w:rPr>
          <w:rFonts w:hint="eastAsia"/>
          <w:color w:val="000000"/>
          <w:szCs w:val="21"/>
        </w:rPr>
        <w:t>”</w:t>
      </w:r>
      <w:r>
        <w:rPr>
          <w:color w:val="000000"/>
          <w:szCs w:val="21"/>
        </w:rPr>
        <w:t>”</w:t>
      </w:r>
      <w:r>
        <w:rPr>
          <w:rFonts w:hint="eastAsia"/>
          <w:color w:val="000000"/>
          <w:szCs w:val="21"/>
        </w:rPr>
        <w:t>“</w:t>
      </w:r>
      <w:r>
        <w:rPr>
          <w:color w:val="000000"/>
          <w:szCs w:val="21"/>
        </w:rPr>
        <w:t>良</w:t>
      </w:r>
      <w:r>
        <w:rPr>
          <w:rFonts w:hint="eastAsia"/>
          <w:color w:val="000000"/>
          <w:szCs w:val="21"/>
        </w:rPr>
        <w:t>”“</w:t>
      </w:r>
      <w:r>
        <w:rPr>
          <w:color w:val="000000"/>
          <w:szCs w:val="21"/>
        </w:rPr>
        <w:t>一般</w:t>
      </w:r>
      <w:r>
        <w:rPr>
          <w:rFonts w:hint="eastAsia"/>
          <w:color w:val="000000"/>
          <w:szCs w:val="21"/>
        </w:rPr>
        <w:t>”</w:t>
      </w:r>
      <w:r>
        <w:rPr>
          <w:color w:val="000000"/>
          <w:szCs w:val="21"/>
        </w:rPr>
        <w:t>；</w:t>
      </w:r>
    </w:p>
    <w:p w14:paraId="743D4692">
      <w:pPr>
        <w:spacing w:line="400" w:lineRule="exact"/>
        <w:ind w:firstLine="422" w:firstLineChars="200"/>
        <w:rPr>
          <w:color w:val="000000"/>
          <w:szCs w:val="21"/>
        </w:rPr>
      </w:pPr>
      <w:r>
        <w:rPr>
          <w:b/>
          <w:color w:val="000000"/>
          <w:szCs w:val="21"/>
        </w:rPr>
        <w:t>2</w:t>
      </w:r>
      <w:r>
        <w:rPr>
          <w:bCs/>
          <w:color w:val="000000"/>
          <w:szCs w:val="21"/>
        </w:rPr>
        <w:t xml:space="preserve">  </w:t>
      </w:r>
      <w:r>
        <w:rPr>
          <w:color w:val="000000"/>
          <w:szCs w:val="21"/>
        </w:rPr>
        <w:t>暂定工程的</w:t>
      </w:r>
      <w:r>
        <w:rPr>
          <w:rFonts w:hint="eastAsia"/>
          <w:color w:val="000000"/>
          <w:szCs w:val="21"/>
        </w:rPr>
        <w:t>“</w:t>
      </w:r>
      <w:r>
        <w:rPr>
          <w:color w:val="000000"/>
          <w:szCs w:val="21"/>
        </w:rPr>
        <w:t>精</w:t>
      </w:r>
      <w:r>
        <w:rPr>
          <w:rFonts w:hint="eastAsia"/>
          <w:color w:val="000000"/>
          <w:szCs w:val="21"/>
        </w:rPr>
        <w:t>”</w:t>
      </w:r>
      <w:r>
        <w:rPr>
          <w:color w:val="000000"/>
          <w:szCs w:val="21"/>
        </w:rPr>
        <w:t>”</w:t>
      </w:r>
      <w:r>
        <w:rPr>
          <w:rFonts w:hint="eastAsia"/>
          <w:color w:val="000000"/>
          <w:szCs w:val="21"/>
        </w:rPr>
        <w:t>“</w:t>
      </w:r>
      <w:r>
        <w:rPr>
          <w:color w:val="000000"/>
          <w:szCs w:val="21"/>
        </w:rPr>
        <w:t>良</w:t>
      </w:r>
      <w:r>
        <w:rPr>
          <w:rFonts w:hint="eastAsia"/>
          <w:color w:val="000000"/>
          <w:szCs w:val="21"/>
        </w:rPr>
        <w:t>”“</w:t>
      </w:r>
      <w:r>
        <w:rPr>
          <w:color w:val="000000"/>
          <w:szCs w:val="21"/>
        </w:rPr>
        <w:t>一般</w:t>
      </w:r>
      <w:r>
        <w:rPr>
          <w:rFonts w:hint="eastAsia"/>
          <w:color w:val="000000"/>
          <w:szCs w:val="21"/>
        </w:rPr>
        <w:t>”</w:t>
      </w:r>
      <w:r>
        <w:rPr>
          <w:color w:val="000000"/>
          <w:szCs w:val="21"/>
        </w:rPr>
        <w:t>，需结合整改报告进一步评议。</w:t>
      </w:r>
    </w:p>
    <w:p w14:paraId="4AB3BCDE">
      <w:pPr>
        <w:spacing w:line="400" w:lineRule="exact"/>
        <w:rPr>
          <w:color w:val="000000"/>
          <w:szCs w:val="21"/>
        </w:rPr>
      </w:pPr>
      <w:r>
        <w:rPr>
          <w:b/>
          <w:bCs/>
          <w:color w:val="000000"/>
          <w:szCs w:val="21"/>
        </w:rPr>
        <w:t>11.2.2</w:t>
      </w:r>
      <w:r>
        <w:rPr>
          <w:color w:val="000000"/>
          <w:szCs w:val="21"/>
        </w:rPr>
        <w:t xml:space="preserve">  </w:t>
      </w:r>
      <w:r>
        <w:rPr>
          <w:rFonts w:hint="eastAsia"/>
          <w:color w:val="000000"/>
          <w:szCs w:val="21"/>
        </w:rPr>
        <w:t>现场</w:t>
      </w:r>
      <w:r>
        <w:rPr>
          <w:color w:val="000000"/>
          <w:szCs w:val="21"/>
        </w:rPr>
        <w:t>检查对工程的评价应符合</w:t>
      </w:r>
      <w:r>
        <w:rPr>
          <w:rFonts w:hint="eastAsia"/>
          <w:color w:val="000000"/>
          <w:szCs w:val="21"/>
        </w:rPr>
        <w:t>下列规定</w:t>
      </w:r>
      <w:r>
        <w:rPr>
          <w:color w:val="000000"/>
          <w:szCs w:val="21"/>
        </w:rPr>
        <w:t xml:space="preserve">： </w:t>
      </w:r>
    </w:p>
    <w:p w14:paraId="62D6585B">
      <w:pPr>
        <w:spacing w:line="400" w:lineRule="exact"/>
        <w:ind w:firstLine="422" w:firstLineChars="200"/>
        <w:rPr>
          <w:color w:val="000000"/>
          <w:szCs w:val="21"/>
        </w:rPr>
      </w:pPr>
      <w:r>
        <w:rPr>
          <w:b/>
          <w:color w:val="000000"/>
          <w:szCs w:val="21"/>
        </w:rPr>
        <w:t>1</w:t>
      </w:r>
      <w:r>
        <w:rPr>
          <w:color w:val="000000"/>
          <w:szCs w:val="21"/>
        </w:rPr>
        <w:t xml:space="preserve">  本标准的基本规定是评价长城杯工程的重要条件，对</w:t>
      </w:r>
      <w:r>
        <w:rPr>
          <w:rFonts w:hint="eastAsia"/>
          <w:color w:val="000000"/>
          <w:szCs w:val="21"/>
        </w:rPr>
        <w:t>检查</w:t>
      </w:r>
      <w:r>
        <w:rPr>
          <w:color w:val="000000"/>
          <w:szCs w:val="21"/>
        </w:rPr>
        <w:t>评价具有重要作用；</w:t>
      </w:r>
    </w:p>
    <w:p w14:paraId="76DB8CA9">
      <w:pPr>
        <w:spacing w:line="400" w:lineRule="exact"/>
        <w:ind w:firstLine="422" w:firstLineChars="200"/>
        <w:rPr>
          <w:color w:val="000000"/>
          <w:szCs w:val="21"/>
        </w:rPr>
      </w:pPr>
      <w:r>
        <w:rPr>
          <w:b/>
          <w:color w:val="000000"/>
          <w:szCs w:val="21"/>
        </w:rPr>
        <w:t>2</w:t>
      </w:r>
      <w:r>
        <w:rPr>
          <w:color w:val="000000"/>
          <w:szCs w:val="21"/>
        </w:rPr>
        <w:t xml:space="preserve">  </w:t>
      </w:r>
      <w:r>
        <w:rPr>
          <w:rFonts w:hint="eastAsia"/>
          <w:color w:val="000000"/>
          <w:szCs w:val="21"/>
        </w:rPr>
        <w:t>现场检查</w:t>
      </w:r>
      <w:r>
        <w:rPr>
          <w:color w:val="000000"/>
          <w:szCs w:val="21"/>
        </w:rPr>
        <w:t>组应依据本标准第11.1.1条的七项</w:t>
      </w:r>
      <w:r>
        <w:rPr>
          <w:rFonts w:hint="eastAsia"/>
          <w:color w:val="000000"/>
          <w:szCs w:val="21"/>
        </w:rPr>
        <w:t>检查</w:t>
      </w:r>
      <w:r>
        <w:rPr>
          <w:color w:val="000000"/>
          <w:szCs w:val="21"/>
        </w:rPr>
        <w:t>内容，结合对工程质量及工程资料抽查的实际情况，按照附录A～</w:t>
      </w:r>
      <w:r>
        <w:rPr>
          <w:rFonts w:hint="eastAsia"/>
          <w:color w:val="000000"/>
          <w:szCs w:val="21"/>
        </w:rPr>
        <w:t>H</w:t>
      </w:r>
      <w:r>
        <w:rPr>
          <w:color w:val="000000"/>
          <w:szCs w:val="21"/>
        </w:rPr>
        <w:t>规定的项目进行评价；</w:t>
      </w:r>
    </w:p>
    <w:p w14:paraId="6722A1A6">
      <w:pPr>
        <w:spacing w:line="400" w:lineRule="exact"/>
        <w:ind w:firstLine="422" w:firstLineChars="200"/>
        <w:rPr>
          <w:color w:val="000000"/>
          <w:szCs w:val="21"/>
        </w:rPr>
      </w:pPr>
      <w:r>
        <w:rPr>
          <w:rFonts w:hint="eastAsia"/>
          <w:b/>
          <w:bCs/>
          <w:color w:val="000000"/>
          <w:szCs w:val="21"/>
        </w:rPr>
        <w:t>3</w:t>
      </w:r>
      <w:r>
        <w:rPr>
          <w:b/>
          <w:bCs/>
          <w:color w:val="000000"/>
          <w:szCs w:val="21"/>
        </w:rPr>
        <w:t xml:space="preserve">  </w:t>
      </w:r>
      <w:r>
        <w:rPr>
          <w:color w:val="000000"/>
          <w:szCs w:val="21"/>
        </w:rPr>
        <w:t>附录A～</w:t>
      </w:r>
      <w:r>
        <w:rPr>
          <w:rFonts w:hint="eastAsia"/>
          <w:color w:val="000000"/>
          <w:szCs w:val="21"/>
        </w:rPr>
        <w:t>H</w:t>
      </w:r>
      <w:r>
        <w:rPr>
          <w:color w:val="000000"/>
          <w:szCs w:val="21"/>
        </w:rPr>
        <w:t>检查项目</w:t>
      </w:r>
      <w:r>
        <w:rPr>
          <w:rFonts w:hint="eastAsia"/>
          <w:color w:val="000000"/>
          <w:szCs w:val="21"/>
        </w:rPr>
        <w:t>得分率</w:t>
      </w:r>
      <w:r>
        <w:rPr>
          <w:color w:val="000000"/>
          <w:szCs w:val="21"/>
        </w:rPr>
        <w:t>大于等于90</w:t>
      </w:r>
      <w:r>
        <w:rPr>
          <w:rFonts w:hint="eastAsia"/>
          <w:color w:val="000000"/>
          <w:szCs w:val="21"/>
        </w:rPr>
        <w:t>%</w:t>
      </w:r>
      <w:r>
        <w:rPr>
          <w:color w:val="000000"/>
          <w:szCs w:val="21"/>
        </w:rPr>
        <w:t>，评价为“精”；大于等于80</w:t>
      </w:r>
      <w:r>
        <w:rPr>
          <w:rFonts w:hint="eastAsia"/>
          <w:color w:val="000000"/>
          <w:szCs w:val="21"/>
        </w:rPr>
        <w:t>%</w:t>
      </w:r>
      <w:r>
        <w:rPr>
          <w:color w:val="000000"/>
          <w:szCs w:val="21"/>
        </w:rPr>
        <w:t>且小于90</w:t>
      </w:r>
      <w:r>
        <w:rPr>
          <w:rFonts w:hint="eastAsia"/>
          <w:color w:val="000000"/>
          <w:szCs w:val="21"/>
        </w:rPr>
        <w:t>%</w:t>
      </w:r>
      <w:r>
        <w:rPr>
          <w:color w:val="000000"/>
          <w:szCs w:val="21"/>
        </w:rPr>
        <w:t>，评价为“良”；小于80</w:t>
      </w:r>
      <w:r>
        <w:rPr>
          <w:rFonts w:hint="eastAsia"/>
          <w:color w:val="000000"/>
          <w:szCs w:val="21"/>
        </w:rPr>
        <w:t>%</w:t>
      </w:r>
      <w:r>
        <w:rPr>
          <w:color w:val="000000"/>
          <w:szCs w:val="21"/>
        </w:rPr>
        <w:t>评价为“一般”</w:t>
      </w:r>
      <w:r>
        <w:rPr>
          <w:rFonts w:hint="eastAsia"/>
          <w:color w:val="000000"/>
          <w:szCs w:val="21"/>
        </w:rPr>
        <w:t>。</w:t>
      </w:r>
    </w:p>
    <w:p w14:paraId="1F17E786">
      <w:pPr>
        <w:spacing w:line="400" w:lineRule="exact"/>
        <w:rPr>
          <w:color w:val="000000"/>
          <w:szCs w:val="21"/>
        </w:rPr>
      </w:pPr>
      <w:r>
        <w:rPr>
          <w:b/>
          <w:bCs/>
          <w:color w:val="000000"/>
          <w:szCs w:val="21"/>
        </w:rPr>
        <w:t>11.2.3</w:t>
      </w:r>
      <w:r>
        <w:rPr>
          <w:color w:val="000000"/>
          <w:szCs w:val="21"/>
        </w:rPr>
        <w:t xml:space="preserve">  附录A～</w:t>
      </w:r>
      <w:r>
        <w:rPr>
          <w:rFonts w:hint="eastAsia"/>
          <w:color w:val="000000"/>
          <w:szCs w:val="21"/>
        </w:rPr>
        <w:t>H</w:t>
      </w:r>
      <w:r>
        <w:rPr>
          <w:color w:val="000000"/>
          <w:szCs w:val="21"/>
        </w:rPr>
        <w:t>表中各子项评价方法如下：</w:t>
      </w:r>
    </w:p>
    <w:p w14:paraId="0CDBA1EC">
      <w:pPr>
        <w:spacing w:line="400" w:lineRule="exact"/>
        <w:ind w:firstLine="422" w:firstLineChars="200"/>
        <w:rPr>
          <w:color w:val="000000"/>
          <w:szCs w:val="21"/>
        </w:rPr>
      </w:pPr>
      <w:r>
        <w:rPr>
          <w:b/>
          <w:bCs/>
          <w:color w:val="000000"/>
          <w:szCs w:val="21"/>
        </w:rPr>
        <w:t>1</w:t>
      </w:r>
      <w:r>
        <w:rPr>
          <w:color w:val="000000"/>
          <w:szCs w:val="21"/>
        </w:rPr>
        <w:t xml:space="preserve"> 工程实体质量、工程资料管理起扣分为</w:t>
      </w:r>
      <w:r>
        <w:rPr>
          <w:rFonts w:hint="eastAsia"/>
          <w:color w:val="000000"/>
          <w:szCs w:val="21"/>
        </w:rPr>
        <w:t>0.5</w:t>
      </w:r>
      <w:r>
        <w:rPr>
          <w:color w:val="000000"/>
          <w:szCs w:val="21"/>
        </w:rPr>
        <w:t>分，检查项目达不到本标准规定，每发现一处扣</w:t>
      </w:r>
      <w:r>
        <w:rPr>
          <w:rFonts w:hint="eastAsia"/>
          <w:color w:val="000000"/>
          <w:szCs w:val="21"/>
        </w:rPr>
        <w:t>0.5-1</w:t>
      </w:r>
      <w:r>
        <w:rPr>
          <w:color w:val="000000"/>
          <w:szCs w:val="21"/>
        </w:rPr>
        <w:t>分</w:t>
      </w:r>
      <w:r>
        <w:rPr>
          <w:rFonts w:hint="eastAsia"/>
          <w:color w:val="000000"/>
          <w:szCs w:val="21"/>
        </w:rPr>
        <w:t>；</w:t>
      </w:r>
    </w:p>
    <w:p w14:paraId="682E36B6">
      <w:pPr>
        <w:spacing w:line="400" w:lineRule="exact"/>
        <w:ind w:firstLine="422" w:firstLineChars="200"/>
        <w:rPr>
          <w:color w:val="000000"/>
          <w:szCs w:val="21"/>
        </w:rPr>
      </w:pPr>
      <w:r>
        <w:rPr>
          <w:b/>
          <w:bCs/>
          <w:color w:val="000000"/>
          <w:szCs w:val="21"/>
        </w:rPr>
        <w:t>2</w:t>
      </w:r>
      <w:r>
        <w:rPr>
          <w:color w:val="000000"/>
          <w:szCs w:val="21"/>
        </w:rPr>
        <w:t xml:space="preserve">  施工项目管理评价表子项1-3项达不到本标准规定，每项扣</w:t>
      </w:r>
      <w:r>
        <w:rPr>
          <w:rFonts w:hint="eastAsia"/>
          <w:color w:val="000000"/>
          <w:szCs w:val="21"/>
        </w:rPr>
        <w:t>5</w:t>
      </w:r>
      <w:r>
        <w:rPr>
          <w:color w:val="000000"/>
          <w:szCs w:val="21"/>
        </w:rPr>
        <w:t>分，项目管理成果获得省（部）级 QC 成果、BIM 大赛奖每项得</w:t>
      </w:r>
      <w:r>
        <w:rPr>
          <w:rFonts w:hint="eastAsia"/>
          <w:color w:val="000000"/>
          <w:szCs w:val="21"/>
        </w:rPr>
        <w:t>5</w:t>
      </w:r>
      <w:r>
        <w:rPr>
          <w:color w:val="000000"/>
          <w:szCs w:val="21"/>
        </w:rPr>
        <w:t>分；用户评价为非常满意得2</w:t>
      </w:r>
      <w:r>
        <w:rPr>
          <w:rFonts w:hint="eastAsia"/>
          <w:color w:val="000000"/>
          <w:szCs w:val="21"/>
        </w:rPr>
        <w:t>0</w:t>
      </w:r>
      <w:r>
        <w:rPr>
          <w:color w:val="000000"/>
          <w:szCs w:val="21"/>
        </w:rPr>
        <w:t>分，满意得1</w:t>
      </w:r>
      <w:r>
        <w:rPr>
          <w:rFonts w:hint="eastAsia"/>
          <w:color w:val="000000"/>
          <w:szCs w:val="21"/>
        </w:rPr>
        <w:t>0</w:t>
      </w:r>
      <w:r>
        <w:rPr>
          <w:color w:val="000000"/>
          <w:szCs w:val="21"/>
        </w:rPr>
        <w:t>分，否则不得分；</w:t>
      </w:r>
    </w:p>
    <w:p w14:paraId="176CB258">
      <w:pPr>
        <w:spacing w:line="400" w:lineRule="exact"/>
        <w:ind w:firstLine="422" w:firstLineChars="200"/>
        <w:rPr>
          <w:color w:val="000000"/>
          <w:szCs w:val="21"/>
        </w:rPr>
      </w:pPr>
      <w:r>
        <w:rPr>
          <w:b/>
          <w:bCs/>
          <w:color w:val="000000"/>
          <w:szCs w:val="21"/>
        </w:rPr>
        <w:t>3</w:t>
      </w:r>
      <w:r>
        <w:rPr>
          <w:color w:val="000000"/>
          <w:szCs w:val="21"/>
        </w:rPr>
        <w:t xml:space="preserve">  技术应用创新与</w:t>
      </w:r>
      <w:r>
        <w:rPr>
          <w:rFonts w:hint="eastAsia"/>
          <w:color w:val="000000"/>
          <w:szCs w:val="21"/>
        </w:rPr>
        <w:t>智能建造</w:t>
      </w:r>
      <w:r>
        <w:rPr>
          <w:color w:val="000000"/>
          <w:szCs w:val="21"/>
        </w:rPr>
        <w:t>评价表子项1-3项达不到本标准规定，每项扣5分；</w:t>
      </w:r>
      <w:r>
        <w:rPr>
          <w:color w:val="000000"/>
          <w:kern w:val="0"/>
          <w:sz w:val="22"/>
          <w:szCs w:val="22"/>
        </w:rPr>
        <w:t>工法、专利等每项得5分，评价为国内领先及以上得</w:t>
      </w:r>
      <w:r>
        <w:rPr>
          <w:rFonts w:hint="eastAsia"/>
          <w:color w:val="000000"/>
          <w:kern w:val="0"/>
          <w:sz w:val="22"/>
          <w:szCs w:val="22"/>
        </w:rPr>
        <w:t>10</w:t>
      </w:r>
      <w:r>
        <w:rPr>
          <w:color w:val="000000"/>
          <w:kern w:val="0"/>
          <w:sz w:val="22"/>
          <w:szCs w:val="22"/>
        </w:rPr>
        <w:t>分，获科技奖得</w:t>
      </w:r>
      <w:r>
        <w:rPr>
          <w:rFonts w:hint="eastAsia"/>
          <w:color w:val="000000"/>
          <w:kern w:val="0"/>
          <w:sz w:val="22"/>
          <w:szCs w:val="22"/>
        </w:rPr>
        <w:t>10</w:t>
      </w:r>
      <w:r>
        <w:rPr>
          <w:color w:val="000000"/>
          <w:kern w:val="0"/>
          <w:sz w:val="22"/>
          <w:szCs w:val="22"/>
        </w:rPr>
        <w:t>分；获省（部级）科技示范工程得</w:t>
      </w:r>
      <w:r>
        <w:rPr>
          <w:rFonts w:hint="eastAsia"/>
          <w:color w:val="000000"/>
          <w:kern w:val="0"/>
          <w:sz w:val="22"/>
          <w:szCs w:val="22"/>
        </w:rPr>
        <w:t>20</w:t>
      </w:r>
      <w:r>
        <w:rPr>
          <w:color w:val="000000"/>
          <w:kern w:val="0"/>
          <w:sz w:val="22"/>
          <w:szCs w:val="22"/>
        </w:rPr>
        <w:t>分；</w:t>
      </w:r>
    </w:p>
    <w:p w14:paraId="72D69C20">
      <w:pPr>
        <w:spacing w:line="400" w:lineRule="exact"/>
        <w:ind w:firstLine="422" w:firstLineChars="200"/>
        <w:rPr>
          <w:color w:val="000000"/>
          <w:szCs w:val="21"/>
        </w:rPr>
      </w:pPr>
      <w:r>
        <w:rPr>
          <w:b/>
          <w:bCs/>
          <w:color w:val="000000"/>
          <w:szCs w:val="21"/>
        </w:rPr>
        <w:t>4</w:t>
      </w:r>
      <w:r>
        <w:rPr>
          <w:color w:val="000000"/>
          <w:szCs w:val="21"/>
        </w:rPr>
        <w:t xml:space="preserve">  </w:t>
      </w:r>
      <w:r>
        <w:rPr>
          <w:rFonts w:hint="eastAsia"/>
          <w:color w:val="000000"/>
          <w:szCs w:val="21"/>
        </w:rPr>
        <w:t>绿色施工</w:t>
      </w:r>
      <w:r>
        <w:rPr>
          <w:color w:val="000000"/>
          <w:szCs w:val="21"/>
        </w:rPr>
        <w:t>评价表子项1-2项达不到本标准规定，每项扣5分；</w:t>
      </w:r>
      <w:r>
        <w:rPr>
          <w:color w:val="000000"/>
          <w:kern w:val="0"/>
          <w:sz w:val="22"/>
          <w:szCs w:val="22"/>
        </w:rPr>
        <w:t>获得绿色安全文明工地得1</w:t>
      </w:r>
      <w:r>
        <w:rPr>
          <w:rFonts w:hint="eastAsia"/>
          <w:color w:val="000000"/>
          <w:kern w:val="0"/>
          <w:sz w:val="22"/>
          <w:szCs w:val="22"/>
        </w:rPr>
        <w:t>0</w:t>
      </w:r>
      <w:r>
        <w:rPr>
          <w:color w:val="000000"/>
          <w:kern w:val="0"/>
          <w:sz w:val="22"/>
          <w:szCs w:val="22"/>
        </w:rPr>
        <w:t>分，通过绿色竞赛、绿色评价、绿色认证过程评价得2</w:t>
      </w:r>
      <w:r>
        <w:rPr>
          <w:rFonts w:hint="eastAsia"/>
          <w:color w:val="000000"/>
          <w:kern w:val="0"/>
          <w:sz w:val="22"/>
          <w:szCs w:val="22"/>
        </w:rPr>
        <w:t>0</w:t>
      </w:r>
      <w:r>
        <w:rPr>
          <w:color w:val="000000"/>
          <w:kern w:val="0"/>
          <w:sz w:val="22"/>
          <w:szCs w:val="22"/>
        </w:rPr>
        <w:t>分。</w:t>
      </w:r>
    </w:p>
    <w:p w14:paraId="6D5633A4">
      <w:pPr>
        <w:spacing w:line="400" w:lineRule="exact"/>
        <w:rPr>
          <w:b/>
          <w:bCs/>
          <w:color w:val="000000"/>
          <w:szCs w:val="21"/>
        </w:rPr>
      </w:pPr>
      <w:r>
        <w:rPr>
          <w:b/>
          <w:bCs/>
          <w:color w:val="000000"/>
          <w:szCs w:val="21"/>
        </w:rPr>
        <w:t xml:space="preserve">11.2.4  </w:t>
      </w:r>
      <w:r>
        <w:rPr>
          <w:color w:val="000000"/>
          <w:szCs w:val="21"/>
        </w:rPr>
        <w:t>建筑长城杯工程质量</w:t>
      </w:r>
      <w:r>
        <w:rPr>
          <w:rFonts w:hint="eastAsia"/>
          <w:color w:val="000000"/>
          <w:szCs w:val="21"/>
        </w:rPr>
        <w:t>评议</w:t>
      </w:r>
      <w:r>
        <w:rPr>
          <w:color w:val="000000"/>
          <w:szCs w:val="21"/>
        </w:rPr>
        <w:t>评价按附录</w:t>
      </w:r>
      <w:r>
        <w:rPr>
          <w:rFonts w:hint="eastAsia"/>
          <w:color w:val="000000"/>
          <w:szCs w:val="21"/>
        </w:rPr>
        <w:t>M</w:t>
      </w:r>
      <w:r>
        <w:rPr>
          <w:color w:val="000000"/>
          <w:szCs w:val="21"/>
        </w:rPr>
        <w:t>进行，评价项目的权重按表11.2.4取值。建筑长城杯工程质量</w:t>
      </w:r>
      <w:r>
        <w:rPr>
          <w:rFonts w:hint="eastAsia"/>
          <w:color w:val="000000"/>
          <w:szCs w:val="21"/>
        </w:rPr>
        <w:t>其评议</w:t>
      </w:r>
      <w:r>
        <w:rPr>
          <w:color w:val="000000"/>
          <w:szCs w:val="21"/>
        </w:rPr>
        <w:t>评价方法如下：</w:t>
      </w:r>
    </w:p>
    <w:p w14:paraId="19E0AAC3">
      <w:pPr>
        <w:spacing w:line="400" w:lineRule="exact"/>
        <w:jc w:val="center"/>
        <w:rPr>
          <w:color w:val="000000"/>
          <w:szCs w:val="21"/>
        </w:rPr>
      </w:pPr>
      <w:r>
        <w:rPr>
          <w:b/>
          <w:bCs/>
          <w:color w:val="000000"/>
          <w:szCs w:val="21"/>
        </w:rPr>
        <w:t>表11.2.</w:t>
      </w:r>
      <w:r>
        <w:rPr>
          <w:rFonts w:hint="eastAsia"/>
          <w:b/>
          <w:bCs/>
          <w:color w:val="000000"/>
          <w:szCs w:val="21"/>
        </w:rPr>
        <w:t>4</w:t>
      </w:r>
      <w:r>
        <w:rPr>
          <w:rFonts w:hint="eastAsia"/>
          <w:color w:val="000000"/>
          <w:szCs w:val="21"/>
          <w:lang w:val="en-US" w:eastAsia="zh-CN"/>
        </w:rPr>
        <w:t xml:space="preserve">  </w:t>
      </w:r>
      <w:r>
        <w:rPr>
          <w:b/>
          <w:bCs/>
          <w:color w:val="000000"/>
          <w:szCs w:val="21"/>
        </w:rPr>
        <w:t>建筑长城杯工程</w:t>
      </w:r>
      <w:r>
        <w:rPr>
          <w:rFonts w:hint="eastAsia"/>
          <w:b/>
          <w:bCs/>
          <w:color w:val="000000"/>
          <w:szCs w:val="21"/>
        </w:rPr>
        <w:t>评议</w:t>
      </w:r>
      <w:r>
        <w:rPr>
          <w:b/>
          <w:bCs/>
          <w:color w:val="000000"/>
          <w:szCs w:val="21"/>
        </w:rPr>
        <w:t>评价项目权重</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286"/>
        <w:gridCol w:w="1339"/>
        <w:gridCol w:w="1179"/>
        <w:gridCol w:w="1200"/>
        <w:gridCol w:w="1300"/>
        <w:gridCol w:w="1034"/>
      </w:tblGrid>
      <w:tr w14:paraId="0B1F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185" w:type="dxa"/>
            <w:tcBorders>
              <w:top w:val="single" w:color="auto" w:sz="6" w:space="0"/>
              <w:left w:val="single" w:color="auto" w:sz="6" w:space="0"/>
              <w:bottom w:val="single" w:color="auto" w:sz="6" w:space="0"/>
              <w:right w:val="single" w:color="auto" w:sz="6" w:space="0"/>
            </w:tcBorders>
            <w:vAlign w:val="center"/>
          </w:tcPr>
          <w:p w14:paraId="52B940CE">
            <w:pPr>
              <w:widowControl/>
              <w:spacing w:line="400" w:lineRule="exact"/>
              <w:jc w:val="center"/>
              <w:textAlignment w:val="center"/>
              <w:rPr>
                <w:color w:val="000000"/>
                <w:szCs w:val="21"/>
              </w:rPr>
            </w:pPr>
            <w:r>
              <w:rPr>
                <w:color w:val="000000"/>
                <w:kern w:val="0"/>
                <w:szCs w:val="21"/>
              </w:rPr>
              <w:t>土建工程实体质量</w:t>
            </w:r>
          </w:p>
        </w:tc>
        <w:tc>
          <w:tcPr>
            <w:tcW w:w="1286" w:type="dxa"/>
            <w:tcBorders>
              <w:top w:val="single" w:color="auto" w:sz="6" w:space="0"/>
              <w:left w:val="single" w:color="auto" w:sz="6" w:space="0"/>
              <w:bottom w:val="single" w:color="auto" w:sz="6" w:space="0"/>
              <w:right w:val="single" w:color="auto" w:sz="6" w:space="0"/>
            </w:tcBorders>
            <w:vAlign w:val="center"/>
          </w:tcPr>
          <w:p w14:paraId="1FAD411B">
            <w:pPr>
              <w:spacing w:line="400" w:lineRule="exact"/>
              <w:jc w:val="center"/>
              <w:rPr>
                <w:color w:val="000000"/>
                <w:szCs w:val="21"/>
              </w:rPr>
            </w:pPr>
            <w:r>
              <w:rPr>
                <w:color w:val="000000"/>
                <w:kern w:val="0"/>
                <w:szCs w:val="21"/>
              </w:rPr>
              <w:t>建筑电气设备安装工程实体质量</w:t>
            </w:r>
          </w:p>
        </w:tc>
        <w:tc>
          <w:tcPr>
            <w:tcW w:w="1339" w:type="dxa"/>
            <w:tcBorders>
              <w:top w:val="single" w:color="auto" w:sz="6" w:space="0"/>
              <w:left w:val="single" w:color="auto" w:sz="6" w:space="0"/>
              <w:bottom w:val="single" w:color="auto" w:sz="6" w:space="0"/>
              <w:right w:val="single" w:color="auto" w:sz="6" w:space="0"/>
            </w:tcBorders>
            <w:vAlign w:val="center"/>
          </w:tcPr>
          <w:p w14:paraId="7D281FE2">
            <w:pPr>
              <w:spacing w:line="400" w:lineRule="exact"/>
              <w:jc w:val="center"/>
              <w:rPr>
                <w:color w:val="000000"/>
                <w:szCs w:val="21"/>
              </w:rPr>
            </w:pPr>
            <w:r>
              <w:rPr>
                <w:color w:val="000000"/>
                <w:kern w:val="0"/>
                <w:szCs w:val="21"/>
              </w:rPr>
              <w:t>建筑设备安装工程实体质量</w:t>
            </w:r>
          </w:p>
        </w:tc>
        <w:tc>
          <w:tcPr>
            <w:tcW w:w="1179" w:type="dxa"/>
            <w:tcBorders>
              <w:top w:val="single" w:color="auto" w:sz="6" w:space="0"/>
              <w:left w:val="single" w:color="auto" w:sz="6" w:space="0"/>
              <w:bottom w:val="single" w:color="auto" w:sz="6" w:space="0"/>
              <w:right w:val="single" w:color="auto" w:sz="6" w:space="0"/>
            </w:tcBorders>
            <w:vAlign w:val="center"/>
          </w:tcPr>
          <w:p w14:paraId="1785CB47">
            <w:pPr>
              <w:spacing w:line="400" w:lineRule="exact"/>
              <w:jc w:val="center"/>
              <w:rPr>
                <w:color w:val="000000"/>
                <w:kern w:val="0"/>
                <w:szCs w:val="21"/>
              </w:rPr>
            </w:pPr>
            <w:r>
              <w:rPr>
                <w:color w:val="000000"/>
                <w:kern w:val="0"/>
                <w:szCs w:val="21"/>
              </w:rPr>
              <w:t>工程资料</w:t>
            </w:r>
          </w:p>
          <w:p w14:paraId="06B47104">
            <w:pPr>
              <w:spacing w:line="400" w:lineRule="exact"/>
              <w:jc w:val="center"/>
              <w:rPr>
                <w:color w:val="000000"/>
                <w:szCs w:val="21"/>
              </w:rPr>
            </w:pPr>
            <w:r>
              <w:rPr>
                <w:color w:val="000000"/>
                <w:kern w:val="0"/>
                <w:szCs w:val="21"/>
              </w:rPr>
              <w:t>管理</w:t>
            </w:r>
          </w:p>
        </w:tc>
        <w:tc>
          <w:tcPr>
            <w:tcW w:w="1200" w:type="dxa"/>
            <w:tcBorders>
              <w:top w:val="single" w:color="auto" w:sz="6" w:space="0"/>
              <w:left w:val="single" w:color="auto" w:sz="6" w:space="0"/>
              <w:bottom w:val="single" w:color="auto" w:sz="6" w:space="0"/>
              <w:right w:val="single" w:color="auto" w:sz="6" w:space="0"/>
            </w:tcBorders>
            <w:vAlign w:val="center"/>
          </w:tcPr>
          <w:p w14:paraId="0E509749">
            <w:pPr>
              <w:spacing w:line="400" w:lineRule="exact"/>
              <w:jc w:val="center"/>
              <w:rPr>
                <w:color w:val="000000"/>
                <w:szCs w:val="21"/>
              </w:rPr>
            </w:pPr>
            <w:r>
              <w:rPr>
                <w:color w:val="000000"/>
                <w:kern w:val="0"/>
                <w:szCs w:val="21"/>
              </w:rPr>
              <w:t>施工项目管理</w:t>
            </w:r>
          </w:p>
        </w:tc>
        <w:tc>
          <w:tcPr>
            <w:tcW w:w="1300" w:type="dxa"/>
            <w:tcBorders>
              <w:top w:val="single" w:color="auto" w:sz="6" w:space="0"/>
              <w:left w:val="single" w:color="auto" w:sz="6" w:space="0"/>
              <w:bottom w:val="single" w:color="auto" w:sz="6" w:space="0"/>
              <w:right w:val="single" w:color="auto" w:sz="6" w:space="0"/>
            </w:tcBorders>
            <w:vAlign w:val="center"/>
          </w:tcPr>
          <w:p w14:paraId="0708DAA7">
            <w:pPr>
              <w:spacing w:line="400" w:lineRule="exact"/>
              <w:jc w:val="center"/>
              <w:rPr>
                <w:color w:val="000000"/>
                <w:szCs w:val="21"/>
              </w:rPr>
            </w:pPr>
            <w:r>
              <w:rPr>
                <w:color w:val="000000"/>
                <w:szCs w:val="21"/>
              </w:rPr>
              <w:t>技术应用创新与</w:t>
            </w:r>
            <w:r>
              <w:rPr>
                <w:rFonts w:hint="eastAsia"/>
                <w:color w:val="000000"/>
                <w:szCs w:val="21"/>
              </w:rPr>
              <w:t>智能建造</w:t>
            </w:r>
          </w:p>
        </w:tc>
        <w:tc>
          <w:tcPr>
            <w:tcW w:w="1034" w:type="dxa"/>
            <w:tcBorders>
              <w:top w:val="single" w:color="auto" w:sz="6" w:space="0"/>
              <w:left w:val="single" w:color="auto" w:sz="6" w:space="0"/>
              <w:bottom w:val="single" w:color="auto" w:sz="6" w:space="0"/>
              <w:right w:val="single" w:color="auto" w:sz="6" w:space="0"/>
            </w:tcBorders>
            <w:vAlign w:val="center"/>
          </w:tcPr>
          <w:p w14:paraId="2E052FFC">
            <w:pPr>
              <w:spacing w:line="400" w:lineRule="exact"/>
              <w:jc w:val="center"/>
              <w:rPr>
                <w:color w:val="000000"/>
                <w:szCs w:val="21"/>
              </w:rPr>
            </w:pPr>
            <w:r>
              <w:rPr>
                <w:rFonts w:hint="eastAsia"/>
                <w:color w:val="000000"/>
                <w:kern w:val="0"/>
                <w:szCs w:val="21"/>
              </w:rPr>
              <w:t>绿色施工</w:t>
            </w:r>
          </w:p>
        </w:tc>
      </w:tr>
      <w:tr w14:paraId="748C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Borders>
              <w:top w:val="single" w:color="auto" w:sz="6" w:space="0"/>
              <w:left w:val="single" w:color="auto" w:sz="6" w:space="0"/>
              <w:bottom w:val="single" w:color="auto" w:sz="6" w:space="0"/>
              <w:right w:val="single" w:color="auto" w:sz="6" w:space="0"/>
            </w:tcBorders>
            <w:vAlign w:val="center"/>
          </w:tcPr>
          <w:p w14:paraId="2065012F">
            <w:pPr>
              <w:widowControl/>
              <w:spacing w:line="400" w:lineRule="exact"/>
              <w:jc w:val="center"/>
              <w:textAlignment w:val="center"/>
              <w:rPr>
                <w:color w:val="000000"/>
                <w:szCs w:val="21"/>
              </w:rPr>
            </w:pPr>
            <w:r>
              <w:rPr>
                <w:color w:val="000000"/>
                <w:szCs w:val="21"/>
              </w:rPr>
              <w:t>0.2</w:t>
            </w:r>
          </w:p>
        </w:tc>
        <w:tc>
          <w:tcPr>
            <w:tcW w:w="1286" w:type="dxa"/>
            <w:tcBorders>
              <w:top w:val="single" w:color="auto" w:sz="6" w:space="0"/>
              <w:left w:val="single" w:color="auto" w:sz="6" w:space="0"/>
              <w:bottom w:val="single" w:color="auto" w:sz="6" w:space="0"/>
              <w:right w:val="single" w:color="auto" w:sz="6" w:space="0"/>
            </w:tcBorders>
            <w:vAlign w:val="center"/>
          </w:tcPr>
          <w:p w14:paraId="20940014">
            <w:pPr>
              <w:widowControl/>
              <w:spacing w:line="400" w:lineRule="exact"/>
              <w:jc w:val="center"/>
              <w:textAlignment w:val="center"/>
              <w:rPr>
                <w:color w:val="000000"/>
                <w:szCs w:val="21"/>
              </w:rPr>
            </w:pPr>
            <w:r>
              <w:rPr>
                <w:color w:val="000000"/>
                <w:szCs w:val="21"/>
              </w:rPr>
              <w:t>0.2</w:t>
            </w:r>
            <w:r>
              <w:rPr>
                <w:rFonts w:hint="eastAsia"/>
                <w:color w:val="000000"/>
                <w:szCs w:val="21"/>
              </w:rPr>
              <w:t>（0.1）</w:t>
            </w:r>
          </w:p>
        </w:tc>
        <w:tc>
          <w:tcPr>
            <w:tcW w:w="1339" w:type="dxa"/>
            <w:tcBorders>
              <w:top w:val="single" w:color="auto" w:sz="6" w:space="0"/>
              <w:left w:val="single" w:color="auto" w:sz="6" w:space="0"/>
              <w:bottom w:val="single" w:color="auto" w:sz="6" w:space="0"/>
              <w:right w:val="single" w:color="auto" w:sz="6" w:space="0"/>
            </w:tcBorders>
            <w:vAlign w:val="center"/>
          </w:tcPr>
          <w:p w14:paraId="2855D918">
            <w:pPr>
              <w:widowControl/>
              <w:spacing w:line="400" w:lineRule="exact"/>
              <w:jc w:val="center"/>
              <w:textAlignment w:val="center"/>
              <w:rPr>
                <w:color w:val="000000"/>
                <w:szCs w:val="21"/>
              </w:rPr>
            </w:pPr>
            <w:r>
              <w:rPr>
                <w:color w:val="000000"/>
                <w:szCs w:val="21"/>
              </w:rPr>
              <w:t>0.2</w:t>
            </w:r>
            <w:r>
              <w:rPr>
                <w:rFonts w:hint="eastAsia"/>
                <w:color w:val="000000"/>
                <w:szCs w:val="21"/>
              </w:rPr>
              <w:t>（0.1）</w:t>
            </w:r>
          </w:p>
        </w:tc>
        <w:tc>
          <w:tcPr>
            <w:tcW w:w="1179" w:type="dxa"/>
            <w:tcBorders>
              <w:top w:val="single" w:color="auto" w:sz="6" w:space="0"/>
              <w:left w:val="single" w:color="auto" w:sz="6" w:space="0"/>
              <w:bottom w:val="single" w:color="auto" w:sz="6" w:space="0"/>
              <w:right w:val="single" w:color="auto" w:sz="6" w:space="0"/>
            </w:tcBorders>
            <w:vAlign w:val="center"/>
          </w:tcPr>
          <w:p w14:paraId="616EBA55">
            <w:pPr>
              <w:widowControl/>
              <w:spacing w:line="400" w:lineRule="exact"/>
              <w:jc w:val="center"/>
              <w:textAlignment w:val="center"/>
              <w:rPr>
                <w:color w:val="000000"/>
                <w:szCs w:val="21"/>
              </w:rPr>
            </w:pPr>
            <w:r>
              <w:rPr>
                <w:color w:val="000000"/>
                <w:szCs w:val="21"/>
              </w:rPr>
              <w:t>0.</w:t>
            </w:r>
            <w:r>
              <w:rPr>
                <w:rFonts w:hint="eastAsia"/>
                <w:color w:val="000000"/>
                <w:szCs w:val="21"/>
              </w:rPr>
              <w:t>15（0.35）</w:t>
            </w:r>
          </w:p>
        </w:tc>
        <w:tc>
          <w:tcPr>
            <w:tcW w:w="1200" w:type="dxa"/>
            <w:tcBorders>
              <w:top w:val="single" w:color="auto" w:sz="6" w:space="0"/>
              <w:left w:val="single" w:color="auto" w:sz="6" w:space="0"/>
              <w:bottom w:val="single" w:color="auto" w:sz="6" w:space="0"/>
              <w:right w:val="single" w:color="auto" w:sz="6" w:space="0"/>
            </w:tcBorders>
            <w:vAlign w:val="center"/>
          </w:tcPr>
          <w:p w14:paraId="000CBCFA">
            <w:pPr>
              <w:widowControl/>
              <w:spacing w:line="400" w:lineRule="exact"/>
              <w:jc w:val="center"/>
              <w:textAlignment w:val="center"/>
              <w:rPr>
                <w:color w:val="000000"/>
                <w:szCs w:val="21"/>
              </w:rPr>
            </w:pPr>
            <w:r>
              <w:rPr>
                <w:color w:val="000000"/>
                <w:szCs w:val="21"/>
              </w:rPr>
              <w:t>0.1</w:t>
            </w:r>
          </w:p>
        </w:tc>
        <w:tc>
          <w:tcPr>
            <w:tcW w:w="1300" w:type="dxa"/>
            <w:tcBorders>
              <w:top w:val="single" w:color="auto" w:sz="6" w:space="0"/>
              <w:left w:val="single" w:color="auto" w:sz="6" w:space="0"/>
              <w:bottom w:val="single" w:color="auto" w:sz="6" w:space="0"/>
              <w:right w:val="single" w:color="auto" w:sz="6" w:space="0"/>
            </w:tcBorders>
            <w:vAlign w:val="center"/>
          </w:tcPr>
          <w:p w14:paraId="30F724CF">
            <w:pPr>
              <w:widowControl/>
              <w:spacing w:line="400" w:lineRule="exact"/>
              <w:jc w:val="center"/>
              <w:textAlignment w:val="center"/>
              <w:rPr>
                <w:color w:val="000000"/>
                <w:szCs w:val="21"/>
              </w:rPr>
            </w:pPr>
            <w:r>
              <w:rPr>
                <w:color w:val="000000"/>
                <w:szCs w:val="21"/>
              </w:rPr>
              <w:t>0.08</w:t>
            </w:r>
          </w:p>
        </w:tc>
        <w:tc>
          <w:tcPr>
            <w:tcW w:w="1034" w:type="dxa"/>
            <w:tcBorders>
              <w:top w:val="single" w:color="auto" w:sz="6" w:space="0"/>
              <w:left w:val="single" w:color="auto" w:sz="6" w:space="0"/>
              <w:bottom w:val="single" w:color="auto" w:sz="6" w:space="0"/>
              <w:right w:val="single" w:color="auto" w:sz="6" w:space="0"/>
            </w:tcBorders>
            <w:vAlign w:val="center"/>
          </w:tcPr>
          <w:p w14:paraId="2B3CE12C">
            <w:pPr>
              <w:widowControl/>
              <w:spacing w:line="400" w:lineRule="exact"/>
              <w:jc w:val="center"/>
              <w:textAlignment w:val="center"/>
              <w:rPr>
                <w:color w:val="000000"/>
                <w:szCs w:val="21"/>
              </w:rPr>
            </w:pPr>
            <w:r>
              <w:rPr>
                <w:color w:val="000000"/>
                <w:szCs w:val="21"/>
              </w:rPr>
              <w:t>0.07</w:t>
            </w:r>
          </w:p>
        </w:tc>
      </w:tr>
    </w:tbl>
    <w:p w14:paraId="7052C4CE">
      <w:pPr>
        <w:spacing w:line="400" w:lineRule="exact"/>
        <w:ind w:firstLine="420" w:firstLineChars="200"/>
        <w:rPr>
          <w:rFonts w:ascii="宋体" w:hAnsi="宋体" w:cs="宋体"/>
          <w:bCs/>
          <w:color w:val="000000"/>
          <w:szCs w:val="21"/>
        </w:rPr>
      </w:pPr>
      <w:r>
        <w:rPr>
          <w:rFonts w:hint="eastAsia" w:ascii="宋体" w:hAnsi="宋体" w:cs="宋体"/>
          <w:bCs/>
          <w:color w:val="000000"/>
          <w:szCs w:val="21"/>
        </w:rPr>
        <w:t>注：括号内权重值适用于改造工程。</w:t>
      </w:r>
    </w:p>
    <w:p w14:paraId="55CAA480">
      <w:pPr>
        <w:spacing w:line="400" w:lineRule="exact"/>
        <w:ind w:firstLine="422" w:firstLineChars="200"/>
        <w:rPr>
          <w:color w:val="000000"/>
          <w:szCs w:val="21"/>
        </w:rPr>
      </w:pPr>
      <w:r>
        <w:rPr>
          <w:b/>
          <w:color w:val="000000"/>
          <w:szCs w:val="21"/>
        </w:rPr>
        <w:t>1</w:t>
      </w:r>
      <w:r>
        <w:rPr>
          <w:bCs/>
          <w:color w:val="000000"/>
          <w:szCs w:val="21"/>
        </w:rPr>
        <w:t xml:space="preserve">  </w:t>
      </w:r>
      <w:r>
        <w:rPr>
          <w:color w:val="000000"/>
          <w:szCs w:val="21"/>
        </w:rPr>
        <w:t>附录</w:t>
      </w:r>
      <w:r>
        <w:rPr>
          <w:rFonts w:hint="eastAsia"/>
          <w:color w:val="000000"/>
          <w:szCs w:val="21"/>
        </w:rPr>
        <w:t>M</w:t>
      </w:r>
      <w:r>
        <w:rPr>
          <w:color w:val="000000"/>
          <w:szCs w:val="21"/>
        </w:rPr>
        <w:t>表中带有★符号的项目均评价为“精”，其余各项评价为“精”或“良”，且得分为88分以上，可推荐为建筑长城杯金质奖工程；</w:t>
      </w:r>
    </w:p>
    <w:p w14:paraId="484BEEA6">
      <w:pPr>
        <w:spacing w:line="400" w:lineRule="exact"/>
        <w:ind w:firstLine="422" w:firstLineChars="200"/>
        <w:rPr>
          <w:color w:val="000000"/>
          <w:szCs w:val="21"/>
        </w:rPr>
      </w:pPr>
      <w:r>
        <w:rPr>
          <w:b/>
          <w:color w:val="000000"/>
          <w:szCs w:val="21"/>
        </w:rPr>
        <w:t xml:space="preserve">2 </w:t>
      </w:r>
      <w:r>
        <w:rPr>
          <w:bCs/>
          <w:color w:val="000000"/>
          <w:szCs w:val="21"/>
        </w:rPr>
        <w:t xml:space="preserve"> </w:t>
      </w:r>
      <w:r>
        <w:rPr>
          <w:color w:val="000000"/>
          <w:szCs w:val="21"/>
        </w:rPr>
        <w:t>附录</w:t>
      </w:r>
      <w:r>
        <w:rPr>
          <w:rFonts w:hint="eastAsia"/>
          <w:color w:val="000000"/>
          <w:szCs w:val="21"/>
        </w:rPr>
        <w:t>M</w:t>
      </w:r>
      <w:r>
        <w:rPr>
          <w:color w:val="000000"/>
          <w:szCs w:val="21"/>
        </w:rPr>
        <w:t>表中，土建工程和工程资料管理评为“精”，其余各项评价为“精”或“良”，且得分为80分以上，可推荐为建筑长城杯银质奖工程；</w:t>
      </w:r>
    </w:p>
    <w:p w14:paraId="6BB4EF7A">
      <w:pPr>
        <w:spacing w:line="400" w:lineRule="exact"/>
        <w:ind w:firstLine="422" w:firstLineChars="200"/>
        <w:rPr>
          <w:bCs/>
          <w:color w:val="000000"/>
          <w:szCs w:val="21"/>
        </w:rPr>
      </w:pPr>
      <w:r>
        <w:rPr>
          <w:b/>
          <w:color w:val="000000"/>
          <w:szCs w:val="21"/>
        </w:rPr>
        <w:t>3</w:t>
      </w:r>
      <w:r>
        <w:rPr>
          <w:bCs/>
          <w:color w:val="000000"/>
          <w:szCs w:val="21"/>
        </w:rPr>
        <w:t xml:space="preserve">  不符合</w:t>
      </w:r>
      <w:r>
        <w:rPr>
          <w:color w:val="000000"/>
          <w:szCs w:val="21"/>
        </w:rPr>
        <w:t>“精”或“良”标准的</w:t>
      </w:r>
      <w:r>
        <w:rPr>
          <w:bCs/>
          <w:color w:val="000000"/>
          <w:szCs w:val="21"/>
        </w:rPr>
        <w:t>工程，</w:t>
      </w:r>
      <w:r>
        <w:rPr>
          <w:color w:val="000000"/>
          <w:szCs w:val="21"/>
        </w:rPr>
        <w:t>评价为“一般”，</w:t>
      </w:r>
      <w:r>
        <w:rPr>
          <w:bCs/>
          <w:color w:val="000000"/>
          <w:szCs w:val="21"/>
        </w:rPr>
        <w:t>不予推荐。</w:t>
      </w:r>
    </w:p>
    <w:p w14:paraId="79E86E68">
      <w:pPr>
        <w:spacing w:line="400" w:lineRule="exact"/>
        <w:rPr>
          <w:color w:val="000000"/>
          <w:szCs w:val="21"/>
        </w:rPr>
      </w:pPr>
      <w:r>
        <w:rPr>
          <w:b/>
          <w:bCs/>
          <w:color w:val="000000"/>
          <w:szCs w:val="21"/>
        </w:rPr>
        <w:t>11.2.</w:t>
      </w:r>
      <w:r>
        <w:rPr>
          <w:rFonts w:hint="eastAsia"/>
          <w:b/>
          <w:bCs/>
          <w:color w:val="000000"/>
          <w:szCs w:val="21"/>
        </w:rPr>
        <w:t>5</w:t>
      </w:r>
      <w:r>
        <w:rPr>
          <w:b/>
          <w:bCs/>
          <w:color w:val="000000"/>
          <w:szCs w:val="21"/>
        </w:rPr>
        <w:t xml:space="preserve">  </w:t>
      </w:r>
      <w:r>
        <w:rPr>
          <w:rFonts w:hint="eastAsia"/>
          <w:color w:val="000000"/>
          <w:szCs w:val="21"/>
        </w:rPr>
        <w:t>现场</w:t>
      </w:r>
      <w:r>
        <w:rPr>
          <w:color w:val="000000"/>
          <w:szCs w:val="21"/>
        </w:rPr>
        <w:t>检查评价工作应兼顾</w:t>
      </w:r>
      <w:r>
        <w:rPr>
          <w:rFonts w:hint="eastAsia"/>
          <w:color w:val="000000"/>
          <w:szCs w:val="21"/>
        </w:rPr>
        <w:t>下列</w:t>
      </w:r>
      <w:r>
        <w:rPr>
          <w:color w:val="000000"/>
          <w:szCs w:val="21"/>
        </w:rPr>
        <w:t>因素：</w:t>
      </w:r>
    </w:p>
    <w:p w14:paraId="61DA1475">
      <w:pPr>
        <w:spacing w:line="400" w:lineRule="exact"/>
        <w:ind w:firstLine="422" w:firstLineChars="200"/>
        <w:rPr>
          <w:color w:val="000000"/>
          <w:szCs w:val="21"/>
        </w:rPr>
      </w:pPr>
      <w:r>
        <w:rPr>
          <w:b/>
          <w:color w:val="000000"/>
          <w:szCs w:val="21"/>
        </w:rPr>
        <w:t>1</w:t>
      </w:r>
      <w:r>
        <w:rPr>
          <w:bCs/>
          <w:color w:val="000000"/>
          <w:szCs w:val="21"/>
        </w:rPr>
        <w:t xml:space="preserve">  </w:t>
      </w:r>
      <w:r>
        <w:rPr>
          <w:color w:val="000000"/>
          <w:szCs w:val="21"/>
        </w:rPr>
        <w:t>有关主控项目和国家强制性工程建设规范的符合性应作为检查评价重点；</w:t>
      </w:r>
    </w:p>
    <w:p w14:paraId="623E4D5D">
      <w:pPr>
        <w:spacing w:line="400" w:lineRule="exact"/>
        <w:ind w:firstLine="422" w:firstLineChars="200"/>
        <w:rPr>
          <w:color w:val="000000"/>
          <w:szCs w:val="21"/>
        </w:rPr>
      </w:pPr>
      <w:r>
        <w:rPr>
          <w:b/>
          <w:color w:val="000000"/>
          <w:szCs w:val="21"/>
        </w:rPr>
        <w:t>2</w:t>
      </w:r>
      <w:r>
        <w:rPr>
          <w:rFonts w:eastAsia="黑体"/>
          <w:b/>
          <w:bCs/>
          <w:color w:val="000000"/>
          <w:szCs w:val="21"/>
        </w:rPr>
        <w:t xml:space="preserve">  </w:t>
      </w:r>
      <w:r>
        <w:rPr>
          <w:color w:val="000000"/>
          <w:szCs w:val="21"/>
        </w:rPr>
        <w:t>对于工程量大、技术含量高、造型复杂、建筑装饰施工难度大、建筑电气设备安装和建筑设备安装系统复杂的建筑工程，在与</w:t>
      </w:r>
      <w:r>
        <w:rPr>
          <w:rFonts w:hint="eastAsia"/>
          <w:color w:val="000000"/>
          <w:szCs w:val="21"/>
        </w:rPr>
        <w:t>其他</w:t>
      </w:r>
      <w:r>
        <w:rPr>
          <w:color w:val="000000"/>
          <w:szCs w:val="21"/>
        </w:rPr>
        <w:t>工程同质量水平的前提下，宜优先推荐为长城杯金质奖。</w:t>
      </w:r>
    </w:p>
    <w:p w14:paraId="7DA5C122">
      <w:pPr>
        <w:spacing w:line="400" w:lineRule="exact"/>
        <w:rPr>
          <w:color w:val="000000"/>
          <w:szCs w:val="21"/>
        </w:rPr>
      </w:pPr>
      <w:r>
        <w:rPr>
          <w:b/>
          <w:bCs/>
          <w:color w:val="000000"/>
          <w:szCs w:val="21"/>
        </w:rPr>
        <w:t>11.2.</w:t>
      </w:r>
      <w:r>
        <w:rPr>
          <w:rFonts w:hint="eastAsia"/>
          <w:b/>
          <w:bCs/>
          <w:color w:val="000000"/>
          <w:szCs w:val="21"/>
        </w:rPr>
        <w:t>6</w:t>
      </w:r>
      <w:r>
        <w:rPr>
          <w:b/>
          <w:bCs/>
          <w:color w:val="000000"/>
          <w:szCs w:val="21"/>
        </w:rPr>
        <w:t xml:space="preserve"> </w:t>
      </w:r>
      <w:r>
        <w:rPr>
          <w:rFonts w:eastAsia="黑体"/>
          <w:b/>
          <w:bCs/>
          <w:color w:val="000000"/>
          <w:szCs w:val="21"/>
        </w:rPr>
        <w:t xml:space="preserve"> </w:t>
      </w:r>
      <w:r>
        <w:rPr>
          <w:color w:val="000000"/>
          <w:szCs w:val="21"/>
        </w:rPr>
        <w:t>建筑长城杯</w:t>
      </w:r>
      <w:r>
        <w:rPr>
          <w:rFonts w:hint="eastAsia"/>
          <w:color w:val="000000"/>
          <w:szCs w:val="21"/>
        </w:rPr>
        <w:t>初评</w:t>
      </w:r>
      <w:r>
        <w:rPr>
          <w:color w:val="000000"/>
          <w:szCs w:val="21"/>
        </w:rPr>
        <w:t>检查各项</w:t>
      </w:r>
      <w:r>
        <w:rPr>
          <w:rFonts w:hint="eastAsia"/>
          <w:color w:val="000000"/>
          <w:szCs w:val="21"/>
        </w:rPr>
        <w:t>检查</w:t>
      </w:r>
      <w:r>
        <w:rPr>
          <w:color w:val="000000"/>
          <w:szCs w:val="21"/>
        </w:rPr>
        <w:t>评价表，应由</w:t>
      </w:r>
      <w:r>
        <w:rPr>
          <w:rFonts w:hint="eastAsia"/>
          <w:color w:val="000000"/>
          <w:szCs w:val="21"/>
        </w:rPr>
        <w:t>检查</w:t>
      </w:r>
      <w:r>
        <w:rPr>
          <w:color w:val="000000"/>
          <w:szCs w:val="21"/>
        </w:rPr>
        <w:t>组人员分别填写，填写项目应字迹清晰，内容完整。</w:t>
      </w:r>
    </w:p>
    <w:p w14:paraId="4B42404C">
      <w:pPr>
        <w:spacing w:line="400" w:lineRule="exact"/>
        <w:ind w:firstLine="420" w:firstLineChars="200"/>
        <w:jc w:val="left"/>
        <w:rPr>
          <w:bCs/>
          <w:color w:val="000000"/>
          <w:szCs w:val="21"/>
        </w:rPr>
      </w:pPr>
    </w:p>
    <w:p w14:paraId="4DA05B0D">
      <w:pPr>
        <w:pStyle w:val="4"/>
        <w:numPr>
          <w:ilvl w:val="0"/>
          <w:numId w:val="0"/>
        </w:numPr>
        <w:spacing w:after="156" w:afterLines="50" w:line="400" w:lineRule="exact"/>
        <w:jc w:val="center"/>
        <w:rPr>
          <w:rStyle w:val="32"/>
          <w:rFonts w:ascii="Times New Roman" w:hAnsi="Times New Roman" w:eastAsia="黑体"/>
          <w:sz w:val="28"/>
          <w:szCs w:val="28"/>
          <w:lang w:val="en-US"/>
        </w:rPr>
      </w:pPr>
      <w:r>
        <w:rPr>
          <w:rFonts w:ascii="Times New Roman" w:hAnsi="Times New Roman"/>
          <w:bCs/>
          <w:sz w:val="21"/>
          <w:szCs w:val="21"/>
        </w:rPr>
        <w:br w:type="page"/>
      </w:r>
      <w:bookmarkStart w:id="632" w:name="_Toc244"/>
      <w:bookmarkStart w:id="633" w:name="_Toc27732"/>
      <w:bookmarkStart w:id="634" w:name="_Toc19539"/>
      <w:bookmarkStart w:id="635" w:name="_Toc11257"/>
      <w:bookmarkStart w:id="636" w:name="_Toc15713"/>
      <w:bookmarkStart w:id="637" w:name="_Toc11615"/>
      <w:bookmarkStart w:id="638" w:name="_Toc25106"/>
      <w:bookmarkStart w:id="639" w:name="_Toc31172"/>
      <w:r>
        <w:rPr>
          <w:rStyle w:val="32"/>
          <w:rFonts w:ascii="Times New Roman" w:hAnsi="Times New Roman" w:eastAsia="黑体"/>
          <w:sz w:val="28"/>
          <w:szCs w:val="28"/>
          <w:lang w:val="en-US"/>
        </w:rPr>
        <w:t>附录A  土建工程实体质量现场检查</w:t>
      </w:r>
      <w:bookmarkEnd w:id="632"/>
      <w:bookmarkEnd w:id="633"/>
      <w:bookmarkEnd w:id="634"/>
      <w:bookmarkEnd w:id="635"/>
      <w:bookmarkEnd w:id="636"/>
      <w:bookmarkEnd w:id="637"/>
      <w:bookmarkEnd w:id="638"/>
      <w:bookmarkEnd w:id="639"/>
    </w:p>
    <w:p w14:paraId="65D34C3F">
      <w:pPr>
        <w:jc w:val="center"/>
        <w:outlineLvl w:val="2"/>
        <w:rPr>
          <w:rFonts w:eastAsia="黑体"/>
          <w:color w:val="000000"/>
          <w:sz w:val="24"/>
          <w:szCs w:val="24"/>
          <w:lang w:val="zh-CN"/>
        </w:rPr>
      </w:pPr>
      <w:bookmarkStart w:id="640" w:name="_Toc4282"/>
      <w:bookmarkStart w:id="641" w:name="_Toc1995"/>
      <w:bookmarkStart w:id="642" w:name="_Toc22951"/>
      <w:bookmarkStart w:id="643" w:name="_Toc17041"/>
      <w:bookmarkStart w:id="644" w:name="_Toc21056"/>
      <w:bookmarkStart w:id="645" w:name="_Toc1367"/>
      <w:bookmarkStart w:id="646" w:name="_Toc122"/>
      <w:bookmarkStart w:id="647" w:name="_Toc22409"/>
      <w:bookmarkStart w:id="648" w:name="_Toc25082"/>
      <w:bookmarkStart w:id="649" w:name="_Toc9439"/>
      <w:bookmarkStart w:id="650" w:name="_Toc29121"/>
      <w:bookmarkStart w:id="651" w:name="_Toc17922"/>
      <w:bookmarkStart w:id="652" w:name="_Toc9804"/>
      <w:bookmarkStart w:id="653" w:name="_Toc13536"/>
      <w:r>
        <w:rPr>
          <w:rFonts w:eastAsia="黑体"/>
          <w:color w:val="000000"/>
          <w:sz w:val="24"/>
          <w:szCs w:val="24"/>
          <w:lang w:val="zh-CN"/>
        </w:rPr>
        <w:t>表A.0.1  土建工程实体质量</w:t>
      </w:r>
      <w:r>
        <w:rPr>
          <w:rFonts w:hint="eastAsia" w:ascii="黑体" w:hAnsi="黑体" w:eastAsia="黑体" w:cs="宋体"/>
          <w:color w:val="000000"/>
          <w:kern w:val="0"/>
          <w:sz w:val="24"/>
          <w:szCs w:val="24"/>
        </w:rPr>
        <w:t>现场检查</w:t>
      </w:r>
      <w:bookmarkEnd w:id="640"/>
      <w:bookmarkEnd w:id="641"/>
      <w:bookmarkEnd w:id="642"/>
      <w:bookmarkEnd w:id="643"/>
      <w:bookmarkEnd w:id="644"/>
      <w:bookmarkEnd w:id="645"/>
      <w:bookmarkEnd w:id="646"/>
      <w:bookmarkEnd w:id="647"/>
      <w:r>
        <w:rPr>
          <w:rFonts w:hint="eastAsia" w:eastAsia="黑体"/>
          <w:color w:val="000000"/>
          <w:sz w:val="24"/>
          <w:szCs w:val="24"/>
          <w:lang w:val="zh-CN"/>
        </w:rPr>
        <w:t>表</w:t>
      </w:r>
      <w:bookmarkEnd w:id="648"/>
      <w:bookmarkEnd w:id="649"/>
      <w:bookmarkEnd w:id="650"/>
      <w:bookmarkEnd w:id="651"/>
      <w:bookmarkEnd w:id="652"/>
      <w:bookmarkEnd w:id="653"/>
    </w:p>
    <w:p w14:paraId="6DEE25CC">
      <w:pPr>
        <w:widowControl/>
        <w:spacing w:before="156" w:beforeLines="50" w:after="156" w:afterLines="50"/>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pPr w:leftFromText="180" w:rightFromText="180" w:vertAnchor="text" w:horzAnchor="page" w:tblpX="1730" w:tblpY="126"/>
        <w:tblOverlap w:val="never"/>
        <w:tblW w:w="94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31"/>
        <w:gridCol w:w="457"/>
        <w:gridCol w:w="4193"/>
        <w:gridCol w:w="3135"/>
        <w:gridCol w:w="544"/>
        <w:gridCol w:w="544"/>
      </w:tblGrid>
      <w:tr w14:paraId="5B5FE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7" w:hRule="atLeast"/>
        </w:trPr>
        <w:tc>
          <w:tcPr>
            <w:tcW w:w="531" w:type="dxa"/>
            <w:tcBorders>
              <w:top w:val="single" w:color="auto" w:sz="6" w:space="0"/>
              <w:left w:val="single" w:color="auto" w:sz="6" w:space="0"/>
              <w:bottom w:val="single" w:color="auto" w:sz="8" w:space="0"/>
              <w:right w:val="single" w:color="auto" w:sz="6" w:space="0"/>
            </w:tcBorders>
            <w:noWrap/>
            <w:tcMar>
              <w:top w:w="15" w:type="dxa"/>
              <w:left w:w="15" w:type="dxa"/>
              <w:right w:w="15" w:type="dxa"/>
            </w:tcMar>
            <w:vAlign w:val="center"/>
          </w:tcPr>
          <w:p w14:paraId="2902F481">
            <w:pPr>
              <w:widowControl/>
              <w:jc w:val="center"/>
              <w:textAlignment w:val="center"/>
              <w:rPr>
                <w:color w:val="000000"/>
                <w:szCs w:val="21"/>
              </w:rPr>
            </w:pPr>
            <w:r>
              <w:rPr>
                <w:color w:val="000000"/>
                <w:kern w:val="0"/>
                <w:szCs w:val="21"/>
              </w:rPr>
              <w:t>序号</w:t>
            </w:r>
          </w:p>
        </w:tc>
        <w:tc>
          <w:tcPr>
            <w:tcW w:w="4650" w:type="dxa"/>
            <w:gridSpan w:val="2"/>
            <w:tcBorders>
              <w:top w:val="single" w:color="auto" w:sz="6" w:space="0"/>
              <w:left w:val="single" w:color="auto" w:sz="6" w:space="0"/>
              <w:bottom w:val="single" w:color="auto" w:sz="8" w:space="0"/>
              <w:right w:val="single" w:color="auto" w:sz="6" w:space="0"/>
            </w:tcBorders>
            <w:tcMar>
              <w:top w:w="15" w:type="dxa"/>
              <w:left w:w="15" w:type="dxa"/>
              <w:right w:w="15" w:type="dxa"/>
            </w:tcMar>
            <w:vAlign w:val="center"/>
          </w:tcPr>
          <w:p w14:paraId="224363B5">
            <w:pPr>
              <w:widowControl/>
              <w:jc w:val="center"/>
              <w:textAlignment w:val="center"/>
              <w:rPr>
                <w:color w:val="000000"/>
                <w:szCs w:val="21"/>
              </w:rPr>
            </w:pPr>
            <w:r>
              <w:rPr>
                <w:color w:val="000000"/>
                <w:kern w:val="0"/>
                <w:szCs w:val="21"/>
              </w:rPr>
              <w:t>检查项目</w:t>
            </w:r>
          </w:p>
        </w:tc>
        <w:tc>
          <w:tcPr>
            <w:tcW w:w="3135" w:type="dxa"/>
            <w:tcBorders>
              <w:top w:val="single" w:color="auto" w:sz="6" w:space="0"/>
              <w:left w:val="single" w:color="auto" w:sz="6" w:space="0"/>
              <w:bottom w:val="single" w:color="auto" w:sz="8" w:space="0"/>
              <w:right w:val="single" w:color="auto" w:sz="6" w:space="0"/>
            </w:tcBorders>
            <w:noWrap/>
            <w:tcMar>
              <w:top w:w="15" w:type="dxa"/>
              <w:left w:w="15" w:type="dxa"/>
              <w:right w:w="15" w:type="dxa"/>
            </w:tcMar>
            <w:vAlign w:val="center"/>
          </w:tcPr>
          <w:p w14:paraId="31110847">
            <w:pPr>
              <w:widowControl/>
              <w:jc w:val="center"/>
              <w:textAlignment w:val="center"/>
              <w:rPr>
                <w:color w:val="000000"/>
                <w:szCs w:val="21"/>
              </w:rPr>
            </w:pPr>
            <w:r>
              <w:rPr>
                <w:color w:val="000000"/>
                <w:kern w:val="0"/>
                <w:szCs w:val="21"/>
              </w:rPr>
              <w:t>检查情况</w:t>
            </w:r>
          </w:p>
        </w:tc>
        <w:tc>
          <w:tcPr>
            <w:tcW w:w="544" w:type="dxa"/>
            <w:tcBorders>
              <w:top w:val="single" w:color="auto" w:sz="6" w:space="0"/>
              <w:left w:val="single" w:color="auto" w:sz="6" w:space="0"/>
              <w:bottom w:val="single" w:color="auto" w:sz="8" w:space="0"/>
              <w:right w:val="single" w:color="auto" w:sz="6" w:space="0"/>
            </w:tcBorders>
            <w:noWrap/>
            <w:tcMar>
              <w:top w:w="15" w:type="dxa"/>
              <w:left w:w="15" w:type="dxa"/>
              <w:right w:w="15" w:type="dxa"/>
            </w:tcMar>
            <w:vAlign w:val="center"/>
          </w:tcPr>
          <w:p w14:paraId="09915BBE">
            <w:pPr>
              <w:widowControl/>
              <w:jc w:val="center"/>
              <w:textAlignment w:val="center"/>
              <w:rPr>
                <w:color w:val="000000"/>
                <w:kern w:val="0"/>
                <w:szCs w:val="21"/>
              </w:rPr>
            </w:pPr>
            <w:r>
              <w:rPr>
                <w:color w:val="000000"/>
                <w:kern w:val="0"/>
                <w:szCs w:val="21"/>
              </w:rPr>
              <w:t>应得分</w:t>
            </w:r>
          </w:p>
        </w:tc>
        <w:tc>
          <w:tcPr>
            <w:tcW w:w="544" w:type="dxa"/>
            <w:tcBorders>
              <w:top w:val="single" w:color="auto" w:sz="6" w:space="0"/>
              <w:left w:val="single" w:color="auto" w:sz="6" w:space="0"/>
              <w:bottom w:val="single" w:color="auto" w:sz="8" w:space="0"/>
              <w:right w:val="single" w:color="auto" w:sz="6" w:space="0"/>
            </w:tcBorders>
            <w:noWrap/>
            <w:tcMar>
              <w:top w:w="15" w:type="dxa"/>
              <w:left w:w="15" w:type="dxa"/>
              <w:right w:w="15" w:type="dxa"/>
            </w:tcMar>
            <w:vAlign w:val="center"/>
          </w:tcPr>
          <w:p w14:paraId="5737E28A">
            <w:pPr>
              <w:widowControl/>
              <w:jc w:val="center"/>
              <w:textAlignment w:val="center"/>
              <w:rPr>
                <w:color w:val="000000"/>
                <w:szCs w:val="21"/>
              </w:rPr>
            </w:pPr>
            <w:r>
              <w:rPr>
                <w:color w:val="000000"/>
                <w:kern w:val="0"/>
                <w:szCs w:val="21"/>
              </w:rPr>
              <w:t>实得分</w:t>
            </w:r>
          </w:p>
        </w:tc>
      </w:tr>
      <w:tr w14:paraId="1869B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59"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94D35F8">
            <w:pPr>
              <w:widowControl/>
              <w:jc w:val="center"/>
              <w:textAlignment w:val="center"/>
              <w:rPr>
                <w:color w:val="000000"/>
                <w:szCs w:val="21"/>
              </w:rPr>
            </w:pPr>
            <w:r>
              <w:rPr>
                <w:color w:val="000000"/>
                <w:kern w:val="0"/>
                <w:szCs w:val="21"/>
              </w:rPr>
              <w:t>1</w:t>
            </w:r>
          </w:p>
        </w:tc>
        <w:tc>
          <w:tcPr>
            <w:tcW w:w="457"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3B6BB46">
            <w:pPr>
              <w:widowControl/>
              <w:jc w:val="center"/>
              <w:textAlignment w:val="center"/>
              <w:rPr>
                <w:color w:val="000000"/>
                <w:szCs w:val="21"/>
              </w:rPr>
            </w:pPr>
            <w:r>
              <w:rPr>
                <w:color w:val="000000"/>
                <w:kern w:val="0"/>
                <w:szCs w:val="21"/>
              </w:rPr>
              <w:t>屋</w:t>
            </w:r>
            <w:r>
              <w:rPr>
                <w:color w:val="000000"/>
                <w:kern w:val="0"/>
                <w:szCs w:val="21"/>
              </w:rPr>
              <w:br w:type="textWrapping"/>
            </w:r>
            <w:r>
              <w:rPr>
                <w:color w:val="000000"/>
                <w:kern w:val="0"/>
                <w:szCs w:val="21"/>
              </w:rPr>
              <w:t>面</w:t>
            </w:r>
            <w:r>
              <w:rPr>
                <w:color w:val="000000"/>
                <w:kern w:val="0"/>
                <w:szCs w:val="21"/>
              </w:rPr>
              <w:br w:type="textWrapping"/>
            </w:r>
            <w:r>
              <w:rPr>
                <w:color w:val="000000"/>
                <w:kern w:val="0"/>
                <w:szCs w:val="21"/>
              </w:rPr>
              <w:t>工</w:t>
            </w:r>
            <w:r>
              <w:rPr>
                <w:color w:val="000000"/>
                <w:kern w:val="0"/>
                <w:szCs w:val="21"/>
              </w:rPr>
              <w:br w:type="textWrapping"/>
            </w:r>
            <w:r>
              <w:rPr>
                <w:color w:val="000000"/>
                <w:kern w:val="0"/>
                <w:szCs w:val="21"/>
              </w:rPr>
              <w:t>程</w:t>
            </w:r>
          </w:p>
        </w:tc>
        <w:tc>
          <w:tcPr>
            <w:tcW w:w="419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3F208E6">
            <w:pPr>
              <w:widowControl/>
              <w:jc w:val="left"/>
              <w:textAlignment w:val="center"/>
              <w:rPr>
                <w:color w:val="000000"/>
                <w:szCs w:val="21"/>
              </w:rPr>
            </w:pPr>
            <w:r>
              <w:rPr>
                <w:snapToGrid w:val="0"/>
                <w:color w:val="000000"/>
                <w:kern w:val="0"/>
                <w:szCs w:val="21"/>
              </w:rPr>
              <w:t>屋面策划及排布情况、排水组织，保护层效果</w:t>
            </w:r>
            <w:r>
              <w:rPr>
                <w:color w:val="000000"/>
                <w:kern w:val="0"/>
                <w:szCs w:val="21"/>
              </w:rPr>
              <w:t>，</w:t>
            </w:r>
            <w:r>
              <w:rPr>
                <w:snapToGrid w:val="0"/>
                <w:color w:val="000000"/>
                <w:kern w:val="0"/>
                <w:szCs w:val="21"/>
              </w:rPr>
              <w:t>不同标准的屋面细部做法的一致性</w:t>
            </w:r>
            <w:r>
              <w:rPr>
                <w:rFonts w:hint="eastAsia"/>
                <w:snapToGrid w:val="0"/>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B563553">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6E0A123">
            <w:pPr>
              <w:jc w:val="center"/>
              <w:rPr>
                <w:color w:val="000000"/>
                <w:szCs w:val="21"/>
              </w:rPr>
            </w:pPr>
            <w:r>
              <w:rPr>
                <w:rFonts w:hint="eastAsia"/>
                <w:color w:val="000000"/>
                <w:szCs w:val="21"/>
              </w:rPr>
              <w:t>5</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EFC6E43">
            <w:pPr>
              <w:rPr>
                <w:color w:val="000000"/>
                <w:szCs w:val="21"/>
              </w:rPr>
            </w:pPr>
          </w:p>
        </w:tc>
      </w:tr>
      <w:tr w14:paraId="42A17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9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1C458A9">
            <w:pPr>
              <w:widowControl/>
              <w:jc w:val="center"/>
              <w:textAlignment w:val="center"/>
              <w:rPr>
                <w:color w:val="000000"/>
                <w:szCs w:val="21"/>
              </w:rPr>
            </w:pPr>
            <w:r>
              <w:rPr>
                <w:color w:val="000000"/>
                <w:kern w:val="0"/>
                <w:szCs w:val="21"/>
              </w:rPr>
              <w:t>2</w:t>
            </w:r>
          </w:p>
        </w:tc>
        <w:tc>
          <w:tcPr>
            <w:tcW w:w="45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31AC820">
            <w:pPr>
              <w:jc w:val="center"/>
              <w:rPr>
                <w:color w:val="000000"/>
                <w:szCs w:val="21"/>
              </w:rPr>
            </w:pPr>
          </w:p>
        </w:tc>
        <w:tc>
          <w:tcPr>
            <w:tcW w:w="419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9E22823">
            <w:pPr>
              <w:widowControl/>
              <w:jc w:val="left"/>
              <w:textAlignment w:val="center"/>
              <w:rPr>
                <w:color w:val="000000"/>
                <w:szCs w:val="21"/>
              </w:rPr>
            </w:pPr>
            <w:r>
              <w:rPr>
                <w:color w:val="000000"/>
                <w:kern w:val="0"/>
                <w:szCs w:val="21"/>
              </w:rPr>
              <w:t>防水与密封</w:t>
            </w:r>
            <w:r>
              <w:rPr>
                <w:rFonts w:hint="eastAsia"/>
                <w:color w:val="000000"/>
                <w:kern w:val="0"/>
                <w:szCs w:val="21"/>
              </w:rPr>
              <w:t>：</w:t>
            </w:r>
            <w:r>
              <w:rPr>
                <w:color w:val="000000"/>
                <w:kern w:val="0"/>
                <w:szCs w:val="21"/>
              </w:rPr>
              <w:t>防水、密封，防水效果</w:t>
            </w:r>
            <w:r>
              <w:rPr>
                <w:rFonts w:hint="eastAsia"/>
                <w:color w:val="000000"/>
                <w:kern w:val="0"/>
                <w:szCs w:val="21"/>
              </w:rPr>
              <w:t>。</w:t>
            </w:r>
          </w:p>
        </w:tc>
        <w:tc>
          <w:tcPr>
            <w:tcW w:w="3135"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7FB1230">
            <w:pPr>
              <w:jc w:val="center"/>
              <w:rPr>
                <w:color w:val="000000"/>
                <w:szCs w:val="21"/>
              </w:rPr>
            </w:pP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3B908B7">
            <w:pPr>
              <w:jc w:val="center"/>
              <w:rPr>
                <w:color w:val="000000"/>
                <w:szCs w:val="21"/>
              </w:rPr>
            </w:pPr>
            <w:r>
              <w:rPr>
                <w:rFonts w:hint="eastAsia"/>
                <w:color w:val="000000"/>
                <w:szCs w:val="21"/>
              </w:rPr>
              <w:t>5</w:t>
            </w: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2D5219D">
            <w:pPr>
              <w:rPr>
                <w:color w:val="000000"/>
                <w:szCs w:val="21"/>
              </w:rPr>
            </w:pPr>
          </w:p>
        </w:tc>
      </w:tr>
      <w:tr w14:paraId="27E1A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4422E56">
            <w:pPr>
              <w:widowControl/>
              <w:jc w:val="center"/>
              <w:textAlignment w:val="center"/>
              <w:rPr>
                <w:color w:val="000000"/>
                <w:szCs w:val="21"/>
              </w:rPr>
            </w:pPr>
            <w:r>
              <w:rPr>
                <w:color w:val="000000"/>
                <w:kern w:val="0"/>
                <w:szCs w:val="21"/>
              </w:rPr>
              <w:t>3</w:t>
            </w:r>
          </w:p>
        </w:tc>
        <w:tc>
          <w:tcPr>
            <w:tcW w:w="45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FF88430">
            <w:pPr>
              <w:jc w:val="center"/>
              <w:rPr>
                <w:color w:val="000000"/>
                <w:szCs w:val="21"/>
              </w:rPr>
            </w:pPr>
          </w:p>
        </w:tc>
        <w:tc>
          <w:tcPr>
            <w:tcW w:w="419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9C62FE2">
            <w:pPr>
              <w:snapToGrid w:val="0"/>
              <w:jc w:val="left"/>
              <w:textAlignment w:val="center"/>
              <w:rPr>
                <w:color w:val="000000"/>
                <w:szCs w:val="21"/>
              </w:rPr>
            </w:pPr>
            <w:r>
              <w:rPr>
                <w:color w:val="000000"/>
                <w:kern w:val="0"/>
                <w:szCs w:val="21"/>
              </w:rPr>
              <w:t>瓦面与板面</w:t>
            </w:r>
            <w:r>
              <w:rPr>
                <w:rFonts w:hint="eastAsia"/>
                <w:color w:val="000000"/>
                <w:kern w:val="0"/>
                <w:szCs w:val="21"/>
              </w:rPr>
              <w:t>：</w:t>
            </w:r>
            <w:r>
              <w:rPr>
                <w:color w:val="000000"/>
                <w:kern w:val="0"/>
                <w:szCs w:val="21"/>
              </w:rPr>
              <w:t>瓦材、金属板、玻璃采光顶</w:t>
            </w:r>
            <w:r>
              <w:rPr>
                <w:snapToGrid w:val="0"/>
                <w:color w:val="000000"/>
                <w:kern w:val="0"/>
                <w:szCs w:val="21"/>
              </w:rPr>
              <w:t>安装</w:t>
            </w:r>
            <w:r>
              <w:rPr>
                <w:rFonts w:hint="eastAsia"/>
                <w:snapToGrid w:val="0"/>
                <w:color w:val="000000"/>
                <w:kern w:val="0"/>
                <w:szCs w:val="21"/>
              </w:rPr>
              <w:t>。</w:t>
            </w:r>
          </w:p>
        </w:tc>
        <w:tc>
          <w:tcPr>
            <w:tcW w:w="3135"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2F2DCC2">
            <w:pPr>
              <w:snapToGrid w:val="0"/>
              <w:jc w:val="left"/>
              <w:textAlignment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4C0D816">
            <w:pPr>
              <w:snapToGrid w:val="0"/>
              <w:jc w:val="center"/>
              <w:textAlignment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6958A71">
            <w:pPr>
              <w:rPr>
                <w:color w:val="000000"/>
                <w:szCs w:val="21"/>
              </w:rPr>
            </w:pPr>
          </w:p>
        </w:tc>
      </w:tr>
      <w:tr w14:paraId="3FAA3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3D2C412">
            <w:pPr>
              <w:widowControl/>
              <w:jc w:val="center"/>
              <w:textAlignment w:val="center"/>
              <w:rPr>
                <w:color w:val="000000"/>
                <w:szCs w:val="21"/>
              </w:rPr>
            </w:pPr>
            <w:r>
              <w:rPr>
                <w:color w:val="000000"/>
                <w:kern w:val="0"/>
                <w:szCs w:val="21"/>
              </w:rPr>
              <w:t>4</w:t>
            </w:r>
          </w:p>
        </w:tc>
        <w:tc>
          <w:tcPr>
            <w:tcW w:w="45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A197608">
            <w:pPr>
              <w:jc w:val="center"/>
              <w:rPr>
                <w:color w:val="000000"/>
                <w:szCs w:val="21"/>
              </w:rPr>
            </w:pPr>
          </w:p>
        </w:tc>
        <w:tc>
          <w:tcPr>
            <w:tcW w:w="419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361F58B">
            <w:pPr>
              <w:widowControl/>
              <w:jc w:val="left"/>
              <w:textAlignment w:val="center"/>
              <w:rPr>
                <w:color w:val="000000"/>
                <w:kern w:val="0"/>
                <w:szCs w:val="21"/>
              </w:rPr>
            </w:pPr>
            <w:r>
              <w:rPr>
                <w:color w:val="000000"/>
                <w:kern w:val="0"/>
                <w:szCs w:val="21"/>
              </w:rPr>
              <w:t>附属部件：</w:t>
            </w:r>
          </w:p>
          <w:p w14:paraId="2A4ACBD0">
            <w:pPr>
              <w:widowControl/>
              <w:jc w:val="left"/>
              <w:textAlignment w:val="center"/>
              <w:rPr>
                <w:color w:val="000000"/>
                <w:szCs w:val="21"/>
              </w:rPr>
            </w:pPr>
            <w:r>
              <w:rPr>
                <w:snapToGrid w:val="0"/>
                <w:color w:val="000000"/>
                <w:kern w:val="0"/>
                <w:szCs w:val="21"/>
              </w:rPr>
              <w:t>爬梯、栏杆、栈桥等</w:t>
            </w:r>
            <w:r>
              <w:rPr>
                <w:color w:val="000000"/>
                <w:kern w:val="0"/>
                <w:szCs w:val="21"/>
              </w:rPr>
              <w:t>安全措施</w:t>
            </w:r>
            <w:r>
              <w:rPr>
                <w:rFonts w:hint="eastAsia"/>
                <w:color w:val="000000"/>
                <w:kern w:val="0"/>
                <w:szCs w:val="21"/>
              </w:rPr>
              <w:t>、</w:t>
            </w:r>
            <w:r>
              <w:rPr>
                <w:color w:val="000000"/>
                <w:kern w:val="0"/>
                <w:szCs w:val="21"/>
              </w:rPr>
              <w:t>装饰效果</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FDB3ABB">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F9C896F">
            <w:pPr>
              <w:jc w:val="center"/>
              <w:rPr>
                <w:color w:val="000000"/>
                <w:szCs w:val="21"/>
              </w:rPr>
            </w:pPr>
            <w:r>
              <w:rPr>
                <w:rFonts w:hint="eastAsia"/>
                <w:color w:val="000000"/>
                <w:szCs w:val="21"/>
              </w:rPr>
              <w:t>5</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EB454D9">
            <w:pPr>
              <w:rPr>
                <w:color w:val="000000"/>
                <w:szCs w:val="21"/>
              </w:rPr>
            </w:pPr>
          </w:p>
        </w:tc>
      </w:tr>
      <w:tr w14:paraId="5C043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361885A">
            <w:pPr>
              <w:widowControl/>
              <w:jc w:val="center"/>
              <w:textAlignment w:val="center"/>
              <w:rPr>
                <w:color w:val="000000"/>
                <w:szCs w:val="21"/>
              </w:rPr>
            </w:pPr>
            <w:r>
              <w:rPr>
                <w:color w:val="000000"/>
                <w:kern w:val="0"/>
                <w:szCs w:val="21"/>
              </w:rPr>
              <w:t>5</w:t>
            </w:r>
          </w:p>
        </w:tc>
        <w:tc>
          <w:tcPr>
            <w:tcW w:w="45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8471EFE">
            <w:pPr>
              <w:jc w:val="center"/>
              <w:rPr>
                <w:color w:val="000000"/>
                <w:szCs w:val="21"/>
              </w:rPr>
            </w:pPr>
          </w:p>
        </w:tc>
        <w:tc>
          <w:tcPr>
            <w:tcW w:w="419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B23ECC2">
            <w:pPr>
              <w:widowControl/>
              <w:jc w:val="left"/>
              <w:textAlignment w:val="center"/>
              <w:rPr>
                <w:color w:val="000000"/>
                <w:kern w:val="0"/>
                <w:szCs w:val="21"/>
              </w:rPr>
            </w:pPr>
            <w:r>
              <w:rPr>
                <w:color w:val="000000"/>
                <w:kern w:val="0"/>
                <w:szCs w:val="21"/>
              </w:rPr>
              <w:t>细部：</w:t>
            </w:r>
          </w:p>
          <w:p w14:paraId="67C6267A">
            <w:pPr>
              <w:widowControl/>
              <w:jc w:val="left"/>
              <w:textAlignment w:val="center"/>
              <w:rPr>
                <w:snapToGrid w:val="0"/>
                <w:color w:val="000000"/>
                <w:kern w:val="0"/>
                <w:szCs w:val="21"/>
              </w:rPr>
            </w:pPr>
            <w:r>
              <w:rPr>
                <w:snapToGrid w:val="0"/>
                <w:color w:val="000000"/>
                <w:kern w:val="0"/>
                <w:szCs w:val="21"/>
              </w:rPr>
              <w:t>女儿墙压顶、泛水</w:t>
            </w:r>
            <w:r>
              <w:rPr>
                <w:rFonts w:hint="eastAsia"/>
                <w:snapToGrid w:val="0"/>
                <w:color w:val="000000"/>
                <w:kern w:val="0"/>
                <w:szCs w:val="21"/>
              </w:rPr>
              <w:t>构造；</w:t>
            </w:r>
          </w:p>
          <w:p w14:paraId="05BBA5F6">
            <w:pPr>
              <w:widowControl/>
              <w:jc w:val="left"/>
              <w:textAlignment w:val="center"/>
              <w:rPr>
                <w:snapToGrid w:val="0"/>
                <w:color w:val="000000"/>
                <w:kern w:val="0"/>
                <w:szCs w:val="21"/>
              </w:rPr>
            </w:pPr>
            <w:r>
              <w:rPr>
                <w:color w:val="000000"/>
                <w:kern w:val="0"/>
                <w:szCs w:val="21"/>
              </w:rPr>
              <w:t>出入口</w:t>
            </w:r>
            <w:r>
              <w:rPr>
                <w:rFonts w:hint="eastAsia"/>
                <w:snapToGrid w:val="0"/>
                <w:color w:val="000000"/>
                <w:kern w:val="0"/>
                <w:szCs w:val="21"/>
              </w:rPr>
              <w:t>雨棚</w:t>
            </w:r>
            <w:r>
              <w:rPr>
                <w:snapToGrid w:val="0"/>
                <w:color w:val="000000"/>
                <w:kern w:val="0"/>
                <w:szCs w:val="21"/>
              </w:rPr>
              <w:t>、滴水线、台阶</w:t>
            </w:r>
            <w:r>
              <w:rPr>
                <w:color w:val="000000"/>
                <w:kern w:val="0"/>
                <w:szCs w:val="21"/>
              </w:rPr>
              <w:t>、</w:t>
            </w:r>
            <w:r>
              <w:rPr>
                <w:snapToGrid w:val="0"/>
                <w:color w:val="000000"/>
                <w:kern w:val="0"/>
                <w:szCs w:val="21"/>
              </w:rPr>
              <w:t>上人孔</w:t>
            </w:r>
            <w:r>
              <w:rPr>
                <w:rFonts w:hint="eastAsia"/>
                <w:snapToGrid w:val="0"/>
                <w:color w:val="000000"/>
                <w:kern w:val="0"/>
                <w:szCs w:val="21"/>
              </w:rPr>
              <w:t>构造；</w:t>
            </w:r>
          </w:p>
          <w:p w14:paraId="256D5D79">
            <w:pPr>
              <w:widowControl/>
              <w:jc w:val="left"/>
              <w:textAlignment w:val="center"/>
              <w:rPr>
                <w:color w:val="000000"/>
                <w:kern w:val="0"/>
                <w:szCs w:val="21"/>
              </w:rPr>
            </w:pPr>
            <w:r>
              <w:rPr>
                <w:color w:val="000000"/>
                <w:kern w:val="0"/>
                <w:szCs w:val="21"/>
              </w:rPr>
              <w:t>屋脊、檐口、檐沟、天沟</w:t>
            </w:r>
            <w:r>
              <w:rPr>
                <w:rFonts w:hint="eastAsia"/>
                <w:color w:val="000000"/>
                <w:kern w:val="0"/>
                <w:szCs w:val="21"/>
              </w:rPr>
              <w:t>构造；</w:t>
            </w:r>
          </w:p>
          <w:p w14:paraId="0A64A92B">
            <w:pPr>
              <w:widowControl/>
              <w:jc w:val="left"/>
              <w:textAlignment w:val="center"/>
              <w:rPr>
                <w:color w:val="000000"/>
                <w:szCs w:val="21"/>
              </w:rPr>
            </w:pPr>
            <w:r>
              <w:rPr>
                <w:color w:val="000000"/>
                <w:kern w:val="0"/>
                <w:szCs w:val="21"/>
              </w:rPr>
              <w:t>水落口、水落管、排气孔、伸出屋面管道</w:t>
            </w:r>
            <w:r>
              <w:rPr>
                <w:rFonts w:hint="eastAsia"/>
                <w:color w:val="000000"/>
                <w:kern w:val="0"/>
                <w:szCs w:val="21"/>
              </w:rPr>
              <w:t>构造；</w:t>
            </w:r>
            <w:r>
              <w:rPr>
                <w:color w:val="000000"/>
                <w:kern w:val="0"/>
                <w:szCs w:val="21"/>
              </w:rPr>
              <w:t>变形缝</w:t>
            </w:r>
            <w:r>
              <w:rPr>
                <w:rFonts w:hint="eastAsia"/>
                <w:color w:val="000000"/>
                <w:kern w:val="0"/>
                <w:szCs w:val="21"/>
              </w:rPr>
              <w:t>、</w:t>
            </w:r>
            <w:r>
              <w:rPr>
                <w:color w:val="000000"/>
                <w:kern w:val="0"/>
                <w:szCs w:val="21"/>
              </w:rPr>
              <w:t>设备基础等构造</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C803757">
            <w:pPr>
              <w:jc w:val="center"/>
              <w:rPr>
                <w:color w:val="000000"/>
                <w:szCs w:val="21"/>
              </w:rPr>
            </w:pPr>
          </w:p>
          <w:p w14:paraId="0BB87DC5">
            <w:pPr>
              <w:jc w:val="center"/>
              <w:rPr>
                <w:color w:val="000000"/>
                <w:szCs w:val="21"/>
              </w:rPr>
            </w:pPr>
          </w:p>
          <w:p w14:paraId="63D3B24C">
            <w:pPr>
              <w:jc w:val="center"/>
              <w:rPr>
                <w:color w:val="000000"/>
                <w:szCs w:val="21"/>
              </w:rPr>
            </w:pPr>
          </w:p>
          <w:p w14:paraId="1688FB8D">
            <w:pPr>
              <w:jc w:val="center"/>
              <w:rPr>
                <w:color w:val="000000"/>
                <w:szCs w:val="21"/>
              </w:rPr>
            </w:pPr>
          </w:p>
          <w:p w14:paraId="6428BE82">
            <w:pPr>
              <w:jc w:val="center"/>
              <w:rPr>
                <w:color w:val="000000"/>
                <w:szCs w:val="21"/>
              </w:rPr>
            </w:pPr>
          </w:p>
          <w:p w14:paraId="361BF6A8">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55B333D">
            <w:pPr>
              <w:jc w:val="center"/>
              <w:rPr>
                <w:color w:val="000000"/>
                <w:szCs w:val="21"/>
              </w:rPr>
            </w:pPr>
            <w:r>
              <w:rPr>
                <w:rFonts w:hint="eastAsia"/>
                <w:color w:val="000000"/>
                <w:szCs w:val="21"/>
              </w:rPr>
              <w:t>10</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0EC47D1">
            <w:pPr>
              <w:rPr>
                <w:color w:val="000000"/>
                <w:szCs w:val="21"/>
              </w:rPr>
            </w:pPr>
          </w:p>
        </w:tc>
      </w:tr>
      <w:tr w14:paraId="76C19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EBA1D45">
            <w:pPr>
              <w:widowControl/>
              <w:jc w:val="center"/>
              <w:textAlignment w:val="center"/>
              <w:rPr>
                <w:color w:val="000000"/>
                <w:szCs w:val="21"/>
              </w:rPr>
            </w:pPr>
            <w:r>
              <w:rPr>
                <w:color w:val="000000"/>
                <w:kern w:val="0"/>
                <w:szCs w:val="21"/>
              </w:rPr>
              <w:t>7</w:t>
            </w:r>
          </w:p>
        </w:tc>
        <w:tc>
          <w:tcPr>
            <w:tcW w:w="457"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5CE260A">
            <w:pPr>
              <w:widowControl/>
              <w:jc w:val="center"/>
              <w:textAlignment w:val="center"/>
              <w:rPr>
                <w:color w:val="000000"/>
                <w:szCs w:val="21"/>
              </w:rPr>
            </w:pPr>
            <w:r>
              <w:rPr>
                <w:color w:val="000000"/>
                <w:kern w:val="0"/>
                <w:szCs w:val="21"/>
              </w:rPr>
              <w:t>室</w:t>
            </w:r>
            <w:r>
              <w:rPr>
                <w:color w:val="000000"/>
                <w:kern w:val="0"/>
                <w:szCs w:val="21"/>
              </w:rPr>
              <w:br w:type="textWrapping"/>
            </w:r>
            <w:r>
              <w:rPr>
                <w:color w:val="000000"/>
                <w:kern w:val="0"/>
                <w:szCs w:val="21"/>
              </w:rPr>
              <w:t>外</w:t>
            </w:r>
            <w:r>
              <w:rPr>
                <w:color w:val="000000"/>
                <w:kern w:val="0"/>
                <w:szCs w:val="21"/>
              </w:rPr>
              <w:br w:type="textWrapping"/>
            </w:r>
            <w:r>
              <w:rPr>
                <w:color w:val="000000"/>
                <w:kern w:val="0"/>
                <w:szCs w:val="21"/>
              </w:rPr>
              <w:t>装</w:t>
            </w:r>
            <w:r>
              <w:rPr>
                <w:color w:val="000000"/>
                <w:kern w:val="0"/>
                <w:szCs w:val="21"/>
              </w:rPr>
              <w:br w:type="textWrapping"/>
            </w:r>
            <w:r>
              <w:rPr>
                <w:color w:val="000000"/>
                <w:kern w:val="0"/>
                <w:szCs w:val="21"/>
              </w:rPr>
              <w:t>饰</w:t>
            </w:r>
            <w:r>
              <w:rPr>
                <w:color w:val="000000"/>
                <w:kern w:val="0"/>
                <w:szCs w:val="21"/>
              </w:rPr>
              <w:br w:type="textWrapping"/>
            </w:r>
            <w:r>
              <w:rPr>
                <w:color w:val="000000"/>
                <w:kern w:val="0"/>
                <w:szCs w:val="21"/>
              </w:rPr>
              <w:t>装</w:t>
            </w:r>
            <w:r>
              <w:rPr>
                <w:color w:val="000000"/>
                <w:kern w:val="0"/>
                <w:szCs w:val="21"/>
              </w:rPr>
              <w:br w:type="textWrapping"/>
            </w:r>
            <w:r>
              <w:rPr>
                <w:color w:val="000000"/>
                <w:kern w:val="0"/>
                <w:szCs w:val="21"/>
              </w:rPr>
              <w:t>修</w:t>
            </w:r>
            <w:r>
              <w:rPr>
                <w:color w:val="000000"/>
                <w:kern w:val="0"/>
                <w:szCs w:val="21"/>
              </w:rPr>
              <w:br w:type="textWrapping"/>
            </w:r>
            <w:r>
              <w:rPr>
                <w:color w:val="000000"/>
                <w:kern w:val="0"/>
                <w:szCs w:val="21"/>
              </w:rPr>
              <w:t>工</w:t>
            </w:r>
            <w:r>
              <w:rPr>
                <w:color w:val="000000"/>
                <w:kern w:val="0"/>
                <w:szCs w:val="21"/>
              </w:rPr>
              <w:br w:type="textWrapping"/>
            </w:r>
            <w:r>
              <w:rPr>
                <w:color w:val="000000"/>
                <w:kern w:val="0"/>
                <w:szCs w:val="21"/>
              </w:rPr>
              <w:t>程</w:t>
            </w:r>
          </w:p>
        </w:tc>
        <w:tc>
          <w:tcPr>
            <w:tcW w:w="419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0795061">
            <w:pPr>
              <w:widowControl/>
              <w:jc w:val="left"/>
              <w:textAlignment w:val="center"/>
              <w:rPr>
                <w:color w:val="000000"/>
                <w:kern w:val="0"/>
                <w:szCs w:val="21"/>
              </w:rPr>
            </w:pPr>
            <w:r>
              <w:rPr>
                <w:color w:val="000000"/>
                <w:kern w:val="0"/>
                <w:szCs w:val="21"/>
              </w:rPr>
              <w:t>外墙：</w:t>
            </w:r>
          </w:p>
          <w:p w14:paraId="7D6095CE">
            <w:pPr>
              <w:widowControl/>
              <w:jc w:val="left"/>
              <w:textAlignment w:val="center"/>
              <w:rPr>
                <w:snapToGrid w:val="0"/>
                <w:color w:val="000000"/>
                <w:kern w:val="0"/>
                <w:szCs w:val="21"/>
              </w:rPr>
            </w:pPr>
            <w:r>
              <w:rPr>
                <w:color w:val="000000"/>
                <w:kern w:val="0"/>
                <w:szCs w:val="21"/>
              </w:rPr>
              <w:t>排布、</w:t>
            </w:r>
            <w:r>
              <w:rPr>
                <w:snapToGrid w:val="0"/>
                <w:color w:val="000000"/>
                <w:kern w:val="0"/>
                <w:szCs w:val="21"/>
              </w:rPr>
              <w:t>平整度、垂直度、阴阳角的方正</w:t>
            </w:r>
            <w:r>
              <w:rPr>
                <w:rFonts w:hint="eastAsia"/>
                <w:snapToGrid w:val="0"/>
                <w:color w:val="000000"/>
                <w:kern w:val="0"/>
                <w:szCs w:val="21"/>
              </w:rPr>
              <w:t>；</w:t>
            </w:r>
          </w:p>
          <w:p w14:paraId="1CEB4D70">
            <w:pPr>
              <w:widowControl/>
              <w:jc w:val="left"/>
              <w:textAlignment w:val="center"/>
              <w:rPr>
                <w:color w:val="000000"/>
                <w:szCs w:val="21"/>
              </w:rPr>
            </w:pPr>
            <w:r>
              <w:rPr>
                <w:color w:val="000000"/>
                <w:kern w:val="0"/>
                <w:szCs w:val="21"/>
              </w:rPr>
              <w:t>色差</w:t>
            </w:r>
            <w:r>
              <w:rPr>
                <w:rFonts w:hint="eastAsia"/>
                <w:color w:val="000000"/>
                <w:kern w:val="0"/>
                <w:szCs w:val="21"/>
              </w:rPr>
              <w:t>、</w:t>
            </w:r>
            <w:r>
              <w:rPr>
                <w:snapToGrid w:val="0"/>
                <w:color w:val="000000"/>
                <w:kern w:val="0"/>
                <w:szCs w:val="21"/>
              </w:rPr>
              <w:t>变形、渗漏、开裂控制</w:t>
            </w:r>
            <w:r>
              <w:rPr>
                <w:rFonts w:hint="eastAsia"/>
                <w:snapToGrid w:val="0"/>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EAD3951">
            <w:pPr>
              <w:jc w:val="center"/>
              <w:rPr>
                <w:rFonts w:eastAsia="仿宋_GB2312"/>
                <w:color w:val="000000"/>
                <w:szCs w:val="21"/>
              </w:rPr>
            </w:pP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C68B654">
            <w:pPr>
              <w:jc w:val="center"/>
              <w:rPr>
                <w:rFonts w:eastAsia="仿宋_GB2312"/>
                <w:color w:val="000000"/>
                <w:szCs w:val="21"/>
              </w:rPr>
            </w:pPr>
            <w:r>
              <w:rPr>
                <w:rFonts w:hint="eastAsia"/>
                <w:color w:val="000000"/>
                <w:szCs w:val="21"/>
              </w:rPr>
              <w:t>10</w:t>
            </w: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9C6DCF2">
            <w:pPr>
              <w:rPr>
                <w:color w:val="000000"/>
                <w:szCs w:val="21"/>
              </w:rPr>
            </w:pPr>
          </w:p>
        </w:tc>
      </w:tr>
      <w:tr w14:paraId="04627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9"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57622CF">
            <w:pPr>
              <w:widowControl/>
              <w:jc w:val="center"/>
              <w:textAlignment w:val="center"/>
              <w:rPr>
                <w:color w:val="000000"/>
                <w:szCs w:val="21"/>
              </w:rPr>
            </w:pPr>
            <w:r>
              <w:rPr>
                <w:color w:val="000000"/>
                <w:kern w:val="0"/>
                <w:szCs w:val="21"/>
              </w:rPr>
              <w:t>8</w:t>
            </w:r>
          </w:p>
        </w:tc>
        <w:tc>
          <w:tcPr>
            <w:tcW w:w="45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886387E">
            <w:pPr>
              <w:jc w:val="center"/>
              <w:rPr>
                <w:color w:val="000000"/>
                <w:szCs w:val="21"/>
              </w:rPr>
            </w:pPr>
          </w:p>
        </w:tc>
        <w:tc>
          <w:tcPr>
            <w:tcW w:w="419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7FF920F">
            <w:pPr>
              <w:widowControl/>
              <w:jc w:val="left"/>
              <w:textAlignment w:val="center"/>
              <w:rPr>
                <w:color w:val="000000"/>
                <w:kern w:val="0"/>
                <w:szCs w:val="21"/>
              </w:rPr>
            </w:pPr>
            <w:r>
              <w:rPr>
                <w:color w:val="000000"/>
                <w:kern w:val="0"/>
                <w:szCs w:val="21"/>
              </w:rPr>
              <w:t>幕墙：</w:t>
            </w:r>
          </w:p>
          <w:p w14:paraId="466A7647">
            <w:pPr>
              <w:widowControl/>
              <w:jc w:val="left"/>
              <w:textAlignment w:val="center"/>
              <w:rPr>
                <w:color w:val="000000"/>
                <w:kern w:val="0"/>
                <w:szCs w:val="21"/>
              </w:rPr>
            </w:pPr>
            <w:r>
              <w:rPr>
                <w:color w:val="000000"/>
                <w:kern w:val="0"/>
                <w:szCs w:val="21"/>
              </w:rPr>
              <w:t>安装、连接、胶缝</w:t>
            </w:r>
            <w:r>
              <w:rPr>
                <w:rFonts w:hint="eastAsia"/>
                <w:color w:val="000000"/>
                <w:kern w:val="0"/>
                <w:szCs w:val="21"/>
              </w:rPr>
              <w:t>等</w:t>
            </w:r>
            <w:r>
              <w:rPr>
                <w:color w:val="000000"/>
                <w:kern w:val="0"/>
                <w:szCs w:val="21"/>
              </w:rPr>
              <w:t>构造</w:t>
            </w:r>
            <w:r>
              <w:rPr>
                <w:rFonts w:hint="eastAsia"/>
                <w:color w:val="000000"/>
                <w:kern w:val="0"/>
                <w:szCs w:val="21"/>
              </w:rPr>
              <w:t>；</w:t>
            </w:r>
          </w:p>
          <w:p w14:paraId="575B578D">
            <w:pPr>
              <w:widowControl/>
              <w:jc w:val="left"/>
              <w:textAlignment w:val="center"/>
              <w:rPr>
                <w:color w:val="000000"/>
                <w:szCs w:val="21"/>
              </w:rPr>
            </w:pPr>
            <w:r>
              <w:rPr>
                <w:color w:val="000000"/>
                <w:kern w:val="0"/>
                <w:szCs w:val="21"/>
              </w:rPr>
              <w:t>平整、排布、层间防火构造</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4A4C7C4">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EAAD43B">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E1ACAA4">
            <w:pPr>
              <w:rPr>
                <w:color w:val="000000"/>
                <w:szCs w:val="21"/>
              </w:rPr>
            </w:pPr>
          </w:p>
        </w:tc>
      </w:tr>
      <w:tr w14:paraId="47DAD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29"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9EAA76F">
            <w:pPr>
              <w:widowControl/>
              <w:jc w:val="center"/>
              <w:textAlignment w:val="center"/>
              <w:rPr>
                <w:color w:val="000000"/>
                <w:szCs w:val="21"/>
              </w:rPr>
            </w:pPr>
            <w:r>
              <w:rPr>
                <w:color w:val="000000"/>
                <w:kern w:val="0"/>
                <w:szCs w:val="21"/>
              </w:rPr>
              <w:t>9</w:t>
            </w:r>
          </w:p>
        </w:tc>
        <w:tc>
          <w:tcPr>
            <w:tcW w:w="45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948B8AA">
            <w:pPr>
              <w:jc w:val="center"/>
              <w:rPr>
                <w:color w:val="000000"/>
                <w:szCs w:val="21"/>
              </w:rPr>
            </w:pPr>
          </w:p>
        </w:tc>
        <w:tc>
          <w:tcPr>
            <w:tcW w:w="419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D6D3F28">
            <w:pPr>
              <w:widowControl/>
              <w:jc w:val="left"/>
              <w:textAlignment w:val="center"/>
              <w:rPr>
                <w:color w:val="000000"/>
                <w:kern w:val="0"/>
                <w:szCs w:val="21"/>
              </w:rPr>
            </w:pPr>
            <w:r>
              <w:rPr>
                <w:color w:val="000000"/>
                <w:kern w:val="0"/>
                <w:szCs w:val="21"/>
              </w:rPr>
              <w:t>室外：</w:t>
            </w:r>
          </w:p>
          <w:p w14:paraId="48F7FBB6">
            <w:pPr>
              <w:widowControl/>
              <w:jc w:val="left"/>
              <w:textAlignment w:val="center"/>
              <w:rPr>
                <w:color w:val="000000"/>
                <w:kern w:val="0"/>
                <w:szCs w:val="21"/>
              </w:rPr>
            </w:pPr>
            <w:r>
              <w:rPr>
                <w:color w:val="000000"/>
                <w:kern w:val="0"/>
                <w:szCs w:val="21"/>
              </w:rPr>
              <w:t>回填及散水、台阶等沉降控制；</w:t>
            </w:r>
          </w:p>
          <w:p w14:paraId="1FBA63AD">
            <w:pPr>
              <w:widowControl/>
              <w:jc w:val="left"/>
              <w:textAlignment w:val="center"/>
              <w:rPr>
                <w:color w:val="000000"/>
                <w:kern w:val="0"/>
                <w:szCs w:val="21"/>
              </w:rPr>
            </w:pPr>
            <w:r>
              <w:rPr>
                <w:color w:val="000000"/>
                <w:kern w:val="0"/>
                <w:szCs w:val="21"/>
              </w:rPr>
              <w:t>主体结构与附属工程（裙房、车道等）连接质量；</w:t>
            </w:r>
          </w:p>
          <w:p w14:paraId="13766C0C">
            <w:pPr>
              <w:widowControl/>
              <w:jc w:val="left"/>
              <w:textAlignment w:val="center"/>
              <w:rPr>
                <w:color w:val="000000"/>
                <w:szCs w:val="21"/>
              </w:rPr>
            </w:pPr>
            <w:r>
              <w:rPr>
                <w:color w:val="000000"/>
                <w:kern w:val="0"/>
                <w:szCs w:val="21"/>
              </w:rPr>
              <w:t>室外广场、道路及附属设施施工质量</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D8FEB8A">
            <w:pPr>
              <w:snapToGrid w:val="0"/>
              <w:jc w:val="left"/>
              <w:textAlignment w:val="center"/>
              <w:rPr>
                <w:snapToGrid w:val="0"/>
                <w:color w:val="000000"/>
                <w:kern w:val="0"/>
                <w:szCs w:val="21"/>
              </w:rPr>
            </w:pPr>
          </w:p>
          <w:p w14:paraId="46E69984">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DAA69D1">
            <w:pPr>
              <w:jc w:val="center"/>
              <w:rPr>
                <w:color w:val="000000"/>
                <w:szCs w:val="21"/>
              </w:rPr>
            </w:pPr>
            <w:r>
              <w:rPr>
                <w:rFonts w:hint="eastAsia"/>
                <w:color w:val="000000"/>
                <w:szCs w:val="21"/>
              </w:rPr>
              <w:t>5</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1B395D9">
            <w:pPr>
              <w:rPr>
                <w:color w:val="000000"/>
                <w:szCs w:val="21"/>
              </w:rPr>
            </w:pPr>
          </w:p>
        </w:tc>
      </w:tr>
      <w:tr w14:paraId="20483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2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0D7EBF0">
            <w:pPr>
              <w:widowControl/>
              <w:jc w:val="center"/>
              <w:textAlignment w:val="center"/>
              <w:rPr>
                <w:color w:val="000000"/>
                <w:szCs w:val="21"/>
              </w:rPr>
            </w:pPr>
            <w:r>
              <w:rPr>
                <w:color w:val="000000"/>
                <w:kern w:val="0"/>
                <w:szCs w:val="21"/>
              </w:rPr>
              <w:t>10</w:t>
            </w:r>
          </w:p>
        </w:tc>
        <w:tc>
          <w:tcPr>
            <w:tcW w:w="45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A45F892">
            <w:pPr>
              <w:jc w:val="center"/>
              <w:rPr>
                <w:color w:val="000000"/>
                <w:szCs w:val="21"/>
              </w:rPr>
            </w:pPr>
          </w:p>
        </w:tc>
        <w:tc>
          <w:tcPr>
            <w:tcW w:w="419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7CC2EF9">
            <w:pPr>
              <w:widowControl/>
              <w:jc w:val="left"/>
              <w:textAlignment w:val="center"/>
              <w:rPr>
                <w:color w:val="000000"/>
                <w:kern w:val="0"/>
                <w:szCs w:val="21"/>
              </w:rPr>
            </w:pPr>
            <w:r>
              <w:rPr>
                <w:color w:val="000000"/>
                <w:kern w:val="0"/>
                <w:szCs w:val="21"/>
              </w:rPr>
              <w:t>功能：</w:t>
            </w:r>
          </w:p>
          <w:p w14:paraId="17399C67">
            <w:pPr>
              <w:widowControl/>
              <w:jc w:val="left"/>
              <w:textAlignment w:val="center"/>
              <w:rPr>
                <w:color w:val="000000"/>
                <w:kern w:val="0"/>
                <w:szCs w:val="21"/>
              </w:rPr>
            </w:pPr>
            <w:r>
              <w:rPr>
                <w:color w:val="000000"/>
                <w:kern w:val="0"/>
                <w:szCs w:val="21"/>
              </w:rPr>
              <w:t>无障碍疏散、避难、防风、防滑</w:t>
            </w:r>
            <w:r>
              <w:rPr>
                <w:rFonts w:hint="eastAsia"/>
                <w:color w:val="000000"/>
                <w:kern w:val="0"/>
                <w:szCs w:val="21"/>
              </w:rPr>
              <w:t>措施；</w:t>
            </w:r>
          </w:p>
          <w:p w14:paraId="285E1B80">
            <w:pPr>
              <w:widowControl/>
              <w:jc w:val="left"/>
              <w:textAlignment w:val="center"/>
              <w:rPr>
                <w:color w:val="000000"/>
                <w:szCs w:val="21"/>
              </w:rPr>
            </w:pPr>
            <w:r>
              <w:rPr>
                <w:color w:val="000000"/>
                <w:kern w:val="0"/>
                <w:szCs w:val="21"/>
              </w:rPr>
              <w:t>外墙、幕墙、门窗防水效果</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BA0C9F2">
            <w:pPr>
              <w:rPr>
                <w:color w:val="000000"/>
                <w:szCs w:val="21"/>
              </w:rPr>
            </w:pPr>
          </w:p>
        </w:tc>
        <w:tc>
          <w:tcPr>
            <w:tcW w:w="544"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69317F1">
            <w:pPr>
              <w:jc w:val="center"/>
              <w:rPr>
                <w:color w:val="000000"/>
                <w:szCs w:val="21"/>
              </w:rPr>
            </w:pPr>
            <w:r>
              <w:rPr>
                <w:rFonts w:hint="eastAsia"/>
                <w:color w:val="000000"/>
                <w:szCs w:val="21"/>
              </w:rPr>
              <w:t>5</w:t>
            </w:r>
          </w:p>
        </w:tc>
        <w:tc>
          <w:tcPr>
            <w:tcW w:w="544"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F33F102">
            <w:pPr>
              <w:rPr>
                <w:color w:val="000000"/>
                <w:szCs w:val="21"/>
              </w:rPr>
            </w:pPr>
          </w:p>
        </w:tc>
      </w:tr>
      <w:tr w14:paraId="1BB80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CA6C97B">
            <w:pPr>
              <w:widowControl/>
              <w:jc w:val="center"/>
              <w:textAlignment w:val="center"/>
              <w:rPr>
                <w:color w:val="000000"/>
                <w:szCs w:val="21"/>
              </w:rPr>
            </w:pPr>
            <w:r>
              <w:rPr>
                <w:color w:val="000000"/>
                <w:kern w:val="0"/>
                <w:szCs w:val="21"/>
              </w:rPr>
              <w:t>11</w:t>
            </w:r>
          </w:p>
        </w:tc>
        <w:tc>
          <w:tcPr>
            <w:tcW w:w="45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F8C5AB1">
            <w:pPr>
              <w:jc w:val="center"/>
              <w:rPr>
                <w:color w:val="000000"/>
                <w:szCs w:val="21"/>
              </w:rPr>
            </w:pPr>
          </w:p>
        </w:tc>
        <w:tc>
          <w:tcPr>
            <w:tcW w:w="419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C00EC77">
            <w:pPr>
              <w:widowControl/>
              <w:jc w:val="left"/>
              <w:textAlignment w:val="center"/>
              <w:rPr>
                <w:color w:val="000000"/>
                <w:kern w:val="0"/>
                <w:szCs w:val="21"/>
              </w:rPr>
            </w:pPr>
            <w:r>
              <w:rPr>
                <w:color w:val="000000"/>
                <w:kern w:val="0"/>
                <w:szCs w:val="21"/>
              </w:rPr>
              <w:t>附属部件：</w:t>
            </w:r>
          </w:p>
          <w:p w14:paraId="0D258240">
            <w:pPr>
              <w:widowControl/>
              <w:jc w:val="left"/>
              <w:textAlignment w:val="center"/>
              <w:rPr>
                <w:color w:val="000000"/>
                <w:kern w:val="0"/>
                <w:szCs w:val="21"/>
              </w:rPr>
            </w:pPr>
            <w:r>
              <w:rPr>
                <w:color w:val="000000"/>
                <w:kern w:val="0"/>
                <w:szCs w:val="21"/>
              </w:rPr>
              <w:t>阳台、</w:t>
            </w:r>
            <w:r>
              <w:rPr>
                <w:rFonts w:hint="eastAsia"/>
                <w:color w:val="000000"/>
                <w:kern w:val="0"/>
                <w:szCs w:val="21"/>
              </w:rPr>
              <w:t>雨棚</w:t>
            </w:r>
            <w:r>
              <w:rPr>
                <w:color w:val="000000"/>
                <w:kern w:val="0"/>
                <w:szCs w:val="21"/>
              </w:rPr>
              <w:t>、连廊</w:t>
            </w:r>
            <w:r>
              <w:rPr>
                <w:rFonts w:hint="eastAsia"/>
                <w:color w:val="000000"/>
                <w:kern w:val="0"/>
                <w:szCs w:val="21"/>
              </w:rPr>
              <w:t>；</w:t>
            </w:r>
          </w:p>
          <w:p w14:paraId="5D49B4AE">
            <w:pPr>
              <w:widowControl/>
              <w:jc w:val="left"/>
              <w:textAlignment w:val="center"/>
              <w:rPr>
                <w:color w:val="000000"/>
                <w:szCs w:val="21"/>
              </w:rPr>
            </w:pPr>
            <w:r>
              <w:rPr>
                <w:color w:val="000000"/>
                <w:kern w:val="0"/>
                <w:szCs w:val="21"/>
              </w:rPr>
              <w:t>构造所用钢、砼、合成构件安装，装饰效果</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7C29934">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204988">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3C844FE">
            <w:pPr>
              <w:rPr>
                <w:color w:val="000000"/>
                <w:szCs w:val="21"/>
              </w:rPr>
            </w:pPr>
          </w:p>
        </w:tc>
      </w:tr>
      <w:tr w14:paraId="33EB3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48DB3BB">
            <w:pPr>
              <w:widowControl/>
              <w:jc w:val="center"/>
              <w:textAlignment w:val="center"/>
              <w:rPr>
                <w:color w:val="000000"/>
                <w:szCs w:val="21"/>
              </w:rPr>
            </w:pPr>
            <w:r>
              <w:rPr>
                <w:color w:val="000000"/>
                <w:kern w:val="0"/>
                <w:szCs w:val="21"/>
              </w:rPr>
              <w:t>12</w:t>
            </w:r>
          </w:p>
        </w:tc>
        <w:tc>
          <w:tcPr>
            <w:tcW w:w="45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8A2A4E2">
            <w:pPr>
              <w:jc w:val="center"/>
              <w:rPr>
                <w:color w:val="000000"/>
                <w:szCs w:val="21"/>
              </w:rPr>
            </w:pPr>
          </w:p>
        </w:tc>
        <w:tc>
          <w:tcPr>
            <w:tcW w:w="419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09481EC">
            <w:pPr>
              <w:widowControl/>
              <w:jc w:val="left"/>
              <w:textAlignment w:val="center"/>
              <w:rPr>
                <w:color w:val="000000"/>
                <w:kern w:val="0"/>
                <w:szCs w:val="21"/>
              </w:rPr>
            </w:pPr>
            <w:r>
              <w:rPr>
                <w:color w:val="000000"/>
                <w:kern w:val="0"/>
                <w:szCs w:val="21"/>
              </w:rPr>
              <w:t>细部：</w:t>
            </w:r>
          </w:p>
          <w:p w14:paraId="5A759C1A">
            <w:pPr>
              <w:widowControl/>
              <w:jc w:val="left"/>
              <w:textAlignment w:val="center"/>
              <w:rPr>
                <w:color w:val="000000"/>
                <w:szCs w:val="21"/>
              </w:rPr>
            </w:pPr>
            <w:r>
              <w:rPr>
                <w:snapToGrid w:val="0"/>
                <w:color w:val="000000"/>
                <w:kern w:val="0"/>
                <w:szCs w:val="21"/>
              </w:rPr>
              <w:t>分格缝、变形缝、滴水、胶缝、勾缝</w:t>
            </w:r>
            <w:r>
              <w:rPr>
                <w:rFonts w:hint="eastAsia"/>
                <w:snapToGrid w:val="0"/>
                <w:color w:val="000000"/>
                <w:kern w:val="0"/>
                <w:szCs w:val="21"/>
              </w:rPr>
              <w:t>构造及效果；</w:t>
            </w:r>
            <w:r>
              <w:rPr>
                <w:snapToGrid w:val="0"/>
                <w:color w:val="000000"/>
                <w:kern w:val="0"/>
                <w:szCs w:val="21"/>
              </w:rPr>
              <w:t>不同材料的分界、分色处理；</w:t>
            </w:r>
            <w:r>
              <w:rPr>
                <w:color w:val="000000"/>
                <w:kern w:val="0"/>
                <w:szCs w:val="21"/>
              </w:rPr>
              <w:t>沉降观测点设置</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2CFB25B">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262B957">
            <w:pPr>
              <w:jc w:val="center"/>
              <w:rPr>
                <w:color w:val="000000"/>
                <w:szCs w:val="21"/>
              </w:rPr>
            </w:pPr>
            <w:r>
              <w:rPr>
                <w:rFonts w:hint="eastAsia"/>
                <w:color w:val="000000"/>
                <w:szCs w:val="21"/>
              </w:rPr>
              <w:t>5</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8D50FAE">
            <w:pPr>
              <w:rPr>
                <w:color w:val="000000"/>
                <w:szCs w:val="21"/>
              </w:rPr>
            </w:pPr>
          </w:p>
        </w:tc>
      </w:tr>
    </w:tbl>
    <w:p w14:paraId="3145BD84">
      <w:pPr>
        <w:widowControl/>
        <w:jc w:val="center"/>
        <w:textAlignment w:val="center"/>
        <w:outlineLvl w:val="2"/>
        <w:rPr>
          <w:rFonts w:eastAsia="黑体"/>
          <w:color w:val="000000"/>
          <w:kern w:val="0"/>
          <w:sz w:val="24"/>
        </w:rPr>
      </w:pPr>
      <w:r>
        <w:rPr>
          <w:color w:val="000000"/>
          <w:kern w:val="0"/>
          <w:sz w:val="24"/>
        </w:rPr>
        <w:br w:type="page"/>
      </w:r>
      <w:bookmarkStart w:id="654" w:name="_Toc25234"/>
      <w:bookmarkStart w:id="655" w:name="_Toc20076"/>
      <w:bookmarkStart w:id="656" w:name="_Toc17461"/>
      <w:bookmarkStart w:id="657" w:name="_Toc27998"/>
      <w:bookmarkStart w:id="658" w:name="_Toc1789"/>
      <w:bookmarkStart w:id="659" w:name="_Toc14355"/>
      <w:bookmarkStart w:id="660" w:name="_Toc14452"/>
      <w:bookmarkStart w:id="661" w:name="_Toc24296"/>
      <w:bookmarkStart w:id="662" w:name="_Toc31891"/>
      <w:bookmarkStart w:id="663" w:name="_Toc14039"/>
      <w:bookmarkStart w:id="664" w:name="_Toc29858"/>
      <w:bookmarkStart w:id="665" w:name="_Toc20085"/>
      <w:bookmarkStart w:id="666" w:name="_Toc22570"/>
      <w:bookmarkStart w:id="667" w:name="_Toc18202"/>
      <w:r>
        <w:rPr>
          <w:rFonts w:eastAsia="黑体"/>
          <w:color w:val="000000"/>
          <w:kern w:val="0"/>
          <w:sz w:val="24"/>
        </w:rPr>
        <w:t>续表A.0.1</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04D3FB">
      <w:pPr>
        <w:widowControl/>
        <w:spacing w:after="156" w:afterLines="50"/>
        <w:jc w:val="left"/>
        <w:textAlignment w:val="center"/>
        <w:rPr>
          <w:color w:val="000000"/>
        </w:rPr>
      </w:pPr>
      <w:r>
        <w:rPr>
          <w:color w:val="000000"/>
          <w:kern w:val="0"/>
          <w:sz w:val="24"/>
        </w:rPr>
        <w:t>工程名称：                             施工单位</w:t>
      </w:r>
      <w:r>
        <w:rPr>
          <w:rFonts w:hint="eastAsia"/>
          <w:color w:val="000000"/>
          <w:kern w:val="0"/>
          <w:sz w:val="24"/>
        </w:rPr>
        <w:t>：</w:t>
      </w:r>
    </w:p>
    <w:tbl>
      <w:tblPr>
        <w:tblStyle w:val="25"/>
        <w:tblW w:w="9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487"/>
        <w:gridCol w:w="4148"/>
        <w:gridCol w:w="3150"/>
        <w:gridCol w:w="544"/>
        <w:gridCol w:w="544"/>
      </w:tblGrid>
      <w:tr w14:paraId="3EE4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1"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63DA2408">
            <w:pPr>
              <w:widowControl/>
              <w:jc w:val="center"/>
              <w:textAlignment w:val="center"/>
              <w:rPr>
                <w:color w:val="000000"/>
                <w:szCs w:val="21"/>
              </w:rPr>
            </w:pPr>
            <w:r>
              <w:rPr>
                <w:color w:val="000000"/>
                <w:kern w:val="0"/>
                <w:szCs w:val="21"/>
              </w:rPr>
              <w:t>序号</w:t>
            </w:r>
          </w:p>
        </w:tc>
        <w:tc>
          <w:tcPr>
            <w:tcW w:w="4635" w:type="dxa"/>
            <w:gridSpan w:val="2"/>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6E4E7163">
            <w:pPr>
              <w:widowControl/>
              <w:snapToGrid w:val="0"/>
              <w:jc w:val="center"/>
              <w:textAlignment w:val="center"/>
              <w:rPr>
                <w:color w:val="000000"/>
                <w:szCs w:val="21"/>
              </w:rPr>
            </w:pPr>
            <w:r>
              <w:rPr>
                <w:color w:val="000000"/>
                <w:kern w:val="0"/>
                <w:szCs w:val="21"/>
              </w:rPr>
              <w:t>检查项目</w:t>
            </w:r>
          </w:p>
        </w:tc>
        <w:tc>
          <w:tcPr>
            <w:tcW w:w="3150"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1039C8D1">
            <w:pPr>
              <w:widowControl/>
              <w:jc w:val="center"/>
              <w:textAlignment w:val="center"/>
              <w:rPr>
                <w:color w:val="000000"/>
                <w:szCs w:val="21"/>
              </w:rPr>
            </w:pPr>
            <w:r>
              <w:rPr>
                <w:color w:val="000000"/>
                <w:kern w:val="0"/>
                <w:szCs w:val="21"/>
              </w:rPr>
              <w:t>检查情况</w:t>
            </w: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08D2DBCC">
            <w:pPr>
              <w:widowControl/>
              <w:jc w:val="center"/>
              <w:textAlignment w:val="center"/>
              <w:rPr>
                <w:color w:val="000000"/>
                <w:kern w:val="0"/>
                <w:szCs w:val="21"/>
              </w:rPr>
            </w:pPr>
            <w:r>
              <w:rPr>
                <w:color w:val="000000"/>
                <w:kern w:val="0"/>
                <w:szCs w:val="21"/>
              </w:rPr>
              <w:t>应得分</w:t>
            </w: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24682A90">
            <w:pPr>
              <w:widowControl/>
              <w:jc w:val="center"/>
              <w:textAlignment w:val="center"/>
              <w:rPr>
                <w:color w:val="000000"/>
                <w:szCs w:val="21"/>
              </w:rPr>
            </w:pPr>
            <w:r>
              <w:rPr>
                <w:color w:val="000000"/>
                <w:kern w:val="0"/>
                <w:szCs w:val="21"/>
              </w:rPr>
              <w:t>实得分</w:t>
            </w:r>
          </w:p>
        </w:tc>
      </w:tr>
      <w:tr w14:paraId="2597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1"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0EDFB664">
            <w:pPr>
              <w:widowControl/>
              <w:jc w:val="center"/>
              <w:textAlignment w:val="center"/>
              <w:rPr>
                <w:color w:val="000000"/>
                <w:szCs w:val="21"/>
              </w:rPr>
            </w:pPr>
            <w:r>
              <w:rPr>
                <w:color w:val="000000"/>
                <w:kern w:val="0"/>
                <w:szCs w:val="21"/>
              </w:rPr>
              <w:t>13</w:t>
            </w:r>
          </w:p>
        </w:tc>
        <w:tc>
          <w:tcPr>
            <w:tcW w:w="487" w:type="dxa"/>
            <w:vMerge w:val="restart"/>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28D3A927">
            <w:pPr>
              <w:widowControl/>
              <w:snapToGrid w:val="0"/>
              <w:jc w:val="center"/>
              <w:textAlignment w:val="center"/>
              <w:rPr>
                <w:color w:val="000000"/>
                <w:szCs w:val="21"/>
              </w:rPr>
            </w:pPr>
            <w:r>
              <w:rPr>
                <w:color w:val="000000"/>
                <w:kern w:val="0"/>
                <w:szCs w:val="21"/>
              </w:rPr>
              <w:t>室</w:t>
            </w:r>
            <w:r>
              <w:rPr>
                <w:color w:val="000000"/>
                <w:kern w:val="0"/>
                <w:szCs w:val="21"/>
              </w:rPr>
              <w:br w:type="textWrapping"/>
            </w:r>
            <w:r>
              <w:rPr>
                <w:color w:val="000000"/>
                <w:kern w:val="0"/>
                <w:szCs w:val="21"/>
              </w:rPr>
              <w:t>内</w:t>
            </w:r>
            <w:r>
              <w:rPr>
                <w:color w:val="000000"/>
                <w:kern w:val="0"/>
                <w:szCs w:val="21"/>
              </w:rPr>
              <w:br w:type="textWrapping"/>
            </w:r>
            <w:r>
              <w:rPr>
                <w:color w:val="000000"/>
                <w:kern w:val="0"/>
                <w:szCs w:val="21"/>
              </w:rPr>
              <w:t>装</w:t>
            </w:r>
            <w:r>
              <w:rPr>
                <w:color w:val="000000"/>
                <w:kern w:val="0"/>
                <w:szCs w:val="21"/>
              </w:rPr>
              <w:br w:type="textWrapping"/>
            </w:r>
            <w:r>
              <w:rPr>
                <w:color w:val="000000"/>
                <w:kern w:val="0"/>
                <w:szCs w:val="21"/>
              </w:rPr>
              <w:t>饰</w:t>
            </w:r>
            <w:r>
              <w:rPr>
                <w:color w:val="000000"/>
                <w:kern w:val="0"/>
                <w:szCs w:val="21"/>
              </w:rPr>
              <w:br w:type="textWrapping"/>
            </w:r>
            <w:r>
              <w:rPr>
                <w:color w:val="000000"/>
                <w:kern w:val="0"/>
                <w:szCs w:val="21"/>
              </w:rPr>
              <w:t>装</w:t>
            </w:r>
            <w:r>
              <w:rPr>
                <w:color w:val="000000"/>
                <w:kern w:val="0"/>
                <w:szCs w:val="21"/>
              </w:rPr>
              <w:br w:type="textWrapping"/>
            </w:r>
            <w:r>
              <w:rPr>
                <w:color w:val="000000"/>
                <w:kern w:val="0"/>
                <w:szCs w:val="21"/>
              </w:rPr>
              <w:t>修</w:t>
            </w:r>
            <w:r>
              <w:rPr>
                <w:color w:val="000000"/>
                <w:kern w:val="0"/>
                <w:szCs w:val="21"/>
              </w:rPr>
              <w:br w:type="textWrapping"/>
            </w:r>
            <w:r>
              <w:rPr>
                <w:color w:val="000000"/>
                <w:kern w:val="0"/>
                <w:szCs w:val="21"/>
              </w:rPr>
              <w:t>工</w:t>
            </w:r>
            <w:r>
              <w:rPr>
                <w:color w:val="000000"/>
                <w:kern w:val="0"/>
                <w:szCs w:val="21"/>
              </w:rPr>
              <w:br w:type="textWrapping"/>
            </w:r>
            <w:r>
              <w:rPr>
                <w:color w:val="000000"/>
                <w:kern w:val="0"/>
                <w:szCs w:val="21"/>
              </w:rPr>
              <w:t>程</w:t>
            </w:r>
          </w:p>
        </w:tc>
        <w:tc>
          <w:tcPr>
            <w:tcW w:w="4148"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73A1CB65">
            <w:pPr>
              <w:widowControl/>
              <w:snapToGrid w:val="0"/>
              <w:jc w:val="left"/>
              <w:textAlignment w:val="center"/>
              <w:rPr>
                <w:color w:val="000000"/>
                <w:szCs w:val="21"/>
              </w:rPr>
            </w:pPr>
            <w:r>
              <w:rPr>
                <w:color w:val="000000"/>
                <w:szCs w:val="21"/>
              </w:rPr>
              <w:t>墙面</w:t>
            </w:r>
            <w:r>
              <w:rPr>
                <w:rFonts w:hint="eastAsia"/>
                <w:color w:val="000000"/>
                <w:szCs w:val="21"/>
              </w:rPr>
              <w:t>：</w:t>
            </w:r>
          </w:p>
          <w:p w14:paraId="06C79678">
            <w:pPr>
              <w:widowControl/>
              <w:snapToGrid w:val="0"/>
              <w:jc w:val="left"/>
              <w:textAlignment w:val="center"/>
              <w:rPr>
                <w:color w:val="000000"/>
                <w:szCs w:val="21"/>
              </w:rPr>
            </w:pPr>
            <w:r>
              <w:rPr>
                <w:snapToGrid w:val="0"/>
                <w:color w:val="000000"/>
                <w:kern w:val="0"/>
                <w:szCs w:val="21"/>
              </w:rPr>
              <w:t>排布、牢固性及色差</w:t>
            </w:r>
            <w:r>
              <w:rPr>
                <w:rFonts w:hint="eastAsia"/>
                <w:snapToGrid w:val="0"/>
                <w:color w:val="000000"/>
                <w:kern w:val="0"/>
                <w:szCs w:val="21"/>
              </w:rPr>
              <w:t>，</w:t>
            </w:r>
            <w:r>
              <w:rPr>
                <w:snapToGrid w:val="0"/>
                <w:color w:val="000000"/>
                <w:kern w:val="0"/>
                <w:szCs w:val="21"/>
              </w:rPr>
              <w:t>平整度、阴阳角、分色</w:t>
            </w:r>
            <w:r>
              <w:rPr>
                <w:rFonts w:hint="eastAsia"/>
                <w:snapToGrid w:val="0"/>
                <w:color w:val="000000"/>
                <w:kern w:val="0"/>
                <w:szCs w:val="21"/>
              </w:rPr>
              <w:t>、</w:t>
            </w:r>
            <w:r>
              <w:rPr>
                <w:snapToGrid w:val="0"/>
                <w:color w:val="000000"/>
                <w:kern w:val="0"/>
                <w:szCs w:val="21"/>
              </w:rPr>
              <w:t>块材缝宽、嵌缝；不同材料交界面</w:t>
            </w:r>
            <w:r>
              <w:rPr>
                <w:rFonts w:hint="eastAsia"/>
                <w:snapToGrid w:val="0"/>
                <w:color w:val="000000"/>
                <w:kern w:val="0"/>
                <w:szCs w:val="21"/>
              </w:rPr>
              <w:t>。</w:t>
            </w:r>
          </w:p>
        </w:tc>
        <w:tc>
          <w:tcPr>
            <w:tcW w:w="3150"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304F13B8">
            <w:pPr>
              <w:jc w:val="center"/>
              <w:rPr>
                <w:color w:val="000000"/>
                <w:szCs w:val="21"/>
              </w:rPr>
            </w:pPr>
          </w:p>
        </w:tc>
        <w:tc>
          <w:tcPr>
            <w:tcW w:w="544"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2DEC78EF">
            <w:pPr>
              <w:jc w:val="center"/>
              <w:rPr>
                <w:color w:val="000000"/>
                <w:szCs w:val="21"/>
              </w:rPr>
            </w:pPr>
            <w:r>
              <w:rPr>
                <w:rFonts w:hint="eastAsia"/>
                <w:color w:val="000000"/>
                <w:szCs w:val="21"/>
              </w:rPr>
              <w:t>5</w:t>
            </w:r>
          </w:p>
        </w:tc>
        <w:tc>
          <w:tcPr>
            <w:tcW w:w="544"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4EEA5773">
            <w:pPr>
              <w:rPr>
                <w:color w:val="000000"/>
                <w:szCs w:val="21"/>
              </w:rPr>
            </w:pPr>
          </w:p>
        </w:tc>
      </w:tr>
      <w:tr w14:paraId="3B30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1"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3E58BEE7">
            <w:pPr>
              <w:widowControl/>
              <w:jc w:val="center"/>
              <w:textAlignment w:val="center"/>
              <w:rPr>
                <w:color w:val="000000"/>
                <w:szCs w:val="21"/>
              </w:rPr>
            </w:pPr>
            <w:r>
              <w:rPr>
                <w:color w:val="000000"/>
                <w:szCs w:val="21"/>
              </w:rPr>
              <w:t>14</w:t>
            </w:r>
          </w:p>
        </w:tc>
        <w:tc>
          <w:tcPr>
            <w:tcW w:w="487" w:type="dxa"/>
            <w:vMerge w:val="continue"/>
            <w:tcBorders>
              <w:top w:val="single" w:color="auto" w:sz="12" w:space="0"/>
              <w:left w:val="single" w:color="auto" w:sz="12" w:space="0"/>
              <w:bottom w:val="single" w:color="auto" w:sz="12" w:space="0"/>
              <w:right w:val="single" w:color="auto" w:sz="12" w:space="0"/>
            </w:tcBorders>
            <w:tcMar>
              <w:top w:w="15" w:type="dxa"/>
              <w:left w:w="15" w:type="dxa"/>
              <w:right w:w="15" w:type="dxa"/>
            </w:tcMar>
          </w:tcPr>
          <w:p w14:paraId="0BC8EFA4">
            <w:pPr>
              <w:snapToGrid w:val="0"/>
              <w:jc w:val="left"/>
              <w:rPr>
                <w:color w:val="000000"/>
                <w:szCs w:val="21"/>
              </w:rPr>
            </w:pPr>
          </w:p>
        </w:tc>
        <w:tc>
          <w:tcPr>
            <w:tcW w:w="4148"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5EAC55BA">
            <w:pPr>
              <w:widowControl/>
              <w:snapToGrid w:val="0"/>
              <w:jc w:val="left"/>
              <w:textAlignment w:val="center"/>
              <w:rPr>
                <w:snapToGrid w:val="0"/>
                <w:color w:val="000000"/>
                <w:kern w:val="0"/>
                <w:szCs w:val="21"/>
              </w:rPr>
            </w:pPr>
            <w:r>
              <w:rPr>
                <w:snapToGrid w:val="0"/>
                <w:color w:val="000000"/>
                <w:kern w:val="0"/>
                <w:szCs w:val="21"/>
              </w:rPr>
              <w:t>顶棚：</w:t>
            </w:r>
          </w:p>
          <w:p w14:paraId="35BE9F4A">
            <w:pPr>
              <w:widowControl/>
              <w:snapToGrid w:val="0"/>
              <w:jc w:val="left"/>
              <w:textAlignment w:val="center"/>
              <w:rPr>
                <w:color w:val="000000"/>
                <w:szCs w:val="21"/>
              </w:rPr>
            </w:pPr>
            <w:r>
              <w:rPr>
                <w:snapToGrid w:val="0"/>
                <w:color w:val="000000"/>
                <w:kern w:val="0"/>
                <w:szCs w:val="21"/>
              </w:rPr>
              <w:t>块材排布、墙顶阴角处理、裂缝控制；平整度及变形控制；吊顶末端设施排布</w:t>
            </w:r>
            <w:r>
              <w:rPr>
                <w:rFonts w:hint="eastAsia"/>
                <w:snapToGrid w:val="0"/>
                <w:color w:val="000000"/>
                <w:kern w:val="0"/>
                <w:szCs w:val="21"/>
              </w:rPr>
              <w:t>，</w:t>
            </w:r>
            <w:r>
              <w:rPr>
                <w:snapToGrid w:val="0"/>
                <w:color w:val="000000"/>
                <w:kern w:val="0"/>
                <w:szCs w:val="21"/>
              </w:rPr>
              <w:t>吊顶内洞口封堵，吊筋、龙骨构造</w:t>
            </w:r>
            <w:r>
              <w:rPr>
                <w:rFonts w:hint="eastAsia"/>
                <w:snapToGrid w:val="0"/>
                <w:color w:val="000000"/>
                <w:kern w:val="0"/>
                <w:szCs w:val="21"/>
              </w:rPr>
              <w:t>。</w:t>
            </w:r>
          </w:p>
        </w:tc>
        <w:tc>
          <w:tcPr>
            <w:tcW w:w="3150"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36DE6FD1">
            <w:pPr>
              <w:jc w:val="center"/>
              <w:rPr>
                <w:color w:val="000000"/>
                <w:szCs w:val="21"/>
              </w:rPr>
            </w:pPr>
          </w:p>
        </w:tc>
        <w:tc>
          <w:tcPr>
            <w:tcW w:w="544"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1A00141B">
            <w:pPr>
              <w:jc w:val="center"/>
              <w:rPr>
                <w:color w:val="000000"/>
                <w:szCs w:val="21"/>
              </w:rPr>
            </w:pPr>
            <w:r>
              <w:rPr>
                <w:rFonts w:hint="eastAsia"/>
                <w:color w:val="000000"/>
                <w:szCs w:val="21"/>
              </w:rPr>
              <w:t>5</w:t>
            </w:r>
          </w:p>
        </w:tc>
        <w:tc>
          <w:tcPr>
            <w:tcW w:w="544"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27B289DC">
            <w:pPr>
              <w:rPr>
                <w:color w:val="000000"/>
                <w:szCs w:val="21"/>
              </w:rPr>
            </w:pPr>
          </w:p>
        </w:tc>
      </w:tr>
      <w:tr w14:paraId="6EE5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531"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61750477">
            <w:pPr>
              <w:widowControl/>
              <w:jc w:val="center"/>
              <w:textAlignment w:val="center"/>
              <w:rPr>
                <w:color w:val="000000"/>
                <w:szCs w:val="21"/>
              </w:rPr>
            </w:pPr>
            <w:r>
              <w:rPr>
                <w:color w:val="000000"/>
                <w:szCs w:val="21"/>
              </w:rPr>
              <w:t>15</w:t>
            </w:r>
          </w:p>
        </w:tc>
        <w:tc>
          <w:tcPr>
            <w:tcW w:w="487" w:type="dxa"/>
            <w:vMerge w:val="continue"/>
            <w:tcBorders>
              <w:top w:val="single" w:color="auto" w:sz="12" w:space="0"/>
              <w:left w:val="single" w:color="auto" w:sz="12" w:space="0"/>
              <w:bottom w:val="single" w:color="auto" w:sz="12" w:space="0"/>
              <w:right w:val="single" w:color="auto" w:sz="12" w:space="0"/>
            </w:tcBorders>
            <w:tcMar>
              <w:top w:w="15" w:type="dxa"/>
              <w:left w:w="15" w:type="dxa"/>
              <w:right w:w="15" w:type="dxa"/>
            </w:tcMar>
          </w:tcPr>
          <w:p w14:paraId="27520ABE">
            <w:pPr>
              <w:snapToGrid w:val="0"/>
              <w:jc w:val="left"/>
              <w:rPr>
                <w:color w:val="000000"/>
                <w:szCs w:val="21"/>
              </w:rPr>
            </w:pPr>
          </w:p>
        </w:tc>
        <w:tc>
          <w:tcPr>
            <w:tcW w:w="4148"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6B1DE2A3">
            <w:pPr>
              <w:snapToGrid w:val="0"/>
              <w:jc w:val="left"/>
              <w:textAlignment w:val="center"/>
              <w:rPr>
                <w:snapToGrid w:val="0"/>
                <w:color w:val="000000"/>
                <w:kern w:val="0"/>
                <w:szCs w:val="21"/>
              </w:rPr>
            </w:pPr>
            <w:r>
              <w:rPr>
                <w:snapToGrid w:val="0"/>
                <w:color w:val="000000"/>
                <w:kern w:val="0"/>
                <w:szCs w:val="21"/>
              </w:rPr>
              <w:t>地面：</w:t>
            </w:r>
          </w:p>
          <w:p w14:paraId="60FE6BDF">
            <w:pPr>
              <w:widowControl/>
              <w:snapToGrid w:val="0"/>
              <w:jc w:val="left"/>
              <w:textAlignment w:val="center"/>
              <w:rPr>
                <w:color w:val="000000"/>
                <w:szCs w:val="21"/>
              </w:rPr>
            </w:pPr>
            <w:r>
              <w:rPr>
                <w:snapToGrid w:val="0"/>
                <w:color w:val="000000"/>
                <w:kern w:val="0"/>
                <w:szCs w:val="21"/>
              </w:rPr>
              <w:t>排布、分</w:t>
            </w:r>
            <w:r>
              <w:rPr>
                <w:rFonts w:hint="eastAsia"/>
                <w:snapToGrid w:val="0"/>
                <w:color w:val="000000"/>
                <w:kern w:val="0"/>
                <w:szCs w:val="21"/>
              </w:rPr>
              <w:t>格</w:t>
            </w:r>
            <w:r>
              <w:rPr>
                <w:snapToGrid w:val="0"/>
                <w:color w:val="000000"/>
                <w:kern w:val="0"/>
                <w:szCs w:val="21"/>
              </w:rPr>
              <w:t>缝设置</w:t>
            </w:r>
            <w:r>
              <w:rPr>
                <w:rFonts w:hint="eastAsia"/>
                <w:snapToGrid w:val="0"/>
                <w:color w:val="000000"/>
                <w:kern w:val="0"/>
                <w:szCs w:val="21"/>
              </w:rPr>
              <w:t>，</w:t>
            </w:r>
            <w:r>
              <w:rPr>
                <w:snapToGrid w:val="0"/>
                <w:color w:val="000000"/>
                <w:kern w:val="0"/>
                <w:szCs w:val="21"/>
              </w:rPr>
              <w:t>高差、缝宽、直线度、镶边、踢脚线</w:t>
            </w:r>
            <w:r>
              <w:rPr>
                <w:rFonts w:hint="eastAsia"/>
                <w:snapToGrid w:val="0"/>
                <w:color w:val="000000"/>
                <w:kern w:val="0"/>
                <w:szCs w:val="21"/>
              </w:rPr>
              <w:t>、</w:t>
            </w:r>
            <w:r>
              <w:rPr>
                <w:snapToGrid w:val="0"/>
                <w:color w:val="000000"/>
                <w:kern w:val="0"/>
                <w:szCs w:val="21"/>
              </w:rPr>
              <w:t>地面</w:t>
            </w:r>
            <w:r>
              <w:rPr>
                <w:rFonts w:hint="eastAsia"/>
                <w:snapToGrid w:val="0"/>
                <w:color w:val="000000"/>
                <w:kern w:val="0"/>
                <w:szCs w:val="21"/>
              </w:rPr>
              <w:t>与</w:t>
            </w:r>
            <w:r>
              <w:rPr>
                <w:snapToGrid w:val="0"/>
                <w:color w:val="000000"/>
                <w:kern w:val="0"/>
                <w:szCs w:val="21"/>
              </w:rPr>
              <w:t>墙面交界处</w:t>
            </w:r>
            <w:r>
              <w:rPr>
                <w:rFonts w:hint="eastAsia"/>
                <w:snapToGrid w:val="0"/>
                <w:color w:val="000000"/>
                <w:kern w:val="0"/>
                <w:szCs w:val="21"/>
              </w:rPr>
              <w:t>理；</w:t>
            </w:r>
            <w:r>
              <w:rPr>
                <w:snapToGrid w:val="0"/>
                <w:color w:val="000000"/>
                <w:kern w:val="0"/>
                <w:szCs w:val="21"/>
              </w:rPr>
              <w:t>平整度，空鼓、开裂控制；石材打磨、泛碱、色差</w:t>
            </w:r>
            <w:r>
              <w:rPr>
                <w:rFonts w:hint="eastAsia"/>
                <w:snapToGrid w:val="0"/>
                <w:color w:val="000000"/>
                <w:kern w:val="0"/>
                <w:szCs w:val="21"/>
              </w:rPr>
              <w:t>控制。</w:t>
            </w:r>
          </w:p>
        </w:tc>
        <w:tc>
          <w:tcPr>
            <w:tcW w:w="3150"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52EF507D">
            <w:pPr>
              <w:jc w:val="center"/>
              <w:rPr>
                <w:color w:val="000000"/>
                <w:szCs w:val="21"/>
              </w:rPr>
            </w:pP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03FC0DD0">
            <w:pPr>
              <w:jc w:val="center"/>
              <w:rPr>
                <w:color w:val="000000"/>
                <w:szCs w:val="21"/>
              </w:rPr>
            </w:pPr>
            <w:r>
              <w:rPr>
                <w:rFonts w:hint="eastAsia"/>
                <w:color w:val="000000"/>
                <w:szCs w:val="21"/>
              </w:rPr>
              <w:t>5</w:t>
            </w: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69D8CB64">
            <w:pPr>
              <w:rPr>
                <w:color w:val="000000"/>
                <w:szCs w:val="21"/>
              </w:rPr>
            </w:pPr>
          </w:p>
        </w:tc>
      </w:tr>
      <w:tr w14:paraId="4C36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0C81FCB6">
            <w:pPr>
              <w:widowControl/>
              <w:jc w:val="center"/>
              <w:textAlignment w:val="center"/>
              <w:rPr>
                <w:color w:val="000000"/>
                <w:szCs w:val="21"/>
              </w:rPr>
            </w:pPr>
            <w:r>
              <w:rPr>
                <w:color w:val="000000"/>
                <w:szCs w:val="21"/>
              </w:rPr>
              <w:t>16</w:t>
            </w:r>
          </w:p>
        </w:tc>
        <w:tc>
          <w:tcPr>
            <w:tcW w:w="487" w:type="dxa"/>
            <w:vMerge w:val="continue"/>
            <w:tcBorders>
              <w:top w:val="single" w:color="auto" w:sz="12" w:space="0"/>
              <w:left w:val="single" w:color="auto" w:sz="12" w:space="0"/>
              <w:bottom w:val="single" w:color="auto" w:sz="12" w:space="0"/>
              <w:right w:val="single" w:color="auto" w:sz="12" w:space="0"/>
            </w:tcBorders>
            <w:tcMar>
              <w:top w:w="15" w:type="dxa"/>
              <w:left w:w="15" w:type="dxa"/>
              <w:right w:w="15" w:type="dxa"/>
            </w:tcMar>
          </w:tcPr>
          <w:p w14:paraId="2B56411C">
            <w:pPr>
              <w:snapToGrid w:val="0"/>
              <w:jc w:val="left"/>
              <w:rPr>
                <w:color w:val="000000"/>
                <w:szCs w:val="21"/>
              </w:rPr>
            </w:pPr>
          </w:p>
        </w:tc>
        <w:tc>
          <w:tcPr>
            <w:tcW w:w="4148"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3B5F3195">
            <w:pPr>
              <w:snapToGrid w:val="0"/>
              <w:rPr>
                <w:snapToGrid w:val="0"/>
                <w:color w:val="000000"/>
                <w:kern w:val="0"/>
                <w:szCs w:val="21"/>
              </w:rPr>
            </w:pPr>
            <w:r>
              <w:rPr>
                <w:snapToGrid w:val="0"/>
                <w:color w:val="000000"/>
                <w:kern w:val="0"/>
                <w:szCs w:val="21"/>
              </w:rPr>
              <w:t>门窗：</w:t>
            </w:r>
          </w:p>
          <w:p w14:paraId="0E88648A">
            <w:pPr>
              <w:snapToGrid w:val="0"/>
              <w:rPr>
                <w:snapToGrid w:val="0"/>
                <w:color w:val="000000"/>
                <w:kern w:val="0"/>
                <w:szCs w:val="21"/>
              </w:rPr>
            </w:pPr>
            <w:r>
              <w:rPr>
                <w:snapToGrid w:val="0"/>
                <w:color w:val="000000"/>
                <w:kern w:val="0"/>
                <w:szCs w:val="21"/>
              </w:rPr>
              <w:t>严密性、牢固性、灵活性、开启方向、角度、泄水孔及限位</w:t>
            </w:r>
            <w:r>
              <w:rPr>
                <w:color w:val="000000"/>
                <w:szCs w:val="22"/>
              </w:rPr>
              <w:t>装置；</w:t>
            </w:r>
            <w:r>
              <w:rPr>
                <w:snapToGrid w:val="0"/>
                <w:color w:val="000000"/>
                <w:kern w:val="0"/>
                <w:szCs w:val="21"/>
              </w:rPr>
              <w:t>窗台坡度、坡向、高度；</w:t>
            </w:r>
          </w:p>
          <w:p w14:paraId="7E561ADD">
            <w:pPr>
              <w:snapToGrid w:val="0"/>
              <w:rPr>
                <w:color w:val="000000"/>
                <w:szCs w:val="21"/>
              </w:rPr>
            </w:pPr>
            <w:r>
              <w:rPr>
                <w:snapToGrid w:val="0"/>
                <w:color w:val="000000"/>
                <w:kern w:val="0"/>
                <w:szCs w:val="21"/>
              </w:rPr>
              <w:t>外窗内、外侧打胶密封；与周围界面的细部处理；</w:t>
            </w:r>
            <w:r>
              <w:rPr>
                <w:rFonts w:hint="eastAsia"/>
                <w:snapToGrid w:val="0"/>
                <w:color w:val="000000"/>
                <w:kern w:val="0"/>
                <w:szCs w:val="21"/>
              </w:rPr>
              <w:t>五金配件；</w:t>
            </w:r>
            <w:r>
              <w:rPr>
                <w:snapToGrid w:val="0"/>
                <w:color w:val="000000"/>
                <w:kern w:val="0"/>
                <w:szCs w:val="21"/>
              </w:rPr>
              <w:t>涉水房间门下防潮</w:t>
            </w:r>
            <w:r>
              <w:rPr>
                <w:rFonts w:hint="eastAsia"/>
                <w:snapToGrid w:val="0"/>
                <w:color w:val="000000"/>
                <w:kern w:val="0"/>
                <w:szCs w:val="21"/>
              </w:rPr>
              <w:t>处理。</w:t>
            </w:r>
            <w:r>
              <w:rPr>
                <w:snapToGrid w:val="0"/>
                <w:color w:val="000000"/>
                <w:kern w:val="0"/>
                <w:szCs w:val="21"/>
              </w:rPr>
              <w:t xml:space="preserve">      </w:t>
            </w:r>
          </w:p>
        </w:tc>
        <w:tc>
          <w:tcPr>
            <w:tcW w:w="3150"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4C1D1F27">
            <w:pPr>
              <w:jc w:val="center"/>
              <w:rPr>
                <w:color w:val="000000"/>
                <w:szCs w:val="21"/>
              </w:rPr>
            </w:pP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7A3C77C5">
            <w:pPr>
              <w:jc w:val="center"/>
              <w:rPr>
                <w:color w:val="000000"/>
                <w:szCs w:val="21"/>
              </w:rPr>
            </w:pPr>
            <w:r>
              <w:rPr>
                <w:rFonts w:hint="eastAsia"/>
                <w:color w:val="000000"/>
                <w:szCs w:val="21"/>
              </w:rPr>
              <w:t>5</w:t>
            </w: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1E2FE058">
            <w:pPr>
              <w:rPr>
                <w:color w:val="000000"/>
                <w:szCs w:val="21"/>
              </w:rPr>
            </w:pPr>
          </w:p>
        </w:tc>
      </w:tr>
      <w:tr w14:paraId="736D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531"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7CCD527C">
            <w:pPr>
              <w:widowControl/>
              <w:jc w:val="center"/>
              <w:textAlignment w:val="center"/>
              <w:rPr>
                <w:color w:val="000000"/>
                <w:szCs w:val="21"/>
              </w:rPr>
            </w:pPr>
            <w:r>
              <w:rPr>
                <w:color w:val="000000"/>
                <w:szCs w:val="21"/>
              </w:rPr>
              <w:t>17</w:t>
            </w:r>
          </w:p>
        </w:tc>
        <w:tc>
          <w:tcPr>
            <w:tcW w:w="487" w:type="dxa"/>
            <w:vMerge w:val="continue"/>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69A23AA9">
            <w:pPr>
              <w:snapToGrid w:val="0"/>
              <w:jc w:val="center"/>
              <w:rPr>
                <w:color w:val="000000"/>
                <w:szCs w:val="21"/>
              </w:rPr>
            </w:pPr>
          </w:p>
        </w:tc>
        <w:tc>
          <w:tcPr>
            <w:tcW w:w="4148"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5943F3F5">
            <w:pPr>
              <w:snapToGrid w:val="0"/>
              <w:jc w:val="left"/>
              <w:textAlignment w:val="center"/>
              <w:rPr>
                <w:snapToGrid w:val="0"/>
                <w:color w:val="000000"/>
                <w:kern w:val="0"/>
                <w:szCs w:val="21"/>
              </w:rPr>
            </w:pPr>
            <w:r>
              <w:rPr>
                <w:snapToGrid w:val="0"/>
                <w:color w:val="000000"/>
                <w:kern w:val="0"/>
                <w:szCs w:val="21"/>
              </w:rPr>
              <w:t>楼梯间：</w:t>
            </w:r>
          </w:p>
          <w:p w14:paraId="7CAC35EA">
            <w:pPr>
              <w:snapToGrid w:val="0"/>
              <w:jc w:val="left"/>
              <w:textAlignment w:val="center"/>
              <w:rPr>
                <w:color w:val="000000"/>
                <w:szCs w:val="21"/>
              </w:rPr>
            </w:pPr>
            <w:r>
              <w:rPr>
                <w:snapToGrid w:val="0"/>
                <w:color w:val="000000"/>
                <w:kern w:val="0"/>
                <w:szCs w:val="21"/>
              </w:rPr>
              <w:t>楼梯栏杆高度、间距</w:t>
            </w:r>
            <w:r>
              <w:rPr>
                <w:rFonts w:hint="eastAsia"/>
                <w:snapToGrid w:val="0"/>
                <w:color w:val="000000"/>
                <w:kern w:val="0"/>
                <w:szCs w:val="21"/>
              </w:rPr>
              <w:t>及</w:t>
            </w:r>
            <w:r>
              <w:rPr>
                <w:snapToGrid w:val="0"/>
                <w:color w:val="000000"/>
                <w:kern w:val="0"/>
                <w:szCs w:val="21"/>
              </w:rPr>
              <w:t>牢固性；踏步高度、宽度、防滑、滴水、挡水、踢脚；楼梯净宽、净高</w:t>
            </w:r>
            <w:r>
              <w:rPr>
                <w:rFonts w:hint="eastAsia"/>
                <w:snapToGrid w:val="0"/>
                <w:color w:val="000000"/>
                <w:kern w:val="0"/>
                <w:szCs w:val="21"/>
              </w:rPr>
              <w:t>。</w:t>
            </w:r>
          </w:p>
        </w:tc>
        <w:tc>
          <w:tcPr>
            <w:tcW w:w="3150"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450DA0F3">
            <w:pPr>
              <w:jc w:val="center"/>
              <w:rPr>
                <w:color w:val="000000"/>
                <w:szCs w:val="21"/>
              </w:rPr>
            </w:pP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520DF093">
            <w:pPr>
              <w:jc w:val="center"/>
              <w:rPr>
                <w:color w:val="000000"/>
                <w:szCs w:val="21"/>
              </w:rPr>
            </w:pPr>
            <w:r>
              <w:rPr>
                <w:rFonts w:hint="eastAsia"/>
                <w:color w:val="000000"/>
                <w:szCs w:val="21"/>
              </w:rPr>
              <w:t>5</w:t>
            </w: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7287B959">
            <w:pPr>
              <w:rPr>
                <w:color w:val="000000"/>
                <w:szCs w:val="21"/>
              </w:rPr>
            </w:pPr>
          </w:p>
        </w:tc>
      </w:tr>
      <w:tr w14:paraId="5595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531"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596F90FE">
            <w:pPr>
              <w:widowControl/>
              <w:jc w:val="center"/>
              <w:textAlignment w:val="center"/>
              <w:rPr>
                <w:color w:val="000000"/>
                <w:szCs w:val="21"/>
              </w:rPr>
            </w:pPr>
            <w:r>
              <w:rPr>
                <w:color w:val="000000"/>
                <w:szCs w:val="21"/>
              </w:rPr>
              <w:t>18</w:t>
            </w:r>
          </w:p>
        </w:tc>
        <w:tc>
          <w:tcPr>
            <w:tcW w:w="487" w:type="dxa"/>
            <w:vMerge w:val="continue"/>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2EEAB8FA">
            <w:pPr>
              <w:snapToGrid w:val="0"/>
              <w:jc w:val="center"/>
              <w:rPr>
                <w:color w:val="000000"/>
                <w:szCs w:val="21"/>
              </w:rPr>
            </w:pPr>
          </w:p>
        </w:tc>
        <w:tc>
          <w:tcPr>
            <w:tcW w:w="4148"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6CDF27D7">
            <w:pPr>
              <w:tabs>
                <w:tab w:val="left" w:pos="268"/>
              </w:tabs>
              <w:snapToGrid w:val="0"/>
              <w:jc w:val="left"/>
              <w:textAlignment w:val="center"/>
              <w:rPr>
                <w:snapToGrid w:val="0"/>
                <w:color w:val="000000"/>
                <w:kern w:val="0"/>
                <w:szCs w:val="21"/>
              </w:rPr>
            </w:pPr>
            <w:r>
              <w:rPr>
                <w:snapToGrid w:val="0"/>
                <w:color w:val="000000"/>
                <w:kern w:val="0"/>
                <w:szCs w:val="21"/>
              </w:rPr>
              <w:t>管井、电井及设备房：</w:t>
            </w:r>
          </w:p>
          <w:p w14:paraId="424C3C0B">
            <w:pPr>
              <w:tabs>
                <w:tab w:val="left" w:pos="268"/>
              </w:tabs>
              <w:snapToGrid w:val="0"/>
              <w:jc w:val="left"/>
              <w:textAlignment w:val="center"/>
              <w:rPr>
                <w:snapToGrid w:val="0"/>
                <w:color w:val="000000"/>
                <w:kern w:val="0"/>
                <w:szCs w:val="21"/>
              </w:rPr>
            </w:pPr>
            <w:r>
              <w:rPr>
                <w:snapToGrid w:val="0"/>
                <w:color w:val="000000"/>
                <w:kern w:val="0"/>
                <w:szCs w:val="21"/>
              </w:rPr>
              <w:t>有排水要求地面排水坡度及防水效果；</w:t>
            </w:r>
          </w:p>
          <w:p w14:paraId="31385AE7">
            <w:pPr>
              <w:tabs>
                <w:tab w:val="left" w:pos="268"/>
              </w:tabs>
              <w:snapToGrid w:val="0"/>
              <w:jc w:val="left"/>
              <w:textAlignment w:val="center"/>
              <w:rPr>
                <w:color w:val="000000"/>
                <w:szCs w:val="21"/>
              </w:rPr>
            </w:pPr>
            <w:r>
              <w:rPr>
                <w:snapToGrid w:val="0"/>
                <w:color w:val="000000"/>
                <w:kern w:val="0"/>
                <w:szCs w:val="21"/>
              </w:rPr>
              <w:t>墙、顶、地面、设备基础及管根精细程度及防火封堵；检修门门槛及室内地坪标高控制</w:t>
            </w:r>
            <w:r>
              <w:rPr>
                <w:rFonts w:hint="eastAsia"/>
                <w:snapToGrid w:val="0"/>
                <w:color w:val="000000"/>
                <w:kern w:val="0"/>
                <w:szCs w:val="21"/>
              </w:rPr>
              <w:t>。</w:t>
            </w:r>
          </w:p>
        </w:tc>
        <w:tc>
          <w:tcPr>
            <w:tcW w:w="3150"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45AA8554">
            <w:pPr>
              <w:jc w:val="center"/>
              <w:rPr>
                <w:color w:val="000000"/>
                <w:szCs w:val="21"/>
              </w:rPr>
            </w:pP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401F67A0">
            <w:pPr>
              <w:jc w:val="center"/>
              <w:rPr>
                <w:color w:val="000000"/>
                <w:szCs w:val="21"/>
              </w:rPr>
            </w:pPr>
            <w:r>
              <w:rPr>
                <w:rFonts w:hint="eastAsia"/>
                <w:color w:val="000000"/>
                <w:szCs w:val="21"/>
              </w:rPr>
              <w:t>5</w:t>
            </w: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733B3958">
            <w:pPr>
              <w:rPr>
                <w:color w:val="000000"/>
                <w:szCs w:val="21"/>
              </w:rPr>
            </w:pPr>
          </w:p>
        </w:tc>
      </w:tr>
      <w:tr w14:paraId="44C0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531"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295950D9">
            <w:pPr>
              <w:widowControl/>
              <w:jc w:val="center"/>
              <w:textAlignment w:val="center"/>
              <w:rPr>
                <w:color w:val="000000"/>
                <w:szCs w:val="21"/>
              </w:rPr>
            </w:pPr>
            <w:r>
              <w:rPr>
                <w:color w:val="000000"/>
                <w:szCs w:val="21"/>
              </w:rPr>
              <w:t>19</w:t>
            </w:r>
          </w:p>
        </w:tc>
        <w:tc>
          <w:tcPr>
            <w:tcW w:w="487" w:type="dxa"/>
            <w:vMerge w:val="continue"/>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30E8D29F">
            <w:pPr>
              <w:snapToGrid w:val="0"/>
              <w:jc w:val="center"/>
              <w:rPr>
                <w:color w:val="000000"/>
                <w:szCs w:val="21"/>
              </w:rPr>
            </w:pPr>
          </w:p>
        </w:tc>
        <w:tc>
          <w:tcPr>
            <w:tcW w:w="4148"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60381617">
            <w:pPr>
              <w:tabs>
                <w:tab w:val="left" w:pos="268"/>
              </w:tabs>
              <w:snapToGrid w:val="0"/>
              <w:jc w:val="left"/>
              <w:textAlignment w:val="center"/>
              <w:rPr>
                <w:snapToGrid w:val="0"/>
                <w:color w:val="000000"/>
                <w:kern w:val="0"/>
                <w:szCs w:val="21"/>
              </w:rPr>
            </w:pPr>
            <w:r>
              <w:rPr>
                <w:snapToGrid w:val="0"/>
                <w:color w:val="000000"/>
                <w:kern w:val="0"/>
                <w:szCs w:val="21"/>
              </w:rPr>
              <w:t>厨卫间、阳台、地下车库等涉水房间：</w:t>
            </w:r>
          </w:p>
          <w:p w14:paraId="5D0FE2F0">
            <w:pPr>
              <w:tabs>
                <w:tab w:val="left" w:pos="268"/>
              </w:tabs>
              <w:snapToGrid w:val="0"/>
              <w:jc w:val="left"/>
              <w:textAlignment w:val="center"/>
              <w:rPr>
                <w:snapToGrid w:val="0"/>
                <w:color w:val="000000"/>
                <w:kern w:val="0"/>
                <w:szCs w:val="21"/>
              </w:rPr>
            </w:pPr>
            <w:r>
              <w:rPr>
                <w:snapToGrid w:val="0"/>
                <w:color w:val="000000"/>
                <w:kern w:val="0"/>
                <w:szCs w:val="21"/>
              </w:rPr>
              <w:t>块材排布，设施末端与装饰面层的协调；</w:t>
            </w:r>
          </w:p>
          <w:p w14:paraId="4EC80891">
            <w:pPr>
              <w:tabs>
                <w:tab w:val="left" w:pos="268"/>
              </w:tabs>
              <w:snapToGrid w:val="0"/>
              <w:jc w:val="left"/>
              <w:textAlignment w:val="center"/>
              <w:rPr>
                <w:color w:val="000000"/>
                <w:kern w:val="0"/>
                <w:szCs w:val="21"/>
              </w:rPr>
            </w:pPr>
            <w:r>
              <w:rPr>
                <w:snapToGrid w:val="0"/>
                <w:color w:val="000000"/>
                <w:kern w:val="0"/>
                <w:szCs w:val="21"/>
              </w:rPr>
              <w:t>有水房间地面相邻高差；排水坡度、洗手盆、地漏、支架；通风及防水、防滑效果</w:t>
            </w:r>
            <w:r>
              <w:rPr>
                <w:rFonts w:hint="eastAsia"/>
                <w:snapToGrid w:val="0"/>
                <w:color w:val="000000"/>
                <w:kern w:val="0"/>
                <w:szCs w:val="21"/>
              </w:rPr>
              <w:t>。</w:t>
            </w:r>
          </w:p>
        </w:tc>
        <w:tc>
          <w:tcPr>
            <w:tcW w:w="3150"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15A04F5B">
            <w:pPr>
              <w:jc w:val="center"/>
              <w:rPr>
                <w:rFonts w:eastAsia="仿宋_GB2312"/>
                <w:color w:val="000000"/>
                <w:szCs w:val="21"/>
              </w:rPr>
            </w:pP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2BAAFC15">
            <w:pPr>
              <w:jc w:val="center"/>
              <w:rPr>
                <w:rFonts w:eastAsia="仿宋_GB2312"/>
                <w:color w:val="000000"/>
                <w:szCs w:val="21"/>
              </w:rPr>
            </w:pPr>
            <w:r>
              <w:rPr>
                <w:rFonts w:hint="eastAsia" w:eastAsia="仿宋_GB2312"/>
                <w:color w:val="000000"/>
                <w:szCs w:val="21"/>
              </w:rPr>
              <w:t>5</w:t>
            </w: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29C1881F">
            <w:pPr>
              <w:rPr>
                <w:color w:val="000000"/>
                <w:szCs w:val="21"/>
              </w:rPr>
            </w:pPr>
          </w:p>
        </w:tc>
      </w:tr>
      <w:tr w14:paraId="7E9A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531"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58347931">
            <w:pPr>
              <w:widowControl/>
              <w:jc w:val="center"/>
              <w:textAlignment w:val="center"/>
              <w:rPr>
                <w:color w:val="000000"/>
                <w:szCs w:val="21"/>
              </w:rPr>
            </w:pPr>
            <w:r>
              <w:rPr>
                <w:color w:val="000000"/>
                <w:szCs w:val="21"/>
              </w:rPr>
              <w:t>2</w:t>
            </w:r>
            <w:r>
              <w:rPr>
                <w:rFonts w:hint="eastAsia"/>
                <w:color w:val="000000"/>
                <w:szCs w:val="21"/>
              </w:rPr>
              <w:t>0</w:t>
            </w:r>
          </w:p>
        </w:tc>
        <w:tc>
          <w:tcPr>
            <w:tcW w:w="487" w:type="dxa"/>
            <w:vMerge w:val="continue"/>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57B8EB0D">
            <w:pPr>
              <w:snapToGrid w:val="0"/>
              <w:jc w:val="center"/>
              <w:rPr>
                <w:color w:val="000000"/>
                <w:szCs w:val="21"/>
              </w:rPr>
            </w:pPr>
          </w:p>
        </w:tc>
        <w:tc>
          <w:tcPr>
            <w:tcW w:w="4148"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0F633910">
            <w:pPr>
              <w:widowControl/>
              <w:snapToGrid w:val="0"/>
              <w:jc w:val="left"/>
              <w:textAlignment w:val="center"/>
              <w:rPr>
                <w:snapToGrid w:val="0"/>
                <w:color w:val="000000"/>
                <w:kern w:val="0"/>
                <w:szCs w:val="21"/>
              </w:rPr>
            </w:pPr>
            <w:r>
              <w:rPr>
                <w:color w:val="000000"/>
                <w:szCs w:val="21"/>
              </w:rPr>
              <w:t>无障碍设施</w:t>
            </w:r>
            <w:r>
              <w:rPr>
                <w:rFonts w:hint="eastAsia"/>
                <w:color w:val="000000"/>
                <w:szCs w:val="21"/>
              </w:rPr>
              <w:t>和建筑防火：</w:t>
            </w:r>
            <w:r>
              <w:rPr>
                <w:rFonts w:hint="eastAsia"/>
                <w:snapToGrid w:val="0"/>
                <w:color w:val="000000"/>
                <w:kern w:val="0"/>
                <w:szCs w:val="21"/>
              </w:rPr>
              <w:t>无障碍</w:t>
            </w:r>
            <w:r>
              <w:rPr>
                <w:snapToGrid w:val="0"/>
                <w:color w:val="000000"/>
                <w:kern w:val="0"/>
                <w:szCs w:val="21"/>
              </w:rPr>
              <w:t>出入口、停车位、</w:t>
            </w:r>
            <w:r>
              <w:rPr>
                <w:color w:val="000000"/>
                <w:kern w:val="0"/>
                <w:szCs w:val="21"/>
              </w:rPr>
              <w:t>功能房间</w:t>
            </w:r>
            <w:r>
              <w:rPr>
                <w:rFonts w:hint="eastAsia"/>
                <w:snapToGrid w:val="0"/>
                <w:color w:val="000000"/>
                <w:kern w:val="0"/>
                <w:szCs w:val="21"/>
              </w:rPr>
              <w:t>、</w:t>
            </w:r>
            <w:r>
              <w:rPr>
                <w:snapToGrid w:val="0"/>
                <w:color w:val="000000"/>
                <w:kern w:val="0"/>
                <w:szCs w:val="21"/>
              </w:rPr>
              <w:t>无障碍电梯、</w:t>
            </w:r>
            <w:r>
              <w:rPr>
                <w:rFonts w:hint="eastAsia"/>
                <w:snapToGrid w:val="0"/>
                <w:color w:val="000000"/>
                <w:kern w:val="0"/>
                <w:szCs w:val="21"/>
              </w:rPr>
              <w:t>无障碍</w:t>
            </w:r>
            <w:r>
              <w:rPr>
                <w:snapToGrid w:val="0"/>
                <w:color w:val="000000"/>
                <w:kern w:val="0"/>
                <w:szCs w:val="21"/>
              </w:rPr>
              <w:t>卫生间</w:t>
            </w:r>
            <w:r>
              <w:rPr>
                <w:rFonts w:hint="eastAsia"/>
                <w:snapToGrid w:val="0"/>
                <w:color w:val="000000"/>
                <w:kern w:val="0"/>
                <w:szCs w:val="21"/>
              </w:rPr>
              <w:t>；安全出口、疏散通道和疏散门等的设置。</w:t>
            </w:r>
          </w:p>
        </w:tc>
        <w:tc>
          <w:tcPr>
            <w:tcW w:w="3150"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170FB3CD">
            <w:pPr>
              <w:jc w:val="center"/>
              <w:rPr>
                <w:rFonts w:eastAsia="仿宋_GB2312"/>
                <w:color w:val="000000"/>
                <w:szCs w:val="21"/>
              </w:rPr>
            </w:pP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06529AB8">
            <w:pPr>
              <w:jc w:val="center"/>
              <w:rPr>
                <w:rFonts w:eastAsia="仿宋_GB2312"/>
                <w:color w:val="000000"/>
                <w:szCs w:val="21"/>
              </w:rPr>
            </w:pPr>
            <w:r>
              <w:rPr>
                <w:rFonts w:hint="eastAsia"/>
                <w:color w:val="000000"/>
                <w:szCs w:val="21"/>
              </w:rPr>
              <w:t>5</w:t>
            </w: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35E32664">
            <w:pPr>
              <w:rPr>
                <w:color w:val="000000"/>
                <w:szCs w:val="21"/>
              </w:rPr>
            </w:pPr>
          </w:p>
        </w:tc>
      </w:tr>
      <w:tr w14:paraId="6DF0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531"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6674FFAD">
            <w:pPr>
              <w:widowControl/>
              <w:jc w:val="center"/>
              <w:textAlignment w:val="center"/>
              <w:rPr>
                <w:color w:val="000000"/>
                <w:szCs w:val="21"/>
              </w:rPr>
            </w:pPr>
            <w:r>
              <w:rPr>
                <w:color w:val="000000"/>
                <w:szCs w:val="21"/>
              </w:rPr>
              <w:t>2</w:t>
            </w:r>
            <w:r>
              <w:rPr>
                <w:rFonts w:hint="eastAsia"/>
                <w:color w:val="000000"/>
                <w:szCs w:val="21"/>
              </w:rPr>
              <w:t>1</w:t>
            </w:r>
          </w:p>
        </w:tc>
        <w:tc>
          <w:tcPr>
            <w:tcW w:w="487" w:type="dxa"/>
            <w:vMerge w:val="continue"/>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598A7785">
            <w:pPr>
              <w:snapToGrid w:val="0"/>
              <w:jc w:val="center"/>
              <w:rPr>
                <w:color w:val="000000"/>
                <w:szCs w:val="21"/>
              </w:rPr>
            </w:pPr>
          </w:p>
        </w:tc>
        <w:tc>
          <w:tcPr>
            <w:tcW w:w="4148" w:type="dxa"/>
            <w:tcBorders>
              <w:top w:val="single" w:color="auto" w:sz="12" w:space="0"/>
              <w:left w:val="single" w:color="auto" w:sz="12" w:space="0"/>
              <w:bottom w:val="single" w:color="auto" w:sz="12" w:space="0"/>
              <w:right w:val="single" w:color="auto" w:sz="12" w:space="0"/>
            </w:tcBorders>
            <w:tcMar>
              <w:top w:w="15" w:type="dxa"/>
              <w:left w:w="15" w:type="dxa"/>
              <w:right w:w="15" w:type="dxa"/>
            </w:tcMar>
            <w:vAlign w:val="center"/>
          </w:tcPr>
          <w:p w14:paraId="069DAA3F">
            <w:pPr>
              <w:widowControl/>
              <w:snapToGrid w:val="0"/>
              <w:jc w:val="left"/>
              <w:textAlignment w:val="center"/>
              <w:rPr>
                <w:color w:val="000000"/>
                <w:szCs w:val="21"/>
              </w:rPr>
            </w:pPr>
            <w:r>
              <w:rPr>
                <w:snapToGrid w:val="0"/>
                <w:color w:val="000000"/>
                <w:kern w:val="0"/>
                <w:szCs w:val="21"/>
              </w:rPr>
              <w:t>细部：管道穿墙、穿楼板处</w:t>
            </w:r>
            <w:r>
              <w:rPr>
                <w:rFonts w:hint="eastAsia"/>
                <w:snapToGrid w:val="0"/>
                <w:color w:val="000000"/>
                <w:kern w:val="0"/>
                <w:szCs w:val="21"/>
              </w:rPr>
              <w:t>根部；</w:t>
            </w:r>
            <w:r>
              <w:rPr>
                <w:snapToGrid w:val="0"/>
                <w:color w:val="000000"/>
                <w:kern w:val="0"/>
                <w:szCs w:val="21"/>
              </w:rPr>
              <w:t>变形缝、卷帘门等分界分色；各种设备末端、卫生器具、地漏、检查口等协调性；玻璃栏板</w:t>
            </w:r>
            <w:r>
              <w:rPr>
                <w:rFonts w:hint="eastAsia"/>
                <w:snapToGrid w:val="0"/>
                <w:color w:val="000000"/>
                <w:kern w:val="0"/>
                <w:szCs w:val="21"/>
              </w:rPr>
              <w:t>、临空栏杆</w:t>
            </w:r>
            <w:r>
              <w:rPr>
                <w:snapToGrid w:val="0"/>
                <w:color w:val="000000"/>
                <w:kern w:val="0"/>
                <w:szCs w:val="21"/>
              </w:rPr>
              <w:t>的构造</w:t>
            </w:r>
            <w:r>
              <w:rPr>
                <w:rFonts w:hint="eastAsia"/>
                <w:snapToGrid w:val="0"/>
                <w:color w:val="000000"/>
                <w:kern w:val="0"/>
                <w:szCs w:val="21"/>
              </w:rPr>
              <w:t>。</w:t>
            </w:r>
          </w:p>
        </w:tc>
        <w:tc>
          <w:tcPr>
            <w:tcW w:w="3150"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43A81BEE">
            <w:pPr>
              <w:jc w:val="center"/>
              <w:rPr>
                <w:rFonts w:eastAsia="仿宋_GB2312"/>
                <w:color w:val="000000"/>
                <w:szCs w:val="21"/>
              </w:rPr>
            </w:pP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2A6A3B1E">
            <w:pPr>
              <w:jc w:val="center"/>
              <w:rPr>
                <w:color w:val="000000"/>
                <w:szCs w:val="21"/>
              </w:rPr>
            </w:pPr>
            <w:r>
              <w:rPr>
                <w:rFonts w:hint="eastAsia"/>
                <w:color w:val="000000"/>
                <w:szCs w:val="21"/>
              </w:rPr>
              <w:t>10</w:t>
            </w: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76C0FABD">
            <w:pPr>
              <w:rPr>
                <w:color w:val="000000"/>
                <w:szCs w:val="21"/>
              </w:rPr>
            </w:pPr>
          </w:p>
        </w:tc>
      </w:tr>
      <w:tr w14:paraId="4D1E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166" w:type="dxa"/>
            <w:gridSpan w:val="3"/>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5F825467">
            <w:pPr>
              <w:widowControl/>
              <w:jc w:val="center"/>
              <w:textAlignment w:val="center"/>
              <w:rPr>
                <w:snapToGrid w:val="0"/>
                <w:color w:val="000000"/>
                <w:kern w:val="0"/>
                <w:szCs w:val="21"/>
              </w:rPr>
            </w:pPr>
            <w:r>
              <w:rPr>
                <w:rFonts w:hint="eastAsia"/>
                <w:snapToGrid w:val="0"/>
                <w:color w:val="000000"/>
                <w:kern w:val="0"/>
                <w:szCs w:val="21"/>
              </w:rPr>
              <w:t>合</w:t>
            </w:r>
            <w:r>
              <w:rPr>
                <w:snapToGrid w:val="0"/>
                <w:color w:val="000000"/>
                <w:kern w:val="0"/>
                <w:szCs w:val="21"/>
              </w:rPr>
              <w:t xml:space="preserve">   计</w:t>
            </w:r>
          </w:p>
        </w:tc>
        <w:tc>
          <w:tcPr>
            <w:tcW w:w="3150"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07181686">
            <w:pPr>
              <w:rPr>
                <w:color w:val="000000"/>
                <w:szCs w:val="21"/>
              </w:rPr>
            </w:pP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1654EFBD">
            <w:pPr>
              <w:jc w:val="center"/>
              <w:rPr>
                <w:color w:val="000000"/>
                <w:szCs w:val="21"/>
              </w:rPr>
            </w:pPr>
            <w:r>
              <w:rPr>
                <w:rFonts w:hint="eastAsia"/>
                <w:color w:val="000000"/>
                <w:szCs w:val="21"/>
              </w:rPr>
              <w:t>100</w:t>
            </w:r>
          </w:p>
        </w:tc>
        <w:tc>
          <w:tcPr>
            <w:tcW w:w="544" w:type="dxa"/>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4818EC36">
            <w:pPr>
              <w:rPr>
                <w:color w:val="000000"/>
                <w:szCs w:val="21"/>
              </w:rPr>
            </w:pPr>
          </w:p>
        </w:tc>
      </w:tr>
      <w:tr w14:paraId="0F46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3" w:hRule="atLeast"/>
        </w:trPr>
        <w:tc>
          <w:tcPr>
            <w:tcW w:w="9404" w:type="dxa"/>
            <w:gridSpan w:val="6"/>
            <w:tcBorders>
              <w:top w:val="single" w:color="auto" w:sz="12" w:space="0"/>
              <w:left w:val="single" w:color="auto" w:sz="12" w:space="0"/>
              <w:bottom w:val="single" w:color="auto" w:sz="12" w:space="0"/>
              <w:right w:val="single" w:color="auto" w:sz="12" w:space="0"/>
            </w:tcBorders>
            <w:noWrap/>
            <w:tcMar>
              <w:top w:w="15" w:type="dxa"/>
              <w:left w:w="15" w:type="dxa"/>
              <w:right w:w="15" w:type="dxa"/>
            </w:tcMar>
            <w:vAlign w:val="center"/>
          </w:tcPr>
          <w:p w14:paraId="5BF4BE35">
            <w:pPr>
              <w:widowControl/>
              <w:jc w:val="left"/>
              <w:textAlignment w:val="center"/>
              <w:rPr>
                <w:color w:val="000000"/>
                <w:kern w:val="0"/>
                <w:szCs w:val="21"/>
              </w:rPr>
            </w:pPr>
            <w:r>
              <w:rPr>
                <w:color w:val="000000"/>
                <w:kern w:val="0"/>
                <w:szCs w:val="21"/>
              </w:rPr>
              <w:t>综合评价：意见和建议（工程亮点、存在问题、改正方法、提高方向）</w:t>
            </w:r>
          </w:p>
          <w:p w14:paraId="48B10471">
            <w:pPr>
              <w:widowControl/>
              <w:jc w:val="left"/>
              <w:textAlignment w:val="center"/>
              <w:rPr>
                <w:color w:val="000000"/>
                <w:kern w:val="0"/>
                <w:szCs w:val="21"/>
              </w:rPr>
            </w:pPr>
            <w:r>
              <w:rPr>
                <w:color w:val="000000"/>
                <w:kern w:val="0"/>
                <w:szCs w:val="21"/>
              </w:rPr>
              <w:t xml:space="preserve">                                        检查人：</w:t>
            </w:r>
          </w:p>
          <w:p w14:paraId="22005646">
            <w:pPr>
              <w:widowControl/>
              <w:jc w:val="left"/>
              <w:textAlignment w:val="center"/>
              <w:rPr>
                <w:color w:val="000000"/>
                <w:kern w:val="0"/>
                <w:szCs w:val="21"/>
              </w:rPr>
            </w:pPr>
            <w:r>
              <w:rPr>
                <w:color w:val="000000"/>
                <w:kern w:val="0"/>
                <w:szCs w:val="21"/>
              </w:rPr>
              <w:t xml:space="preserve">                                                           年   月   日</w:t>
            </w:r>
          </w:p>
        </w:tc>
      </w:tr>
    </w:tbl>
    <w:p w14:paraId="436864BF">
      <w:pPr>
        <w:rPr>
          <w:color w:val="000000"/>
        </w:rPr>
      </w:pPr>
      <w:r>
        <w:rPr>
          <w:color w:val="000000"/>
        </w:rPr>
        <w:t>注：本表评价打分采取扣分制，存在一处缺陷扣1分</w:t>
      </w:r>
    </w:p>
    <w:p w14:paraId="6E6719CE">
      <w:pPr>
        <w:jc w:val="center"/>
        <w:outlineLvl w:val="1"/>
        <w:rPr>
          <w:rStyle w:val="32"/>
          <w:rFonts w:ascii="Times New Roman" w:hAnsi="Times New Roman" w:eastAsia="黑体"/>
          <w:sz w:val="28"/>
          <w:szCs w:val="28"/>
          <w:lang w:val="en-US"/>
        </w:rPr>
      </w:pPr>
      <w:bookmarkStart w:id="668" w:name="_Toc12884"/>
      <w:bookmarkStart w:id="669" w:name="_Toc17650"/>
      <w:bookmarkStart w:id="670" w:name="_Toc11835"/>
      <w:bookmarkStart w:id="671" w:name="_Toc28627"/>
      <w:bookmarkStart w:id="672" w:name="_Toc29614"/>
      <w:bookmarkStart w:id="673" w:name="_Toc5822"/>
      <w:bookmarkStart w:id="674" w:name="_Toc29974"/>
      <w:bookmarkStart w:id="675" w:name="_Toc21796"/>
      <w:r>
        <w:rPr>
          <w:rStyle w:val="32"/>
          <w:rFonts w:ascii="Times New Roman" w:hAnsi="Times New Roman" w:eastAsia="黑体"/>
          <w:sz w:val="28"/>
          <w:szCs w:val="28"/>
          <w:lang w:val="en-US"/>
        </w:rPr>
        <w:br w:type="page"/>
      </w:r>
      <w:r>
        <w:rPr>
          <w:rStyle w:val="32"/>
          <w:rFonts w:ascii="Times New Roman" w:hAnsi="Times New Roman" w:eastAsia="黑体"/>
          <w:sz w:val="28"/>
          <w:szCs w:val="28"/>
          <w:lang w:val="en-US"/>
        </w:rPr>
        <w:t>附录B  建筑电气设备安装工程实体质量</w:t>
      </w:r>
      <w:r>
        <w:rPr>
          <w:rStyle w:val="32"/>
          <w:rFonts w:ascii="Times New Roman" w:hAnsi="Times New Roman" w:eastAsia="黑体"/>
          <w:sz w:val="28"/>
          <w:szCs w:val="28"/>
        </w:rPr>
        <w:t>现场检查</w:t>
      </w:r>
      <w:bookmarkEnd w:id="668"/>
      <w:bookmarkEnd w:id="669"/>
      <w:bookmarkEnd w:id="670"/>
      <w:bookmarkEnd w:id="671"/>
      <w:bookmarkEnd w:id="672"/>
      <w:bookmarkEnd w:id="673"/>
      <w:bookmarkEnd w:id="674"/>
      <w:bookmarkEnd w:id="675"/>
    </w:p>
    <w:p w14:paraId="1280EF41">
      <w:pPr>
        <w:jc w:val="center"/>
        <w:outlineLvl w:val="2"/>
        <w:rPr>
          <w:rFonts w:eastAsia="黑体"/>
          <w:color w:val="000000"/>
          <w:sz w:val="24"/>
          <w:szCs w:val="24"/>
          <w:lang w:val="zh-CN"/>
        </w:rPr>
      </w:pPr>
      <w:bookmarkStart w:id="676" w:name="_Toc17739"/>
      <w:bookmarkStart w:id="677" w:name="_Toc30796"/>
      <w:bookmarkStart w:id="678" w:name="_Toc5800"/>
      <w:bookmarkStart w:id="679" w:name="_Toc27161"/>
      <w:bookmarkStart w:id="680" w:name="_Toc2903"/>
      <w:bookmarkStart w:id="681" w:name="_Toc14487"/>
      <w:bookmarkStart w:id="682" w:name="_Toc8443"/>
      <w:bookmarkStart w:id="683" w:name="_Toc7286"/>
      <w:bookmarkStart w:id="684" w:name="_Toc1767"/>
      <w:bookmarkStart w:id="685" w:name="_Toc26373"/>
      <w:bookmarkStart w:id="686" w:name="_Toc8895"/>
      <w:bookmarkStart w:id="687" w:name="_Toc13488"/>
      <w:bookmarkStart w:id="688" w:name="_Toc1865"/>
      <w:bookmarkStart w:id="689" w:name="_Toc28609"/>
      <w:r>
        <w:rPr>
          <w:rFonts w:eastAsia="黑体"/>
          <w:color w:val="000000"/>
          <w:sz w:val="24"/>
          <w:szCs w:val="24"/>
          <w:lang w:val="zh-CN"/>
        </w:rPr>
        <w:t>表B.0.1  建筑电气设备安装工程实体质量</w:t>
      </w:r>
      <w:r>
        <w:rPr>
          <w:rFonts w:hint="eastAsia" w:ascii="黑体" w:hAnsi="黑体" w:eastAsia="黑体" w:cs="宋体"/>
          <w:color w:val="000000"/>
          <w:kern w:val="0"/>
          <w:sz w:val="24"/>
          <w:szCs w:val="24"/>
        </w:rPr>
        <w:t>现场检查</w:t>
      </w:r>
      <w:bookmarkEnd w:id="676"/>
      <w:bookmarkEnd w:id="677"/>
      <w:bookmarkEnd w:id="678"/>
      <w:bookmarkEnd w:id="679"/>
      <w:bookmarkEnd w:id="680"/>
      <w:bookmarkEnd w:id="681"/>
      <w:bookmarkEnd w:id="682"/>
      <w:bookmarkEnd w:id="683"/>
      <w:r>
        <w:rPr>
          <w:rFonts w:hint="eastAsia" w:eastAsia="黑体"/>
          <w:color w:val="000000"/>
          <w:sz w:val="24"/>
          <w:szCs w:val="24"/>
          <w:lang w:val="zh-CN"/>
        </w:rPr>
        <w:t>表</w:t>
      </w:r>
      <w:bookmarkEnd w:id="684"/>
      <w:bookmarkEnd w:id="685"/>
      <w:bookmarkEnd w:id="686"/>
      <w:bookmarkEnd w:id="687"/>
      <w:bookmarkEnd w:id="688"/>
      <w:bookmarkEnd w:id="689"/>
    </w:p>
    <w:p w14:paraId="653658C2">
      <w:pPr>
        <w:widowControl/>
        <w:spacing w:before="156" w:beforeLines="50" w:after="156" w:afterLines="50"/>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W w:w="94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1"/>
        <w:gridCol w:w="480"/>
        <w:gridCol w:w="4620"/>
        <w:gridCol w:w="2685"/>
        <w:gridCol w:w="544"/>
        <w:gridCol w:w="544"/>
      </w:tblGrid>
      <w:tr w14:paraId="192B0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1E18CAD">
            <w:pPr>
              <w:widowControl/>
              <w:jc w:val="center"/>
              <w:textAlignment w:val="center"/>
              <w:rPr>
                <w:color w:val="000000"/>
                <w:szCs w:val="21"/>
              </w:rPr>
            </w:pPr>
            <w:r>
              <w:rPr>
                <w:color w:val="000000"/>
                <w:kern w:val="0"/>
                <w:szCs w:val="21"/>
              </w:rPr>
              <w:t>序号</w:t>
            </w:r>
          </w:p>
        </w:tc>
        <w:tc>
          <w:tcPr>
            <w:tcW w:w="5100" w:type="dxa"/>
            <w:gridSpan w:val="2"/>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BA66295">
            <w:pPr>
              <w:widowControl/>
              <w:jc w:val="center"/>
              <w:textAlignment w:val="center"/>
              <w:rPr>
                <w:color w:val="000000"/>
                <w:szCs w:val="21"/>
              </w:rPr>
            </w:pPr>
            <w:r>
              <w:rPr>
                <w:color w:val="000000"/>
                <w:kern w:val="0"/>
                <w:szCs w:val="21"/>
              </w:rPr>
              <w:t>检查项目</w:t>
            </w:r>
          </w:p>
        </w:tc>
        <w:tc>
          <w:tcPr>
            <w:tcW w:w="268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BC70D7C">
            <w:pPr>
              <w:widowControl/>
              <w:jc w:val="center"/>
              <w:textAlignment w:val="center"/>
              <w:rPr>
                <w:color w:val="000000"/>
                <w:szCs w:val="21"/>
              </w:rPr>
            </w:pPr>
            <w:r>
              <w:rPr>
                <w:color w:val="000000"/>
                <w:kern w:val="0"/>
                <w:szCs w:val="21"/>
              </w:rPr>
              <w:t>检查情况</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2C20CB0">
            <w:pPr>
              <w:widowControl/>
              <w:jc w:val="center"/>
              <w:textAlignment w:val="center"/>
              <w:rPr>
                <w:color w:val="000000"/>
                <w:kern w:val="0"/>
                <w:szCs w:val="21"/>
              </w:rPr>
            </w:pPr>
            <w:r>
              <w:rPr>
                <w:color w:val="000000"/>
                <w:kern w:val="0"/>
                <w:szCs w:val="21"/>
              </w:rPr>
              <w:t>应得分</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926991B">
            <w:pPr>
              <w:widowControl/>
              <w:jc w:val="center"/>
              <w:textAlignment w:val="center"/>
              <w:rPr>
                <w:color w:val="000000"/>
                <w:szCs w:val="21"/>
              </w:rPr>
            </w:pPr>
            <w:r>
              <w:rPr>
                <w:color w:val="000000"/>
                <w:kern w:val="0"/>
                <w:szCs w:val="21"/>
              </w:rPr>
              <w:t>实得分</w:t>
            </w:r>
          </w:p>
        </w:tc>
      </w:tr>
      <w:tr w14:paraId="3181C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213FEB7">
            <w:pPr>
              <w:widowControl/>
              <w:jc w:val="center"/>
              <w:textAlignment w:val="center"/>
              <w:rPr>
                <w:color w:val="000000"/>
                <w:szCs w:val="21"/>
              </w:rPr>
            </w:pPr>
            <w:r>
              <w:rPr>
                <w:color w:val="000000"/>
                <w:kern w:val="0"/>
                <w:szCs w:val="21"/>
              </w:rPr>
              <w:t>1</w:t>
            </w:r>
          </w:p>
        </w:tc>
        <w:tc>
          <w:tcPr>
            <w:tcW w:w="480"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89D062">
            <w:pPr>
              <w:widowControl/>
              <w:jc w:val="center"/>
              <w:textAlignment w:val="center"/>
              <w:rPr>
                <w:color w:val="000000"/>
                <w:kern w:val="0"/>
                <w:szCs w:val="21"/>
              </w:rPr>
            </w:pPr>
            <w:r>
              <w:rPr>
                <w:color w:val="000000"/>
                <w:kern w:val="0"/>
                <w:szCs w:val="21"/>
              </w:rPr>
              <w:t>建</w:t>
            </w:r>
          </w:p>
          <w:p w14:paraId="787636B0">
            <w:pPr>
              <w:widowControl/>
              <w:jc w:val="center"/>
              <w:textAlignment w:val="center"/>
              <w:rPr>
                <w:color w:val="000000"/>
                <w:kern w:val="0"/>
                <w:szCs w:val="21"/>
              </w:rPr>
            </w:pPr>
            <w:r>
              <w:rPr>
                <w:color w:val="000000"/>
                <w:kern w:val="0"/>
                <w:szCs w:val="21"/>
              </w:rPr>
              <w:t>筑</w:t>
            </w:r>
          </w:p>
          <w:p w14:paraId="1ED4E497">
            <w:pPr>
              <w:widowControl/>
              <w:jc w:val="center"/>
              <w:textAlignment w:val="center"/>
              <w:rPr>
                <w:color w:val="000000"/>
                <w:kern w:val="0"/>
                <w:szCs w:val="21"/>
              </w:rPr>
            </w:pPr>
            <w:r>
              <w:rPr>
                <w:color w:val="000000"/>
                <w:kern w:val="0"/>
                <w:szCs w:val="21"/>
              </w:rPr>
              <w:t>电</w:t>
            </w:r>
          </w:p>
          <w:p w14:paraId="1D397621">
            <w:pPr>
              <w:widowControl/>
              <w:jc w:val="center"/>
              <w:textAlignment w:val="center"/>
              <w:rPr>
                <w:color w:val="000000"/>
                <w:szCs w:val="21"/>
              </w:rPr>
            </w:pPr>
            <w:r>
              <w:rPr>
                <w:color w:val="000000"/>
                <w:kern w:val="0"/>
                <w:szCs w:val="21"/>
              </w:rPr>
              <w:t>气</w:t>
            </w:r>
          </w:p>
        </w:tc>
        <w:tc>
          <w:tcPr>
            <w:tcW w:w="46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19C2FA2">
            <w:pPr>
              <w:widowControl/>
              <w:jc w:val="left"/>
              <w:textAlignment w:val="center"/>
              <w:rPr>
                <w:color w:val="000000"/>
                <w:szCs w:val="21"/>
              </w:rPr>
            </w:pPr>
            <w:r>
              <w:rPr>
                <w:rStyle w:val="34"/>
                <w:rFonts w:hint="default" w:ascii="Times New Roman" w:hAnsi="Times New Roman" w:cs="Times New Roman"/>
                <w:sz w:val="21"/>
                <w:szCs w:val="21"/>
              </w:rPr>
              <w:t xml:space="preserve">配电箱柜：  </w:t>
            </w:r>
            <w:r>
              <w:rPr>
                <w:rStyle w:val="35"/>
                <w:rFonts w:hint="default" w:ascii="Times New Roman" w:hAnsi="Times New Roman" w:cs="Times New Roman"/>
                <w:sz w:val="21"/>
                <w:szCs w:val="21"/>
              </w:rPr>
              <w:t xml:space="preserve">                                    1.配电箱柜安装牢固性、垂直度，成列安装时的平整度；</w:t>
            </w:r>
            <w:r>
              <w:rPr>
                <w:rStyle w:val="35"/>
                <w:rFonts w:hint="default" w:ascii="Times New Roman" w:hAnsi="Times New Roman" w:cs="Times New Roman"/>
                <w:sz w:val="21"/>
                <w:szCs w:val="21"/>
              </w:rPr>
              <w:br w:type="textWrapping"/>
            </w:r>
            <w:r>
              <w:rPr>
                <w:rStyle w:val="35"/>
                <w:rFonts w:hint="default" w:ascii="Times New Roman" w:hAnsi="Times New Roman" w:cs="Times New Roman"/>
                <w:sz w:val="21"/>
                <w:szCs w:val="21"/>
              </w:rPr>
              <w:t>2.内部元器件设置、进出线规格与设计的一致性；</w:t>
            </w:r>
            <w:r>
              <w:rPr>
                <w:rStyle w:val="35"/>
                <w:rFonts w:hint="default" w:ascii="Times New Roman" w:hAnsi="Times New Roman" w:cs="Times New Roman"/>
                <w:sz w:val="21"/>
                <w:szCs w:val="21"/>
              </w:rPr>
              <w:br w:type="textWrapping"/>
            </w:r>
            <w:r>
              <w:rPr>
                <w:rStyle w:val="35"/>
                <w:rFonts w:hint="default" w:ascii="Times New Roman" w:hAnsi="Times New Roman" w:cs="Times New Roman"/>
                <w:sz w:val="21"/>
                <w:szCs w:val="21"/>
              </w:rPr>
              <w:t>3.配线的线色、接线的压接，标识、系统图等；</w:t>
            </w:r>
            <w:r>
              <w:rPr>
                <w:rStyle w:val="35"/>
                <w:rFonts w:hint="default" w:ascii="Times New Roman" w:hAnsi="Times New Roman" w:cs="Times New Roman"/>
                <w:sz w:val="21"/>
                <w:szCs w:val="21"/>
              </w:rPr>
              <w:br w:type="textWrapping"/>
            </w:r>
            <w:r>
              <w:rPr>
                <w:rStyle w:val="35"/>
                <w:rFonts w:hint="default" w:ascii="Times New Roman" w:hAnsi="Times New Roman" w:cs="Times New Roman"/>
                <w:sz w:val="21"/>
                <w:szCs w:val="21"/>
              </w:rPr>
              <w:t>4.应急照明、气体灭火；</w:t>
            </w:r>
            <w:r>
              <w:rPr>
                <w:rStyle w:val="35"/>
                <w:rFonts w:hint="default" w:ascii="Times New Roman" w:hAnsi="Times New Roman" w:cs="Times New Roman"/>
                <w:sz w:val="21"/>
                <w:szCs w:val="21"/>
              </w:rPr>
              <w:br w:type="textWrapping"/>
            </w:r>
            <w:r>
              <w:rPr>
                <w:rStyle w:val="35"/>
                <w:rFonts w:hint="default" w:ascii="Times New Roman" w:hAnsi="Times New Roman" w:cs="Times New Roman"/>
                <w:sz w:val="21"/>
                <w:szCs w:val="21"/>
              </w:rPr>
              <w:t>5.接地、防火封堵。</w:t>
            </w:r>
          </w:p>
        </w:tc>
        <w:tc>
          <w:tcPr>
            <w:tcW w:w="268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0BC55DF">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65535FD">
            <w:pPr>
              <w:jc w:val="center"/>
              <w:rPr>
                <w:color w:val="000000"/>
                <w:szCs w:val="21"/>
              </w:rPr>
            </w:pPr>
            <w:r>
              <w:rPr>
                <w:rFonts w:hint="eastAsia"/>
                <w:color w:val="000000"/>
                <w:szCs w:val="21"/>
              </w:rPr>
              <w:t>10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879EDBF">
            <w:pPr>
              <w:rPr>
                <w:color w:val="000000"/>
                <w:szCs w:val="21"/>
              </w:rPr>
            </w:pPr>
          </w:p>
        </w:tc>
      </w:tr>
      <w:tr w14:paraId="7C4C6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D13114E">
            <w:pPr>
              <w:widowControl/>
              <w:jc w:val="center"/>
              <w:textAlignment w:val="center"/>
              <w:rPr>
                <w:color w:val="000000"/>
                <w:szCs w:val="21"/>
              </w:rPr>
            </w:pPr>
            <w:r>
              <w:rPr>
                <w:color w:val="000000"/>
                <w:kern w:val="0"/>
                <w:szCs w:val="21"/>
              </w:rPr>
              <w:t>2</w:t>
            </w:r>
          </w:p>
        </w:tc>
        <w:tc>
          <w:tcPr>
            <w:tcW w:w="48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0E8091D">
            <w:pPr>
              <w:jc w:val="center"/>
              <w:rPr>
                <w:color w:val="000000"/>
                <w:szCs w:val="21"/>
              </w:rPr>
            </w:pPr>
          </w:p>
        </w:tc>
        <w:tc>
          <w:tcPr>
            <w:tcW w:w="46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F0C3A02">
            <w:pPr>
              <w:widowControl/>
              <w:jc w:val="left"/>
              <w:textAlignment w:val="center"/>
              <w:rPr>
                <w:color w:val="000000"/>
                <w:szCs w:val="21"/>
              </w:rPr>
            </w:pPr>
            <w:r>
              <w:rPr>
                <w:color w:val="000000"/>
                <w:kern w:val="0"/>
                <w:szCs w:val="21"/>
              </w:rPr>
              <w:t>梯架、托盘、槽盒及母线槽</w:t>
            </w:r>
            <w:r>
              <w:rPr>
                <w:rFonts w:hint="eastAsia"/>
                <w:color w:val="000000"/>
                <w:kern w:val="0"/>
                <w:szCs w:val="21"/>
              </w:rPr>
              <w:t>：</w:t>
            </w:r>
            <w:r>
              <w:rPr>
                <w:color w:val="000000"/>
                <w:kern w:val="0"/>
                <w:szCs w:val="21"/>
              </w:rPr>
              <w:t xml:space="preserve">                        1.支吊架的设置、安装</w:t>
            </w:r>
            <w:r>
              <w:rPr>
                <w:rFonts w:hint="eastAsia"/>
                <w:color w:val="000000"/>
                <w:kern w:val="0"/>
                <w:szCs w:val="21"/>
              </w:rPr>
              <w:t>；</w:t>
            </w:r>
            <w:r>
              <w:rPr>
                <w:color w:val="000000"/>
                <w:kern w:val="0"/>
                <w:szCs w:val="21"/>
              </w:rPr>
              <w:br w:type="textWrapping"/>
            </w:r>
            <w:r>
              <w:rPr>
                <w:color w:val="000000"/>
                <w:kern w:val="0"/>
                <w:szCs w:val="21"/>
              </w:rPr>
              <w:t>2.母线槽、托盘、槽盒的防火封堵、伸缩补偿设置、安装的水平度、垂直度</w:t>
            </w:r>
            <w:r>
              <w:rPr>
                <w:rFonts w:hint="eastAsia"/>
                <w:color w:val="000000"/>
                <w:kern w:val="0"/>
                <w:szCs w:val="21"/>
              </w:rPr>
              <w:t>；</w:t>
            </w:r>
            <w:r>
              <w:rPr>
                <w:color w:val="000000"/>
                <w:kern w:val="0"/>
                <w:szCs w:val="21"/>
              </w:rPr>
              <w:br w:type="textWrapping"/>
            </w:r>
            <w:r>
              <w:rPr>
                <w:color w:val="000000"/>
                <w:kern w:val="0"/>
                <w:szCs w:val="21"/>
              </w:rPr>
              <w:t>3.金属梯架、托盘、槽盒、母线槽的接地及跨接接地</w:t>
            </w:r>
            <w:r>
              <w:rPr>
                <w:rFonts w:hint="eastAsia"/>
                <w:color w:val="000000"/>
                <w:kern w:val="0"/>
                <w:szCs w:val="21"/>
              </w:rPr>
              <w:t>；</w:t>
            </w:r>
            <w:r>
              <w:rPr>
                <w:color w:val="000000"/>
                <w:kern w:val="0"/>
                <w:szCs w:val="21"/>
              </w:rPr>
              <w:br w:type="textWrapping"/>
            </w:r>
            <w:r>
              <w:rPr>
                <w:color w:val="000000"/>
                <w:kern w:val="0"/>
                <w:szCs w:val="21"/>
              </w:rPr>
              <w:t>4.室外进入室内电源管管口的封堵、重复接地</w:t>
            </w:r>
            <w:r>
              <w:rPr>
                <w:rFonts w:hint="eastAsia"/>
                <w:color w:val="000000"/>
                <w:kern w:val="0"/>
                <w:szCs w:val="21"/>
              </w:rPr>
              <w:t>；</w:t>
            </w:r>
            <w:r>
              <w:rPr>
                <w:color w:val="000000"/>
                <w:kern w:val="0"/>
                <w:szCs w:val="21"/>
              </w:rPr>
              <w:br w:type="textWrapping"/>
            </w:r>
            <w:r>
              <w:rPr>
                <w:color w:val="000000"/>
                <w:kern w:val="0"/>
                <w:szCs w:val="21"/>
              </w:rPr>
              <w:t>5.明配管、金属软管的敷设及接地</w:t>
            </w:r>
            <w:r>
              <w:rPr>
                <w:rFonts w:hint="eastAsia"/>
                <w:color w:val="000000"/>
                <w:kern w:val="0"/>
                <w:szCs w:val="21"/>
              </w:rPr>
              <w:t>。</w:t>
            </w:r>
          </w:p>
        </w:tc>
        <w:tc>
          <w:tcPr>
            <w:tcW w:w="268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A8135FD">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983818C">
            <w:pPr>
              <w:jc w:val="center"/>
              <w:rPr>
                <w:color w:val="000000"/>
                <w:szCs w:val="21"/>
              </w:rPr>
            </w:pPr>
            <w:r>
              <w:rPr>
                <w:rFonts w:hint="eastAsia"/>
                <w:color w:val="000000"/>
                <w:szCs w:val="21"/>
              </w:rPr>
              <w:t>8</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D54D13B">
            <w:pPr>
              <w:rPr>
                <w:color w:val="000000"/>
                <w:szCs w:val="21"/>
              </w:rPr>
            </w:pPr>
          </w:p>
        </w:tc>
      </w:tr>
      <w:tr w14:paraId="21F3E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3BFA943">
            <w:pPr>
              <w:widowControl/>
              <w:jc w:val="center"/>
              <w:textAlignment w:val="center"/>
              <w:rPr>
                <w:color w:val="000000"/>
                <w:szCs w:val="21"/>
              </w:rPr>
            </w:pPr>
            <w:r>
              <w:rPr>
                <w:color w:val="000000"/>
                <w:kern w:val="0"/>
                <w:szCs w:val="21"/>
              </w:rPr>
              <w:t>3</w:t>
            </w:r>
          </w:p>
        </w:tc>
        <w:tc>
          <w:tcPr>
            <w:tcW w:w="48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F553AA7">
            <w:pPr>
              <w:jc w:val="center"/>
              <w:rPr>
                <w:color w:val="000000"/>
                <w:szCs w:val="21"/>
              </w:rPr>
            </w:pPr>
          </w:p>
        </w:tc>
        <w:tc>
          <w:tcPr>
            <w:tcW w:w="46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6EF3A3B">
            <w:pPr>
              <w:widowControl/>
              <w:jc w:val="left"/>
              <w:textAlignment w:val="center"/>
              <w:rPr>
                <w:color w:val="000000"/>
                <w:szCs w:val="21"/>
              </w:rPr>
            </w:pPr>
            <w:r>
              <w:rPr>
                <w:rStyle w:val="34"/>
                <w:rFonts w:hint="default" w:ascii="Times New Roman" w:hAnsi="Times New Roman" w:cs="Times New Roman"/>
                <w:sz w:val="21"/>
                <w:szCs w:val="21"/>
              </w:rPr>
              <w:t>电线电缆：</w:t>
            </w:r>
            <w:r>
              <w:rPr>
                <w:rStyle w:val="35"/>
                <w:rFonts w:hint="default" w:ascii="Times New Roman" w:hAnsi="Times New Roman" w:cs="Times New Roman"/>
                <w:sz w:val="21"/>
                <w:szCs w:val="21"/>
              </w:rPr>
              <w:br w:type="textWrapping"/>
            </w:r>
            <w:r>
              <w:rPr>
                <w:rStyle w:val="35"/>
                <w:rFonts w:hint="default" w:ascii="Times New Roman" w:hAnsi="Times New Roman" w:cs="Times New Roman"/>
                <w:sz w:val="21"/>
                <w:szCs w:val="21"/>
              </w:rPr>
              <w:t>1.电线、电缆敷设、支架、标识；</w:t>
            </w:r>
            <w:r>
              <w:rPr>
                <w:rStyle w:val="35"/>
                <w:rFonts w:hint="default" w:ascii="Times New Roman" w:hAnsi="Times New Roman" w:cs="Times New Roman"/>
                <w:sz w:val="21"/>
                <w:szCs w:val="21"/>
              </w:rPr>
              <w:br w:type="textWrapping"/>
            </w:r>
            <w:r>
              <w:rPr>
                <w:rStyle w:val="35"/>
                <w:rFonts w:hint="default" w:ascii="Times New Roman" w:hAnsi="Times New Roman" w:cs="Times New Roman"/>
                <w:sz w:val="21"/>
                <w:szCs w:val="21"/>
              </w:rPr>
              <w:t>2.铠装电缆、矿物绝缘电缆的外壳（金属铠）接地；</w:t>
            </w:r>
            <w:r>
              <w:rPr>
                <w:rStyle w:val="35"/>
                <w:rFonts w:hint="default" w:ascii="Times New Roman" w:hAnsi="Times New Roman" w:cs="Times New Roman"/>
                <w:sz w:val="21"/>
                <w:szCs w:val="21"/>
              </w:rPr>
              <w:br w:type="textWrapping"/>
            </w:r>
            <w:r>
              <w:rPr>
                <w:rStyle w:val="35"/>
                <w:rFonts w:hint="default" w:ascii="Times New Roman" w:hAnsi="Times New Roman" w:cs="Times New Roman"/>
                <w:sz w:val="21"/>
                <w:szCs w:val="21"/>
              </w:rPr>
              <w:t>3.电缆头的做法，铜接线端子的搪锡；</w:t>
            </w:r>
            <w:r>
              <w:rPr>
                <w:rStyle w:val="35"/>
                <w:rFonts w:hint="default" w:ascii="Times New Roman" w:hAnsi="Times New Roman" w:cs="Times New Roman"/>
                <w:sz w:val="21"/>
                <w:szCs w:val="21"/>
              </w:rPr>
              <w:br w:type="textWrapping"/>
            </w:r>
            <w:r>
              <w:rPr>
                <w:rStyle w:val="35"/>
                <w:rFonts w:hint="default" w:ascii="Times New Roman" w:hAnsi="Times New Roman" w:cs="Times New Roman"/>
                <w:sz w:val="21"/>
                <w:szCs w:val="21"/>
              </w:rPr>
              <w:t>4.电缆沟、支架及接地。</w:t>
            </w:r>
          </w:p>
        </w:tc>
        <w:tc>
          <w:tcPr>
            <w:tcW w:w="268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84867E8">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1384526">
            <w:pPr>
              <w:jc w:val="center"/>
              <w:rPr>
                <w:color w:val="000000"/>
                <w:szCs w:val="21"/>
              </w:rPr>
            </w:pPr>
            <w:r>
              <w:rPr>
                <w:rFonts w:hint="eastAsia"/>
                <w:color w:val="000000"/>
                <w:szCs w:val="21"/>
              </w:rPr>
              <w:t>8</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9B270AC">
            <w:pPr>
              <w:rPr>
                <w:color w:val="000000"/>
                <w:szCs w:val="21"/>
              </w:rPr>
            </w:pPr>
          </w:p>
        </w:tc>
      </w:tr>
      <w:tr w14:paraId="0AF55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64D02D3">
            <w:pPr>
              <w:widowControl/>
              <w:jc w:val="center"/>
              <w:textAlignment w:val="center"/>
              <w:rPr>
                <w:color w:val="000000"/>
                <w:szCs w:val="21"/>
              </w:rPr>
            </w:pPr>
            <w:r>
              <w:rPr>
                <w:color w:val="000000"/>
                <w:kern w:val="0"/>
                <w:szCs w:val="21"/>
              </w:rPr>
              <w:t>4</w:t>
            </w:r>
          </w:p>
        </w:tc>
        <w:tc>
          <w:tcPr>
            <w:tcW w:w="48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D510812">
            <w:pPr>
              <w:jc w:val="center"/>
              <w:rPr>
                <w:color w:val="000000"/>
                <w:szCs w:val="21"/>
              </w:rPr>
            </w:pPr>
          </w:p>
        </w:tc>
        <w:tc>
          <w:tcPr>
            <w:tcW w:w="46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9D4D9AB">
            <w:pPr>
              <w:widowControl/>
              <w:jc w:val="left"/>
              <w:textAlignment w:val="center"/>
              <w:rPr>
                <w:color w:val="000000"/>
                <w:szCs w:val="21"/>
              </w:rPr>
            </w:pPr>
            <w:r>
              <w:rPr>
                <w:rStyle w:val="34"/>
                <w:rFonts w:hint="default" w:ascii="Times New Roman" w:hAnsi="Times New Roman" w:cs="Times New Roman"/>
                <w:sz w:val="21"/>
                <w:szCs w:val="21"/>
              </w:rPr>
              <w:t>灯具、开关、插座：</w:t>
            </w:r>
            <w:r>
              <w:rPr>
                <w:rStyle w:val="35"/>
                <w:rFonts w:hint="default" w:ascii="Times New Roman" w:hAnsi="Times New Roman" w:cs="Times New Roman"/>
                <w:sz w:val="21"/>
                <w:szCs w:val="21"/>
              </w:rPr>
              <w:br w:type="textWrapping"/>
            </w:r>
            <w:r>
              <w:rPr>
                <w:rStyle w:val="35"/>
                <w:rFonts w:hint="default" w:ascii="Times New Roman" w:hAnsi="Times New Roman" w:cs="Times New Roman"/>
                <w:sz w:val="21"/>
                <w:szCs w:val="21"/>
              </w:rPr>
              <w:t>1.灯具安装，排列布局，灯具金属外壳接地；</w:t>
            </w:r>
            <w:r>
              <w:rPr>
                <w:rStyle w:val="35"/>
                <w:rFonts w:hint="default" w:ascii="Times New Roman" w:hAnsi="Times New Roman" w:cs="Times New Roman"/>
                <w:sz w:val="21"/>
                <w:szCs w:val="21"/>
              </w:rPr>
              <w:br w:type="textWrapping"/>
            </w:r>
            <w:r>
              <w:rPr>
                <w:rStyle w:val="35"/>
                <w:rFonts w:hint="default" w:ascii="Times New Roman" w:hAnsi="Times New Roman" w:cs="Times New Roman"/>
                <w:sz w:val="21"/>
                <w:szCs w:val="21"/>
              </w:rPr>
              <w:t>2.开关、插座的安装位置、接线、相序；</w:t>
            </w:r>
            <w:r>
              <w:rPr>
                <w:rStyle w:val="35"/>
                <w:rFonts w:hint="default" w:ascii="Times New Roman" w:hAnsi="Times New Roman" w:cs="Times New Roman"/>
                <w:sz w:val="21"/>
                <w:szCs w:val="21"/>
              </w:rPr>
              <w:br w:type="textWrapping"/>
            </w:r>
            <w:r>
              <w:rPr>
                <w:rStyle w:val="35"/>
                <w:rFonts w:hint="default" w:ascii="Times New Roman" w:hAnsi="Times New Roman" w:cs="Times New Roman"/>
                <w:sz w:val="21"/>
                <w:szCs w:val="21"/>
              </w:rPr>
              <w:t>3.开关、插座使用功能；</w:t>
            </w:r>
            <w:r>
              <w:rPr>
                <w:rStyle w:val="35"/>
                <w:rFonts w:hint="default" w:ascii="Times New Roman" w:hAnsi="Times New Roman" w:cs="Times New Roman"/>
                <w:sz w:val="21"/>
                <w:szCs w:val="21"/>
              </w:rPr>
              <w:br w:type="textWrapping"/>
            </w:r>
            <w:r>
              <w:rPr>
                <w:rStyle w:val="35"/>
                <w:rFonts w:hint="default" w:ascii="Times New Roman" w:hAnsi="Times New Roman" w:cs="Times New Roman"/>
                <w:sz w:val="21"/>
                <w:szCs w:val="21"/>
              </w:rPr>
              <w:t>4.疏散指示灯设置、安装。</w:t>
            </w:r>
          </w:p>
        </w:tc>
        <w:tc>
          <w:tcPr>
            <w:tcW w:w="268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4BD8F64">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2716102">
            <w:pPr>
              <w:jc w:val="center"/>
              <w:rPr>
                <w:color w:val="000000"/>
                <w:szCs w:val="21"/>
              </w:rPr>
            </w:pPr>
            <w:r>
              <w:rPr>
                <w:rFonts w:hint="eastAsia"/>
                <w:color w:val="000000"/>
                <w:szCs w:val="21"/>
              </w:rPr>
              <w:t>8</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3867968">
            <w:pPr>
              <w:rPr>
                <w:color w:val="000000"/>
                <w:szCs w:val="21"/>
              </w:rPr>
            </w:pPr>
          </w:p>
        </w:tc>
      </w:tr>
      <w:tr w14:paraId="6684A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23E07D8">
            <w:pPr>
              <w:widowControl/>
              <w:jc w:val="center"/>
              <w:textAlignment w:val="center"/>
              <w:rPr>
                <w:color w:val="000000"/>
                <w:szCs w:val="21"/>
              </w:rPr>
            </w:pPr>
            <w:r>
              <w:rPr>
                <w:color w:val="000000"/>
                <w:kern w:val="0"/>
                <w:szCs w:val="21"/>
              </w:rPr>
              <w:t>5</w:t>
            </w:r>
          </w:p>
        </w:tc>
        <w:tc>
          <w:tcPr>
            <w:tcW w:w="48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95BBB51">
            <w:pPr>
              <w:jc w:val="center"/>
              <w:rPr>
                <w:color w:val="000000"/>
                <w:szCs w:val="21"/>
              </w:rPr>
            </w:pPr>
          </w:p>
        </w:tc>
        <w:tc>
          <w:tcPr>
            <w:tcW w:w="46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5581CB3">
            <w:pPr>
              <w:widowControl/>
              <w:jc w:val="left"/>
              <w:textAlignment w:val="center"/>
              <w:rPr>
                <w:color w:val="000000"/>
                <w:szCs w:val="21"/>
              </w:rPr>
            </w:pPr>
            <w:r>
              <w:rPr>
                <w:color w:val="000000"/>
                <w:kern w:val="0"/>
                <w:szCs w:val="21"/>
              </w:rPr>
              <w:t>防雷、接地</w:t>
            </w:r>
            <w:r>
              <w:rPr>
                <w:rFonts w:hint="eastAsia"/>
                <w:color w:val="000000"/>
                <w:kern w:val="0"/>
                <w:szCs w:val="21"/>
              </w:rPr>
              <w:t>：</w:t>
            </w:r>
            <w:r>
              <w:rPr>
                <w:color w:val="000000"/>
                <w:kern w:val="0"/>
                <w:szCs w:val="21"/>
              </w:rPr>
              <w:br w:type="textWrapping"/>
            </w:r>
            <w:r>
              <w:rPr>
                <w:color w:val="000000"/>
                <w:kern w:val="0"/>
                <w:szCs w:val="21"/>
              </w:rPr>
              <w:t>1.接闪器（防雷网）安装，支架间距，与引下线的跨接、标识</w:t>
            </w:r>
            <w:r>
              <w:rPr>
                <w:rFonts w:hint="eastAsia"/>
                <w:color w:val="000000"/>
                <w:kern w:val="0"/>
                <w:szCs w:val="21"/>
              </w:rPr>
              <w:t>；</w:t>
            </w:r>
            <w:r>
              <w:rPr>
                <w:color w:val="000000"/>
                <w:kern w:val="0"/>
                <w:szCs w:val="21"/>
              </w:rPr>
              <w:br w:type="textWrapping"/>
            </w:r>
            <w:r>
              <w:rPr>
                <w:color w:val="000000"/>
                <w:kern w:val="0"/>
                <w:szCs w:val="21"/>
              </w:rPr>
              <w:t>2.防雷接地测试点的设置、标识</w:t>
            </w:r>
            <w:r>
              <w:rPr>
                <w:rFonts w:hint="eastAsia"/>
                <w:color w:val="000000"/>
                <w:kern w:val="0"/>
                <w:szCs w:val="21"/>
              </w:rPr>
              <w:t>；</w:t>
            </w:r>
            <w:r>
              <w:rPr>
                <w:color w:val="000000"/>
                <w:kern w:val="0"/>
                <w:szCs w:val="21"/>
              </w:rPr>
              <w:br w:type="textWrapping"/>
            </w:r>
            <w:r>
              <w:rPr>
                <w:color w:val="000000"/>
                <w:kern w:val="0"/>
                <w:szCs w:val="21"/>
              </w:rPr>
              <w:t>3.接地干线敷设连接的可靠性</w:t>
            </w:r>
            <w:r>
              <w:rPr>
                <w:rFonts w:hint="eastAsia"/>
                <w:color w:val="000000"/>
                <w:kern w:val="0"/>
                <w:szCs w:val="21"/>
              </w:rPr>
              <w:t>；</w:t>
            </w:r>
            <w:r>
              <w:rPr>
                <w:color w:val="000000"/>
                <w:kern w:val="0"/>
                <w:szCs w:val="21"/>
              </w:rPr>
              <w:br w:type="textWrapping"/>
            </w:r>
            <w:r>
              <w:rPr>
                <w:color w:val="000000"/>
                <w:kern w:val="0"/>
                <w:szCs w:val="21"/>
              </w:rPr>
              <w:t>4.设备、管道、防静电地板、特殊场所的接地</w:t>
            </w:r>
            <w:r>
              <w:rPr>
                <w:rFonts w:hint="eastAsia"/>
                <w:color w:val="000000"/>
                <w:kern w:val="0"/>
                <w:szCs w:val="21"/>
              </w:rPr>
              <w:t>；</w:t>
            </w:r>
            <w:r>
              <w:rPr>
                <w:color w:val="000000"/>
                <w:kern w:val="0"/>
                <w:szCs w:val="21"/>
              </w:rPr>
              <w:br w:type="textWrapping"/>
            </w:r>
            <w:r>
              <w:rPr>
                <w:color w:val="000000"/>
                <w:kern w:val="0"/>
                <w:szCs w:val="21"/>
              </w:rPr>
              <w:t>5.配电系统的接零及接地保护</w:t>
            </w:r>
            <w:r>
              <w:rPr>
                <w:rFonts w:hint="eastAsia"/>
                <w:color w:val="000000"/>
                <w:kern w:val="0"/>
                <w:szCs w:val="21"/>
              </w:rPr>
              <w:t>；</w:t>
            </w:r>
            <w:r>
              <w:rPr>
                <w:color w:val="000000"/>
                <w:kern w:val="0"/>
                <w:szCs w:val="21"/>
              </w:rPr>
              <w:br w:type="textWrapping"/>
            </w:r>
            <w:r>
              <w:rPr>
                <w:color w:val="000000"/>
                <w:kern w:val="0"/>
                <w:szCs w:val="21"/>
              </w:rPr>
              <w:t>6.总等电位设置、局部等电位连接</w:t>
            </w:r>
            <w:r>
              <w:rPr>
                <w:rFonts w:hint="eastAsia"/>
                <w:color w:val="000000"/>
                <w:kern w:val="0"/>
                <w:szCs w:val="21"/>
              </w:rPr>
              <w:t>：</w:t>
            </w:r>
            <w:r>
              <w:rPr>
                <w:color w:val="000000"/>
                <w:kern w:val="0"/>
                <w:szCs w:val="21"/>
              </w:rPr>
              <w:br w:type="textWrapping"/>
            </w:r>
            <w:r>
              <w:rPr>
                <w:color w:val="000000"/>
                <w:kern w:val="0"/>
                <w:szCs w:val="21"/>
              </w:rPr>
              <w:t>7.配电室的屏蔽接地，电气竖井的水平及竖向接地</w:t>
            </w:r>
            <w:r>
              <w:rPr>
                <w:rFonts w:hint="eastAsia"/>
                <w:color w:val="000000"/>
                <w:kern w:val="0"/>
                <w:szCs w:val="21"/>
              </w:rPr>
              <w:t>；</w:t>
            </w:r>
            <w:r>
              <w:rPr>
                <w:color w:val="000000"/>
                <w:kern w:val="0"/>
                <w:szCs w:val="21"/>
              </w:rPr>
              <w:br w:type="textWrapping"/>
            </w:r>
            <w:r>
              <w:rPr>
                <w:color w:val="000000"/>
                <w:kern w:val="0"/>
                <w:szCs w:val="21"/>
              </w:rPr>
              <w:t>8.幕墙金属龙骨、金属外门窗、金属外栏杆的接地</w:t>
            </w:r>
            <w:r>
              <w:rPr>
                <w:rFonts w:hint="eastAsia"/>
                <w:color w:val="000000"/>
                <w:kern w:val="0"/>
                <w:szCs w:val="21"/>
              </w:rPr>
              <w:t>。</w:t>
            </w:r>
          </w:p>
        </w:tc>
        <w:tc>
          <w:tcPr>
            <w:tcW w:w="268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C828395">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CC59B2A">
            <w:pPr>
              <w:jc w:val="center"/>
              <w:rPr>
                <w:color w:val="000000"/>
                <w:szCs w:val="21"/>
              </w:rPr>
            </w:pPr>
            <w:r>
              <w:rPr>
                <w:rFonts w:hint="eastAsia"/>
                <w:color w:val="000000"/>
                <w:szCs w:val="21"/>
              </w:rPr>
              <w:t>16</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1DB45DD">
            <w:pPr>
              <w:rPr>
                <w:color w:val="000000"/>
                <w:szCs w:val="21"/>
              </w:rPr>
            </w:pPr>
          </w:p>
        </w:tc>
      </w:tr>
    </w:tbl>
    <w:p w14:paraId="43C60AF7">
      <w:pPr>
        <w:widowControl/>
        <w:jc w:val="center"/>
        <w:textAlignment w:val="center"/>
        <w:outlineLvl w:val="2"/>
        <w:rPr>
          <w:rFonts w:eastAsia="黑体"/>
          <w:color w:val="000000"/>
          <w:kern w:val="0"/>
          <w:sz w:val="24"/>
        </w:rPr>
      </w:pPr>
      <w:r>
        <w:rPr>
          <w:color w:val="000000"/>
          <w:kern w:val="0"/>
          <w:sz w:val="24"/>
        </w:rPr>
        <w:br w:type="page"/>
      </w:r>
      <w:bookmarkStart w:id="690" w:name="_Toc18229"/>
      <w:bookmarkStart w:id="691" w:name="_Toc1593"/>
      <w:bookmarkStart w:id="692" w:name="_Toc28382"/>
      <w:bookmarkStart w:id="693" w:name="_Toc3191"/>
      <w:bookmarkStart w:id="694" w:name="_Toc23261"/>
      <w:bookmarkStart w:id="695" w:name="_Toc21587"/>
      <w:bookmarkStart w:id="696" w:name="_Toc31109"/>
      <w:bookmarkStart w:id="697" w:name="_Toc8821"/>
      <w:bookmarkStart w:id="698" w:name="_Toc1361"/>
      <w:bookmarkStart w:id="699" w:name="_Toc26923"/>
      <w:bookmarkStart w:id="700" w:name="_Toc16680"/>
      <w:bookmarkStart w:id="701" w:name="_Toc12692"/>
      <w:bookmarkStart w:id="702" w:name="_Toc4805"/>
      <w:bookmarkStart w:id="703" w:name="_Toc25616"/>
      <w:r>
        <w:rPr>
          <w:color w:val="000000"/>
          <w:kern w:val="0"/>
          <w:sz w:val="24"/>
        </w:rPr>
        <w:t>续</w:t>
      </w:r>
      <w:r>
        <w:rPr>
          <w:rFonts w:eastAsia="黑体"/>
          <w:color w:val="000000"/>
          <w:kern w:val="0"/>
          <w:sz w:val="24"/>
        </w:rPr>
        <w:t>表B.0.1</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0C28DE1F">
      <w:pPr>
        <w:widowControl/>
        <w:spacing w:after="156" w:afterLines="50"/>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W w:w="94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1"/>
        <w:gridCol w:w="600"/>
        <w:gridCol w:w="4515"/>
        <w:gridCol w:w="2670"/>
        <w:gridCol w:w="544"/>
        <w:gridCol w:w="544"/>
      </w:tblGrid>
      <w:tr w14:paraId="40B91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5864AF9">
            <w:pPr>
              <w:widowControl/>
              <w:jc w:val="center"/>
              <w:textAlignment w:val="center"/>
              <w:rPr>
                <w:color w:val="000000"/>
                <w:szCs w:val="21"/>
              </w:rPr>
            </w:pPr>
            <w:r>
              <w:rPr>
                <w:color w:val="000000"/>
                <w:kern w:val="0"/>
                <w:szCs w:val="21"/>
              </w:rPr>
              <w:t>序号</w:t>
            </w:r>
          </w:p>
        </w:tc>
        <w:tc>
          <w:tcPr>
            <w:tcW w:w="5115" w:type="dxa"/>
            <w:gridSpan w:val="2"/>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3FD3FED">
            <w:pPr>
              <w:widowControl/>
              <w:jc w:val="center"/>
              <w:textAlignment w:val="center"/>
              <w:rPr>
                <w:color w:val="000000"/>
                <w:szCs w:val="21"/>
              </w:rPr>
            </w:pPr>
            <w:r>
              <w:rPr>
                <w:color w:val="000000"/>
                <w:kern w:val="0"/>
                <w:szCs w:val="21"/>
              </w:rPr>
              <w:t>检查项目</w:t>
            </w:r>
          </w:p>
        </w:tc>
        <w:tc>
          <w:tcPr>
            <w:tcW w:w="267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1BE05D0">
            <w:pPr>
              <w:widowControl/>
              <w:jc w:val="center"/>
              <w:textAlignment w:val="center"/>
              <w:rPr>
                <w:color w:val="000000"/>
                <w:szCs w:val="21"/>
              </w:rPr>
            </w:pPr>
            <w:r>
              <w:rPr>
                <w:color w:val="000000"/>
                <w:kern w:val="0"/>
                <w:szCs w:val="21"/>
              </w:rPr>
              <w:t>检查情况</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4B144A9">
            <w:pPr>
              <w:widowControl/>
              <w:jc w:val="center"/>
              <w:textAlignment w:val="center"/>
              <w:rPr>
                <w:color w:val="000000"/>
                <w:kern w:val="0"/>
                <w:szCs w:val="21"/>
              </w:rPr>
            </w:pPr>
            <w:r>
              <w:rPr>
                <w:color w:val="000000"/>
                <w:kern w:val="0"/>
                <w:szCs w:val="21"/>
              </w:rPr>
              <w:t>应得分</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BA03B32">
            <w:pPr>
              <w:widowControl/>
              <w:jc w:val="center"/>
              <w:textAlignment w:val="center"/>
              <w:rPr>
                <w:color w:val="000000"/>
                <w:szCs w:val="21"/>
              </w:rPr>
            </w:pPr>
            <w:r>
              <w:rPr>
                <w:color w:val="000000"/>
                <w:kern w:val="0"/>
                <w:szCs w:val="21"/>
              </w:rPr>
              <w:t>实得分</w:t>
            </w:r>
          </w:p>
        </w:tc>
      </w:tr>
      <w:tr w14:paraId="3B29E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0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4045008">
            <w:pPr>
              <w:widowControl/>
              <w:jc w:val="center"/>
              <w:textAlignment w:val="center"/>
              <w:rPr>
                <w:color w:val="000000"/>
                <w:szCs w:val="21"/>
              </w:rPr>
            </w:pPr>
            <w:r>
              <w:rPr>
                <w:color w:val="000000"/>
                <w:kern w:val="0"/>
                <w:szCs w:val="21"/>
              </w:rPr>
              <w:t>6</w:t>
            </w:r>
          </w:p>
        </w:tc>
        <w:tc>
          <w:tcPr>
            <w:tcW w:w="600"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CC353D6">
            <w:pPr>
              <w:widowControl/>
              <w:jc w:val="center"/>
              <w:textAlignment w:val="center"/>
              <w:rPr>
                <w:color w:val="000000"/>
                <w:kern w:val="0"/>
                <w:szCs w:val="21"/>
              </w:rPr>
            </w:pPr>
            <w:r>
              <w:rPr>
                <w:color w:val="000000"/>
                <w:kern w:val="0"/>
                <w:szCs w:val="21"/>
              </w:rPr>
              <w:t>智</w:t>
            </w:r>
          </w:p>
          <w:p w14:paraId="394BDF4E">
            <w:pPr>
              <w:widowControl/>
              <w:jc w:val="center"/>
              <w:textAlignment w:val="center"/>
              <w:rPr>
                <w:color w:val="000000"/>
                <w:kern w:val="0"/>
                <w:szCs w:val="21"/>
              </w:rPr>
            </w:pPr>
            <w:r>
              <w:rPr>
                <w:color w:val="000000"/>
                <w:kern w:val="0"/>
                <w:szCs w:val="21"/>
              </w:rPr>
              <w:t>能</w:t>
            </w:r>
          </w:p>
          <w:p w14:paraId="79F1ECF0">
            <w:pPr>
              <w:widowControl/>
              <w:jc w:val="center"/>
              <w:textAlignment w:val="center"/>
              <w:rPr>
                <w:color w:val="000000"/>
                <w:kern w:val="0"/>
                <w:szCs w:val="21"/>
              </w:rPr>
            </w:pPr>
            <w:r>
              <w:rPr>
                <w:color w:val="000000"/>
                <w:kern w:val="0"/>
                <w:szCs w:val="21"/>
              </w:rPr>
              <w:t>建</w:t>
            </w:r>
          </w:p>
          <w:p w14:paraId="1359B5E7">
            <w:pPr>
              <w:widowControl/>
              <w:jc w:val="center"/>
              <w:textAlignment w:val="center"/>
              <w:rPr>
                <w:color w:val="000000"/>
                <w:szCs w:val="21"/>
              </w:rPr>
            </w:pPr>
            <w:r>
              <w:rPr>
                <w:color w:val="000000"/>
                <w:kern w:val="0"/>
                <w:szCs w:val="21"/>
              </w:rPr>
              <w:t>筑</w:t>
            </w:r>
          </w:p>
        </w:tc>
        <w:tc>
          <w:tcPr>
            <w:tcW w:w="451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1BEB450">
            <w:pPr>
              <w:widowControl/>
              <w:jc w:val="left"/>
              <w:textAlignment w:val="center"/>
              <w:rPr>
                <w:color w:val="000000"/>
                <w:szCs w:val="21"/>
              </w:rPr>
            </w:pPr>
            <w:r>
              <w:rPr>
                <w:rStyle w:val="36"/>
                <w:rFonts w:hint="default" w:ascii="Times New Roman" w:hAnsi="Times New Roman" w:cs="Times New Roman"/>
                <w:sz w:val="21"/>
                <w:szCs w:val="21"/>
              </w:rPr>
              <w:t>机柜、控制柜：</w:t>
            </w:r>
            <w:r>
              <w:rPr>
                <w:rStyle w:val="37"/>
                <w:rFonts w:hint="default" w:ascii="Times New Roman" w:hAnsi="Times New Roman" w:cs="Times New Roman"/>
                <w:sz w:val="21"/>
                <w:szCs w:val="21"/>
              </w:rPr>
              <w:br w:type="textWrapping"/>
            </w:r>
            <w:r>
              <w:rPr>
                <w:rStyle w:val="37"/>
                <w:rFonts w:hint="default" w:ascii="Times New Roman" w:hAnsi="Times New Roman" w:cs="Times New Roman"/>
                <w:sz w:val="21"/>
                <w:szCs w:val="21"/>
              </w:rPr>
              <w:t>1.机柜、机架、控制柜安装、垂直度，成列安装时盘面平整度；</w:t>
            </w:r>
            <w:r>
              <w:rPr>
                <w:rStyle w:val="37"/>
                <w:rFonts w:hint="default" w:ascii="Times New Roman" w:hAnsi="Times New Roman" w:cs="Times New Roman"/>
                <w:sz w:val="21"/>
                <w:szCs w:val="21"/>
              </w:rPr>
              <w:br w:type="textWrapping"/>
            </w:r>
            <w:r>
              <w:rPr>
                <w:rStyle w:val="37"/>
                <w:rFonts w:hint="default" w:ascii="Times New Roman" w:hAnsi="Times New Roman" w:cs="Times New Roman"/>
                <w:sz w:val="21"/>
                <w:szCs w:val="21"/>
              </w:rPr>
              <w:t>2.内部元器件设置、进出线规格与设计一致性；</w:t>
            </w:r>
            <w:r>
              <w:rPr>
                <w:rStyle w:val="37"/>
                <w:rFonts w:hint="default" w:ascii="Times New Roman" w:hAnsi="Times New Roman" w:cs="Times New Roman"/>
                <w:sz w:val="21"/>
                <w:szCs w:val="21"/>
              </w:rPr>
              <w:br w:type="textWrapping"/>
            </w:r>
            <w:r>
              <w:rPr>
                <w:rStyle w:val="37"/>
                <w:rFonts w:hint="default" w:ascii="Times New Roman" w:hAnsi="Times New Roman" w:cs="Times New Roman"/>
                <w:sz w:val="21"/>
                <w:szCs w:val="21"/>
              </w:rPr>
              <w:t>3.接地、防火封堵；</w:t>
            </w:r>
            <w:r>
              <w:rPr>
                <w:rStyle w:val="37"/>
                <w:rFonts w:hint="default" w:ascii="Times New Roman" w:hAnsi="Times New Roman" w:cs="Times New Roman"/>
                <w:sz w:val="21"/>
                <w:szCs w:val="21"/>
              </w:rPr>
              <w:br w:type="textWrapping"/>
            </w:r>
            <w:r>
              <w:rPr>
                <w:rStyle w:val="37"/>
                <w:rFonts w:hint="default" w:ascii="Times New Roman" w:hAnsi="Times New Roman" w:cs="Times New Roman"/>
                <w:sz w:val="21"/>
                <w:szCs w:val="21"/>
              </w:rPr>
              <w:t>4.信号反馈及系统（包括各种自感应系统）运行。</w:t>
            </w:r>
          </w:p>
        </w:tc>
        <w:tc>
          <w:tcPr>
            <w:tcW w:w="267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075A329">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90AF2D0">
            <w:pPr>
              <w:jc w:val="center"/>
              <w:rPr>
                <w:color w:val="000000"/>
                <w:szCs w:val="21"/>
              </w:rPr>
            </w:pPr>
            <w:r>
              <w:rPr>
                <w:rFonts w:hint="eastAsia"/>
                <w:color w:val="000000"/>
                <w:szCs w:val="21"/>
              </w:rPr>
              <w:t>6</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FE76F96">
            <w:pPr>
              <w:rPr>
                <w:color w:val="000000"/>
                <w:szCs w:val="21"/>
              </w:rPr>
            </w:pPr>
          </w:p>
        </w:tc>
      </w:tr>
      <w:tr w14:paraId="3A2E5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85178EB">
            <w:pPr>
              <w:widowControl/>
              <w:jc w:val="center"/>
              <w:textAlignment w:val="center"/>
              <w:rPr>
                <w:color w:val="000000"/>
                <w:szCs w:val="21"/>
              </w:rPr>
            </w:pPr>
            <w:r>
              <w:rPr>
                <w:color w:val="000000"/>
                <w:kern w:val="0"/>
                <w:szCs w:val="21"/>
              </w:rPr>
              <w:t>7</w:t>
            </w:r>
          </w:p>
        </w:tc>
        <w:tc>
          <w:tcPr>
            <w:tcW w:w="60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A9823FE">
            <w:pPr>
              <w:widowControl/>
              <w:jc w:val="center"/>
              <w:textAlignment w:val="center"/>
              <w:rPr>
                <w:color w:val="000000"/>
                <w:szCs w:val="21"/>
              </w:rPr>
            </w:pPr>
          </w:p>
        </w:tc>
        <w:tc>
          <w:tcPr>
            <w:tcW w:w="451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E33816C">
            <w:pPr>
              <w:widowControl/>
              <w:jc w:val="left"/>
              <w:textAlignment w:val="center"/>
              <w:rPr>
                <w:color w:val="000000"/>
                <w:szCs w:val="21"/>
              </w:rPr>
            </w:pPr>
            <w:r>
              <w:rPr>
                <w:rStyle w:val="36"/>
                <w:rFonts w:hint="default" w:ascii="Times New Roman" w:hAnsi="Times New Roman" w:cs="Times New Roman"/>
                <w:sz w:val="21"/>
                <w:szCs w:val="21"/>
              </w:rPr>
              <w:t>托盘、槽盒：</w:t>
            </w:r>
            <w:r>
              <w:rPr>
                <w:rStyle w:val="37"/>
                <w:rFonts w:hint="default" w:ascii="Times New Roman" w:hAnsi="Times New Roman" w:cs="Times New Roman"/>
                <w:sz w:val="21"/>
                <w:szCs w:val="21"/>
              </w:rPr>
              <w:br w:type="textWrapping"/>
            </w:r>
            <w:r>
              <w:rPr>
                <w:rStyle w:val="37"/>
                <w:rFonts w:hint="default" w:ascii="Times New Roman" w:hAnsi="Times New Roman" w:cs="Times New Roman"/>
                <w:sz w:val="21"/>
                <w:szCs w:val="21"/>
              </w:rPr>
              <w:t>1.金属槽盒、托盘安装及接地；</w:t>
            </w:r>
            <w:r>
              <w:rPr>
                <w:rStyle w:val="37"/>
                <w:rFonts w:hint="default" w:ascii="Times New Roman" w:hAnsi="Times New Roman" w:cs="Times New Roman"/>
                <w:sz w:val="21"/>
                <w:szCs w:val="21"/>
              </w:rPr>
              <w:br w:type="textWrapping"/>
            </w:r>
            <w:r>
              <w:rPr>
                <w:rStyle w:val="37"/>
                <w:rFonts w:hint="default" w:ascii="Times New Roman" w:hAnsi="Times New Roman" w:cs="Times New Roman"/>
                <w:sz w:val="21"/>
                <w:szCs w:val="21"/>
              </w:rPr>
              <w:t>2.穿防火分区和弱电竖井楼板处的防火封堵；</w:t>
            </w:r>
            <w:r>
              <w:rPr>
                <w:rStyle w:val="37"/>
                <w:rFonts w:hint="default" w:ascii="Times New Roman" w:hAnsi="Times New Roman" w:cs="Times New Roman"/>
                <w:sz w:val="21"/>
                <w:szCs w:val="21"/>
              </w:rPr>
              <w:br w:type="textWrapping"/>
            </w:r>
            <w:r>
              <w:rPr>
                <w:rStyle w:val="37"/>
                <w:rFonts w:hint="default" w:ascii="Times New Roman" w:hAnsi="Times New Roman" w:cs="Times New Roman"/>
                <w:sz w:val="21"/>
                <w:szCs w:val="21"/>
              </w:rPr>
              <w:t>3.弱电与强电的安全距离；</w:t>
            </w:r>
            <w:r>
              <w:rPr>
                <w:rStyle w:val="37"/>
                <w:rFonts w:hint="default" w:ascii="Times New Roman" w:hAnsi="Times New Roman" w:cs="Times New Roman"/>
                <w:sz w:val="21"/>
                <w:szCs w:val="21"/>
              </w:rPr>
              <w:br w:type="textWrapping"/>
            </w:r>
            <w:r>
              <w:rPr>
                <w:rStyle w:val="37"/>
                <w:rFonts w:hint="default" w:ascii="Times New Roman" w:hAnsi="Times New Roman" w:cs="Times New Roman"/>
                <w:sz w:val="21"/>
                <w:szCs w:val="21"/>
              </w:rPr>
              <w:t>4.支吊架设置及牢固性，标识的设置，转角、分支处的弯曲半径。</w:t>
            </w:r>
          </w:p>
        </w:tc>
        <w:tc>
          <w:tcPr>
            <w:tcW w:w="267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75FE119">
            <w:pPr>
              <w:jc w:val="center"/>
              <w:rPr>
                <w:rFonts w:eastAsia="仿宋_GB2312"/>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B188D7F">
            <w:pPr>
              <w:jc w:val="center"/>
              <w:rPr>
                <w:rFonts w:eastAsia="仿宋_GB2312"/>
                <w:color w:val="000000"/>
                <w:szCs w:val="21"/>
              </w:rPr>
            </w:pPr>
            <w:r>
              <w:rPr>
                <w:rFonts w:hint="eastAsia" w:eastAsia="仿宋_GB2312"/>
                <w:color w:val="000000"/>
                <w:szCs w:val="21"/>
              </w:rPr>
              <w:t>6</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714291E">
            <w:pPr>
              <w:rPr>
                <w:color w:val="000000"/>
                <w:szCs w:val="21"/>
              </w:rPr>
            </w:pPr>
          </w:p>
        </w:tc>
      </w:tr>
      <w:tr w14:paraId="1CE25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9"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6FBEAC9">
            <w:pPr>
              <w:widowControl/>
              <w:jc w:val="center"/>
              <w:textAlignment w:val="center"/>
              <w:rPr>
                <w:color w:val="000000"/>
                <w:szCs w:val="21"/>
              </w:rPr>
            </w:pPr>
            <w:r>
              <w:rPr>
                <w:color w:val="000000"/>
                <w:kern w:val="0"/>
                <w:szCs w:val="21"/>
              </w:rPr>
              <w:t>8</w:t>
            </w:r>
          </w:p>
        </w:tc>
        <w:tc>
          <w:tcPr>
            <w:tcW w:w="60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A9EB79B">
            <w:pPr>
              <w:jc w:val="center"/>
              <w:rPr>
                <w:color w:val="000000"/>
                <w:szCs w:val="21"/>
              </w:rPr>
            </w:pPr>
          </w:p>
        </w:tc>
        <w:tc>
          <w:tcPr>
            <w:tcW w:w="451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635AED7">
            <w:pPr>
              <w:widowControl/>
              <w:jc w:val="left"/>
              <w:textAlignment w:val="center"/>
              <w:rPr>
                <w:color w:val="000000"/>
                <w:szCs w:val="21"/>
              </w:rPr>
            </w:pPr>
            <w:r>
              <w:rPr>
                <w:color w:val="000000"/>
                <w:kern w:val="0"/>
                <w:szCs w:val="21"/>
              </w:rPr>
              <w:t>线缆敷设</w:t>
            </w:r>
            <w:r>
              <w:rPr>
                <w:rFonts w:hint="eastAsia"/>
                <w:color w:val="000000"/>
                <w:kern w:val="0"/>
                <w:szCs w:val="21"/>
              </w:rPr>
              <w:t>：</w:t>
            </w:r>
            <w:r>
              <w:rPr>
                <w:color w:val="000000"/>
                <w:kern w:val="0"/>
                <w:szCs w:val="21"/>
              </w:rPr>
              <w:br w:type="textWrapping"/>
            </w:r>
            <w:r>
              <w:rPr>
                <w:color w:val="000000"/>
                <w:kern w:val="0"/>
                <w:szCs w:val="21"/>
              </w:rPr>
              <w:t>1.线缆敷设、编号、标识</w:t>
            </w:r>
            <w:r>
              <w:rPr>
                <w:rFonts w:hint="eastAsia"/>
                <w:color w:val="000000"/>
                <w:kern w:val="0"/>
                <w:szCs w:val="21"/>
              </w:rPr>
              <w:t>；</w:t>
            </w:r>
            <w:r>
              <w:rPr>
                <w:color w:val="000000"/>
                <w:kern w:val="0"/>
                <w:szCs w:val="21"/>
              </w:rPr>
              <w:br w:type="textWrapping"/>
            </w:r>
            <w:r>
              <w:rPr>
                <w:color w:val="000000"/>
                <w:kern w:val="0"/>
                <w:szCs w:val="21"/>
              </w:rPr>
              <w:t>2.明配管、金属软管的敷设及接地，接线盒、盖板、塑料软管敷设</w:t>
            </w:r>
            <w:r>
              <w:rPr>
                <w:rFonts w:hint="eastAsia"/>
                <w:color w:val="000000"/>
                <w:kern w:val="0"/>
                <w:szCs w:val="21"/>
              </w:rPr>
              <w:t>。</w:t>
            </w:r>
          </w:p>
        </w:tc>
        <w:tc>
          <w:tcPr>
            <w:tcW w:w="267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6D664B5">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77BB871">
            <w:pPr>
              <w:jc w:val="center"/>
              <w:rPr>
                <w:color w:val="000000"/>
                <w:szCs w:val="21"/>
              </w:rPr>
            </w:pPr>
            <w:r>
              <w:rPr>
                <w:rFonts w:hint="eastAsia"/>
                <w:color w:val="000000"/>
                <w:szCs w:val="21"/>
              </w:rPr>
              <w:t>6</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1B4D606">
            <w:pPr>
              <w:rPr>
                <w:color w:val="000000"/>
                <w:szCs w:val="21"/>
              </w:rPr>
            </w:pPr>
          </w:p>
        </w:tc>
      </w:tr>
      <w:tr w14:paraId="6157F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7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45C3C5A">
            <w:pPr>
              <w:widowControl/>
              <w:jc w:val="center"/>
              <w:textAlignment w:val="center"/>
              <w:rPr>
                <w:color w:val="000000"/>
                <w:szCs w:val="21"/>
              </w:rPr>
            </w:pPr>
            <w:r>
              <w:rPr>
                <w:color w:val="000000"/>
                <w:kern w:val="0"/>
                <w:szCs w:val="21"/>
              </w:rPr>
              <w:t>9</w:t>
            </w:r>
          </w:p>
        </w:tc>
        <w:tc>
          <w:tcPr>
            <w:tcW w:w="60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16CAE30">
            <w:pPr>
              <w:jc w:val="center"/>
              <w:rPr>
                <w:color w:val="000000"/>
                <w:szCs w:val="21"/>
              </w:rPr>
            </w:pPr>
          </w:p>
        </w:tc>
        <w:tc>
          <w:tcPr>
            <w:tcW w:w="451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7A13FC4">
            <w:pPr>
              <w:widowControl/>
              <w:jc w:val="left"/>
              <w:textAlignment w:val="center"/>
              <w:rPr>
                <w:color w:val="000000"/>
                <w:szCs w:val="21"/>
              </w:rPr>
            </w:pPr>
            <w:r>
              <w:rPr>
                <w:rStyle w:val="36"/>
                <w:rFonts w:hint="default" w:ascii="Times New Roman" w:hAnsi="Times New Roman" w:cs="Times New Roman"/>
                <w:sz w:val="21"/>
                <w:szCs w:val="21"/>
              </w:rPr>
              <w:t>末端设备安装：</w:t>
            </w:r>
            <w:r>
              <w:rPr>
                <w:color w:val="000000"/>
                <w:kern w:val="0"/>
                <w:szCs w:val="21"/>
              </w:rPr>
              <w:br w:type="textWrapping"/>
            </w:r>
            <w:r>
              <w:rPr>
                <w:rStyle w:val="37"/>
                <w:rFonts w:hint="default" w:ascii="Times New Roman" w:hAnsi="Times New Roman" w:cs="Times New Roman"/>
                <w:sz w:val="21"/>
                <w:szCs w:val="21"/>
              </w:rPr>
              <w:t>1.探测器、摄像头、信息插座、控制模块、控制按钮等的排列、布局，金属外壳接地；</w:t>
            </w:r>
            <w:r>
              <w:rPr>
                <w:rStyle w:val="37"/>
                <w:rFonts w:hint="default" w:ascii="Times New Roman" w:hAnsi="Times New Roman" w:cs="Times New Roman"/>
                <w:sz w:val="21"/>
                <w:szCs w:val="21"/>
              </w:rPr>
              <w:br w:type="textWrapping"/>
            </w:r>
            <w:r>
              <w:rPr>
                <w:rStyle w:val="37"/>
                <w:rFonts w:hint="default" w:ascii="Times New Roman" w:hAnsi="Times New Roman" w:cs="Times New Roman"/>
                <w:sz w:val="21"/>
                <w:szCs w:val="21"/>
              </w:rPr>
              <w:t>2.仪器仪表的排布、安装、接线。</w:t>
            </w:r>
          </w:p>
        </w:tc>
        <w:tc>
          <w:tcPr>
            <w:tcW w:w="267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D554F05">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36A8C01">
            <w:pPr>
              <w:jc w:val="center"/>
              <w:rPr>
                <w:color w:val="000000"/>
                <w:szCs w:val="21"/>
              </w:rPr>
            </w:pPr>
            <w:r>
              <w:rPr>
                <w:rFonts w:hint="eastAsia"/>
                <w:color w:val="000000"/>
                <w:szCs w:val="21"/>
              </w:rPr>
              <w:t>6</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0341088">
            <w:pPr>
              <w:rPr>
                <w:color w:val="000000"/>
                <w:szCs w:val="21"/>
              </w:rPr>
            </w:pPr>
          </w:p>
        </w:tc>
      </w:tr>
      <w:tr w14:paraId="2AA8C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6E62AB1">
            <w:pPr>
              <w:widowControl/>
              <w:jc w:val="center"/>
              <w:textAlignment w:val="center"/>
              <w:rPr>
                <w:color w:val="000000"/>
                <w:szCs w:val="21"/>
              </w:rPr>
            </w:pPr>
            <w:r>
              <w:rPr>
                <w:color w:val="000000"/>
                <w:kern w:val="0"/>
                <w:szCs w:val="21"/>
              </w:rPr>
              <w:t>10</w:t>
            </w:r>
          </w:p>
        </w:tc>
        <w:tc>
          <w:tcPr>
            <w:tcW w:w="60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7F25A1C">
            <w:pPr>
              <w:jc w:val="center"/>
              <w:rPr>
                <w:color w:val="000000"/>
                <w:szCs w:val="21"/>
              </w:rPr>
            </w:pPr>
          </w:p>
        </w:tc>
        <w:tc>
          <w:tcPr>
            <w:tcW w:w="451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4723B93">
            <w:pPr>
              <w:widowControl/>
              <w:jc w:val="left"/>
              <w:textAlignment w:val="center"/>
              <w:rPr>
                <w:color w:val="000000"/>
                <w:szCs w:val="21"/>
              </w:rPr>
            </w:pPr>
            <w:r>
              <w:rPr>
                <w:color w:val="000000"/>
                <w:kern w:val="0"/>
                <w:szCs w:val="21"/>
              </w:rPr>
              <w:t>接地及防静电接地</w:t>
            </w:r>
            <w:r>
              <w:rPr>
                <w:rFonts w:hint="eastAsia"/>
                <w:color w:val="000000"/>
                <w:kern w:val="0"/>
                <w:szCs w:val="21"/>
              </w:rPr>
              <w:t>：</w:t>
            </w:r>
            <w:r>
              <w:rPr>
                <w:color w:val="000000"/>
                <w:kern w:val="0"/>
                <w:szCs w:val="21"/>
              </w:rPr>
              <w:br w:type="textWrapping"/>
            </w:r>
            <w:r>
              <w:rPr>
                <w:color w:val="000000"/>
                <w:kern w:val="0"/>
                <w:szCs w:val="21"/>
              </w:rPr>
              <w:t>1.接地干线敷设连接的可靠性、标识</w:t>
            </w:r>
            <w:r>
              <w:rPr>
                <w:rFonts w:hint="eastAsia"/>
                <w:color w:val="000000"/>
                <w:kern w:val="0"/>
                <w:szCs w:val="21"/>
              </w:rPr>
              <w:t>；</w:t>
            </w:r>
            <w:r>
              <w:rPr>
                <w:color w:val="000000"/>
                <w:kern w:val="0"/>
                <w:szCs w:val="21"/>
              </w:rPr>
              <w:br w:type="textWrapping"/>
            </w:r>
            <w:r>
              <w:rPr>
                <w:color w:val="000000"/>
                <w:kern w:val="0"/>
                <w:szCs w:val="21"/>
              </w:rPr>
              <w:t>2.中控室（消防控制室）、弱电机房、弱电竖井等处接地干线敷设、防静电地板的接地</w:t>
            </w:r>
            <w:r>
              <w:rPr>
                <w:rFonts w:hint="eastAsia"/>
                <w:color w:val="000000"/>
                <w:kern w:val="0"/>
                <w:szCs w:val="21"/>
              </w:rPr>
              <w:t>。</w:t>
            </w:r>
          </w:p>
        </w:tc>
        <w:tc>
          <w:tcPr>
            <w:tcW w:w="267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33AFC12">
            <w:pP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2943DF5">
            <w:pPr>
              <w:jc w:val="center"/>
              <w:rPr>
                <w:color w:val="000000"/>
                <w:szCs w:val="21"/>
              </w:rPr>
            </w:pPr>
            <w:r>
              <w:rPr>
                <w:rFonts w:hint="eastAsia"/>
                <w:color w:val="000000"/>
                <w:szCs w:val="21"/>
              </w:rPr>
              <w:t>6</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2349A62">
            <w:pPr>
              <w:rPr>
                <w:color w:val="000000"/>
                <w:szCs w:val="21"/>
              </w:rPr>
            </w:pPr>
          </w:p>
        </w:tc>
      </w:tr>
      <w:tr w14:paraId="7B66C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BAFA80C">
            <w:pPr>
              <w:widowControl/>
              <w:jc w:val="center"/>
              <w:textAlignment w:val="center"/>
              <w:rPr>
                <w:color w:val="000000"/>
                <w:szCs w:val="21"/>
              </w:rPr>
            </w:pPr>
            <w:r>
              <w:rPr>
                <w:color w:val="000000"/>
                <w:kern w:val="0"/>
                <w:szCs w:val="21"/>
              </w:rPr>
              <w:t>11</w:t>
            </w:r>
          </w:p>
        </w:tc>
        <w:tc>
          <w:tcPr>
            <w:tcW w:w="60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0AA1A9F">
            <w:pPr>
              <w:jc w:val="center"/>
              <w:rPr>
                <w:color w:val="000000"/>
                <w:szCs w:val="21"/>
              </w:rPr>
            </w:pPr>
            <w:r>
              <w:rPr>
                <w:color w:val="000000"/>
                <w:szCs w:val="21"/>
              </w:rPr>
              <w:t>电</w:t>
            </w:r>
          </w:p>
          <w:p w14:paraId="3A4DFE17">
            <w:pPr>
              <w:jc w:val="center"/>
              <w:rPr>
                <w:color w:val="000000"/>
                <w:szCs w:val="21"/>
              </w:rPr>
            </w:pPr>
            <w:r>
              <w:rPr>
                <w:color w:val="000000"/>
                <w:szCs w:val="21"/>
              </w:rPr>
              <w:t>梯</w:t>
            </w:r>
          </w:p>
          <w:p w14:paraId="1A1D3CB5">
            <w:pPr>
              <w:jc w:val="center"/>
              <w:rPr>
                <w:color w:val="000000"/>
                <w:szCs w:val="21"/>
              </w:rPr>
            </w:pPr>
            <w:r>
              <w:rPr>
                <w:color w:val="000000"/>
                <w:szCs w:val="21"/>
              </w:rPr>
              <w:t>工</w:t>
            </w:r>
          </w:p>
          <w:p w14:paraId="7F55B93E">
            <w:pPr>
              <w:jc w:val="center"/>
              <w:rPr>
                <w:color w:val="000000"/>
                <w:szCs w:val="21"/>
              </w:rPr>
            </w:pPr>
            <w:r>
              <w:rPr>
                <w:color w:val="000000"/>
                <w:szCs w:val="21"/>
              </w:rPr>
              <w:t>程</w:t>
            </w:r>
          </w:p>
        </w:tc>
        <w:tc>
          <w:tcPr>
            <w:tcW w:w="451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0498BC9">
            <w:pPr>
              <w:widowControl/>
              <w:jc w:val="left"/>
              <w:textAlignment w:val="center"/>
              <w:rPr>
                <w:color w:val="000000"/>
                <w:kern w:val="0"/>
                <w:szCs w:val="21"/>
              </w:rPr>
            </w:pPr>
            <w:r>
              <w:rPr>
                <w:color w:val="000000"/>
                <w:kern w:val="0"/>
                <w:szCs w:val="21"/>
              </w:rPr>
              <w:t>1.控制柜安装、接线、接地</w:t>
            </w:r>
            <w:r>
              <w:rPr>
                <w:rFonts w:hint="eastAsia"/>
                <w:color w:val="000000"/>
                <w:kern w:val="0"/>
                <w:szCs w:val="21"/>
              </w:rPr>
              <w:t>；</w:t>
            </w:r>
          </w:p>
          <w:p w14:paraId="33FECFED">
            <w:pPr>
              <w:widowControl/>
              <w:jc w:val="left"/>
              <w:textAlignment w:val="center"/>
              <w:rPr>
                <w:color w:val="000000"/>
                <w:kern w:val="0"/>
                <w:szCs w:val="21"/>
              </w:rPr>
            </w:pPr>
            <w:r>
              <w:rPr>
                <w:color w:val="000000"/>
                <w:kern w:val="0"/>
                <w:szCs w:val="21"/>
              </w:rPr>
              <w:t>2.金属槽盒的敷设及工字梁接地</w:t>
            </w:r>
            <w:r>
              <w:rPr>
                <w:rFonts w:hint="eastAsia"/>
                <w:color w:val="000000"/>
                <w:kern w:val="0"/>
                <w:szCs w:val="21"/>
              </w:rPr>
              <w:t>；</w:t>
            </w:r>
            <w:r>
              <w:rPr>
                <w:color w:val="000000"/>
                <w:kern w:val="0"/>
                <w:szCs w:val="21"/>
              </w:rPr>
              <w:t xml:space="preserve">              3.标识与机房通风的设置</w:t>
            </w:r>
            <w:r>
              <w:rPr>
                <w:rFonts w:hint="eastAsia"/>
                <w:color w:val="000000"/>
                <w:kern w:val="0"/>
                <w:szCs w:val="21"/>
              </w:rPr>
              <w:t>；</w:t>
            </w:r>
            <w:r>
              <w:rPr>
                <w:color w:val="000000"/>
                <w:kern w:val="0"/>
                <w:szCs w:val="21"/>
              </w:rPr>
              <w:br w:type="textWrapping"/>
            </w:r>
            <w:r>
              <w:rPr>
                <w:color w:val="000000"/>
                <w:kern w:val="0"/>
                <w:szCs w:val="21"/>
              </w:rPr>
              <w:t>4.地坎、层门、轿厢门之间的间距</w:t>
            </w:r>
            <w:r>
              <w:rPr>
                <w:rFonts w:hint="eastAsia"/>
                <w:color w:val="000000"/>
                <w:kern w:val="0"/>
                <w:szCs w:val="21"/>
              </w:rPr>
              <w:t>；</w:t>
            </w:r>
          </w:p>
          <w:p w14:paraId="3FD05D5F">
            <w:pPr>
              <w:widowControl/>
              <w:jc w:val="left"/>
              <w:textAlignment w:val="center"/>
              <w:rPr>
                <w:color w:val="000000"/>
                <w:szCs w:val="21"/>
              </w:rPr>
            </w:pPr>
            <w:r>
              <w:rPr>
                <w:color w:val="000000"/>
                <w:kern w:val="0"/>
                <w:szCs w:val="21"/>
              </w:rPr>
              <w:t>5.门扇下端与地坎之间间距</w:t>
            </w:r>
            <w:r>
              <w:rPr>
                <w:rFonts w:hint="eastAsia"/>
                <w:color w:val="000000"/>
                <w:kern w:val="0"/>
                <w:szCs w:val="21"/>
              </w:rPr>
              <w:t>；</w:t>
            </w:r>
            <w:r>
              <w:rPr>
                <w:color w:val="000000"/>
                <w:kern w:val="0"/>
                <w:szCs w:val="21"/>
              </w:rPr>
              <w:br w:type="textWrapping"/>
            </w:r>
            <w:r>
              <w:rPr>
                <w:color w:val="000000"/>
                <w:kern w:val="0"/>
                <w:szCs w:val="21"/>
              </w:rPr>
              <w:t>6.运行状态及平层准确度</w:t>
            </w:r>
            <w:r>
              <w:rPr>
                <w:rFonts w:hint="eastAsia"/>
                <w:color w:val="000000"/>
                <w:kern w:val="0"/>
                <w:szCs w:val="21"/>
              </w:rPr>
              <w:t>；</w:t>
            </w:r>
            <w:r>
              <w:rPr>
                <w:color w:val="000000"/>
                <w:kern w:val="0"/>
                <w:szCs w:val="21"/>
              </w:rPr>
              <w:br w:type="textWrapping"/>
            </w:r>
            <w:r>
              <w:rPr>
                <w:color w:val="000000"/>
                <w:kern w:val="0"/>
                <w:szCs w:val="21"/>
              </w:rPr>
              <w:t>7.轿厢内照明、通风设施</w:t>
            </w:r>
            <w:r>
              <w:rPr>
                <w:rFonts w:hint="eastAsia"/>
                <w:color w:val="000000"/>
                <w:kern w:val="0"/>
                <w:szCs w:val="21"/>
              </w:rPr>
              <w:t>；</w:t>
            </w:r>
            <w:r>
              <w:rPr>
                <w:color w:val="000000"/>
                <w:kern w:val="0"/>
                <w:szCs w:val="21"/>
              </w:rPr>
              <w:br w:type="textWrapping"/>
            </w:r>
            <w:r>
              <w:rPr>
                <w:color w:val="000000"/>
                <w:kern w:val="0"/>
                <w:szCs w:val="21"/>
              </w:rPr>
              <w:t>8.特种设备使用标识（年检合格证）</w:t>
            </w:r>
            <w:r>
              <w:rPr>
                <w:rFonts w:hint="eastAsia"/>
                <w:color w:val="000000"/>
                <w:kern w:val="0"/>
                <w:szCs w:val="21"/>
              </w:rPr>
              <w:t>。</w:t>
            </w:r>
          </w:p>
        </w:tc>
        <w:tc>
          <w:tcPr>
            <w:tcW w:w="267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4CE88A4">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E66F4DC">
            <w:pPr>
              <w:jc w:val="center"/>
              <w:rPr>
                <w:color w:val="000000"/>
                <w:szCs w:val="21"/>
              </w:rPr>
            </w:pPr>
            <w:r>
              <w:rPr>
                <w:color w:val="000000"/>
                <w:szCs w:val="21"/>
              </w:rPr>
              <w:t>20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D02562">
            <w:pPr>
              <w:rPr>
                <w:color w:val="000000"/>
                <w:szCs w:val="21"/>
              </w:rPr>
            </w:pPr>
          </w:p>
        </w:tc>
      </w:tr>
      <w:tr w14:paraId="1375E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5646" w:type="dxa"/>
            <w:gridSpan w:val="3"/>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C5E3B47">
            <w:pPr>
              <w:widowControl/>
              <w:jc w:val="center"/>
              <w:textAlignment w:val="center"/>
              <w:rPr>
                <w:color w:val="000000"/>
                <w:kern w:val="0"/>
                <w:szCs w:val="21"/>
              </w:rPr>
            </w:pPr>
            <w:r>
              <w:rPr>
                <w:color w:val="000000"/>
                <w:kern w:val="0"/>
                <w:szCs w:val="21"/>
              </w:rPr>
              <w:t>合计</w:t>
            </w:r>
          </w:p>
        </w:tc>
        <w:tc>
          <w:tcPr>
            <w:tcW w:w="267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5047AA8">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5A4C848">
            <w:pPr>
              <w:jc w:val="center"/>
              <w:rPr>
                <w:color w:val="000000"/>
                <w:szCs w:val="21"/>
              </w:rPr>
            </w:pPr>
            <w:r>
              <w:rPr>
                <w:color w:val="000000"/>
                <w:szCs w:val="21"/>
              </w:rPr>
              <w:t>100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DEB5DB">
            <w:pPr>
              <w:rPr>
                <w:color w:val="000000"/>
                <w:szCs w:val="21"/>
              </w:rPr>
            </w:pPr>
          </w:p>
        </w:tc>
      </w:tr>
      <w:tr w14:paraId="727B6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18" w:hRule="atLeast"/>
        </w:trPr>
        <w:tc>
          <w:tcPr>
            <w:tcW w:w="9404" w:type="dxa"/>
            <w:gridSpan w:val="6"/>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2F9FED4">
            <w:pPr>
              <w:widowControl/>
              <w:jc w:val="left"/>
              <w:textAlignment w:val="center"/>
              <w:rPr>
                <w:color w:val="000000"/>
                <w:kern w:val="0"/>
                <w:szCs w:val="21"/>
              </w:rPr>
            </w:pPr>
            <w:r>
              <w:rPr>
                <w:color w:val="000000"/>
                <w:kern w:val="0"/>
                <w:szCs w:val="21"/>
              </w:rPr>
              <w:t>综合评价：意见和建议（工程亮点、存在问题、改正方法、提高方向）</w:t>
            </w:r>
          </w:p>
          <w:p w14:paraId="19D26DE7">
            <w:pPr>
              <w:widowControl/>
              <w:jc w:val="left"/>
              <w:textAlignment w:val="center"/>
              <w:rPr>
                <w:color w:val="000000"/>
                <w:kern w:val="0"/>
                <w:szCs w:val="21"/>
              </w:rPr>
            </w:pPr>
          </w:p>
          <w:p w14:paraId="32E61B57">
            <w:pPr>
              <w:widowControl/>
              <w:jc w:val="left"/>
              <w:textAlignment w:val="center"/>
              <w:rPr>
                <w:color w:val="000000"/>
                <w:kern w:val="0"/>
                <w:szCs w:val="21"/>
              </w:rPr>
            </w:pPr>
            <w:r>
              <w:rPr>
                <w:color w:val="000000"/>
                <w:kern w:val="0"/>
                <w:szCs w:val="21"/>
              </w:rPr>
              <w:t xml:space="preserve">                                        检查人：</w:t>
            </w:r>
          </w:p>
          <w:p w14:paraId="0DEEA21B">
            <w:pPr>
              <w:widowControl/>
              <w:jc w:val="left"/>
              <w:textAlignment w:val="center"/>
              <w:rPr>
                <w:color w:val="000000"/>
                <w:kern w:val="0"/>
                <w:szCs w:val="21"/>
              </w:rPr>
            </w:pPr>
            <w:r>
              <w:rPr>
                <w:color w:val="000000"/>
                <w:kern w:val="0"/>
                <w:szCs w:val="21"/>
              </w:rPr>
              <w:t xml:space="preserve">                                                           年   月   日</w:t>
            </w:r>
          </w:p>
        </w:tc>
      </w:tr>
    </w:tbl>
    <w:p w14:paraId="059D5DE0">
      <w:pPr>
        <w:rPr>
          <w:color w:val="000000"/>
        </w:rPr>
      </w:pPr>
      <w:r>
        <w:rPr>
          <w:color w:val="000000"/>
        </w:rPr>
        <w:t>注：本表评价打分采取扣分制，存在一处缺陷扣1分</w:t>
      </w:r>
    </w:p>
    <w:p w14:paraId="576BF768">
      <w:pPr>
        <w:widowControl/>
        <w:jc w:val="center"/>
        <w:textAlignment w:val="center"/>
        <w:outlineLvl w:val="1"/>
        <w:rPr>
          <w:rStyle w:val="32"/>
          <w:rFonts w:ascii="Times New Roman" w:hAnsi="Times New Roman" w:eastAsia="黑体"/>
          <w:sz w:val="28"/>
          <w:szCs w:val="28"/>
          <w:lang w:val="en-US"/>
        </w:rPr>
      </w:pPr>
      <w:bookmarkStart w:id="704" w:name="_Toc14377"/>
      <w:bookmarkStart w:id="705" w:name="_Toc10271"/>
      <w:bookmarkStart w:id="706" w:name="_Toc30525"/>
      <w:bookmarkStart w:id="707" w:name="_Toc15307"/>
      <w:bookmarkStart w:id="708" w:name="_Toc30446"/>
      <w:bookmarkStart w:id="709" w:name="_Toc16463"/>
      <w:bookmarkStart w:id="710" w:name="_Toc18548"/>
      <w:bookmarkStart w:id="711" w:name="_Toc9768"/>
      <w:r>
        <w:rPr>
          <w:rStyle w:val="32"/>
          <w:rFonts w:ascii="Times New Roman" w:hAnsi="Times New Roman" w:eastAsia="黑体"/>
          <w:sz w:val="28"/>
          <w:szCs w:val="28"/>
          <w:lang w:val="en-US"/>
        </w:rPr>
        <w:t>附录C  建筑设备安装工程实体质量</w:t>
      </w:r>
      <w:r>
        <w:rPr>
          <w:rStyle w:val="32"/>
          <w:rFonts w:ascii="Times New Roman" w:hAnsi="Times New Roman" w:eastAsia="黑体"/>
          <w:sz w:val="28"/>
          <w:szCs w:val="28"/>
        </w:rPr>
        <w:t>现场检查</w:t>
      </w:r>
      <w:bookmarkEnd w:id="704"/>
      <w:bookmarkEnd w:id="705"/>
      <w:bookmarkEnd w:id="706"/>
      <w:bookmarkEnd w:id="707"/>
      <w:bookmarkEnd w:id="708"/>
      <w:bookmarkEnd w:id="709"/>
      <w:bookmarkEnd w:id="710"/>
      <w:bookmarkEnd w:id="711"/>
    </w:p>
    <w:p w14:paraId="0B0C149E">
      <w:pPr>
        <w:jc w:val="center"/>
        <w:outlineLvl w:val="2"/>
        <w:rPr>
          <w:rFonts w:eastAsia="黑体"/>
          <w:color w:val="000000"/>
          <w:sz w:val="24"/>
          <w:szCs w:val="24"/>
          <w:lang w:val="zh-CN"/>
        </w:rPr>
      </w:pPr>
      <w:bookmarkStart w:id="712" w:name="_Toc19136"/>
      <w:bookmarkStart w:id="713" w:name="_Toc18045"/>
      <w:bookmarkStart w:id="714" w:name="_Toc5070"/>
      <w:bookmarkStart w:id="715" w:name="_Toc16499"/>
      <w:bookmarkStart w:id="716" w:name="_Toc9769"/>
      <w:bookmarkStart w:id="717" w:name="_Toc17296"/>
      <w:bookmarkStart w:id="718" w:name="_Toc30653"/>
      <w:bookmarkStart w:id="719" w:name="_Toc18472"/>
      <w:bookmarkStart w:id="720" w:name="_Toc21947"/>
      <w:bookmarkStart w:id="721" w:name="_Toc28294"/>
      <w:bookmarkStart w:id="722" w:name="_Toc31709"/>
      <w:bookmarkStart w:id="723" w:name="_Toc25322"/>
      <w:bookmarkStart w:id="724" w:name="_Toc6194"/>
      <w:bookmarkStart w:id="725" w:name="_Toc31130"/>
      <w:r>
        <w:rPr>
          <w:rFonts w:eastAsia="黑体"/>
          <w:color w:val="000000"/>
          <w:sz w:val="24"/>
          <w:szCs w:val="24"/>
          <w:lang w:val="zh-CN"/>
        </w:rPr>
        <w:t>表C.0.1  建筑设备安装工程实体质量</w:t>
      </w:r>
      <w:r>
        <w:rPr>
          <w:rFonts w:hint="eastAsia" w:ascii="黑体" w:hAnsi="黑体" w:eastAsia="黑体" w:cs="宋体"/>
          <w:color w:val="000000"/>
          <w:kern w:val="0"/>
          <w:sz w:val="24"/>
          <w:szCs w:val="24"/>
        </w:rPr>
        <w:t>现场检查</w:t>
      </w:r>
      <w:bookmarkEnd w:id="712"/>
      <w:bookmarkEnd w:id="713"/>
      <w:bookmarkEnd w:id="714"/>
      <w:bookmarkEnd w:id="715"/>
      <w:bookmarkEnd w:id="716"/>
      <w:bookmarkEnd w:id="717"/>
      <w:bookmarkEnd w:id="718"/>
      <w:bookmarkEnd w:id="719"/>
      <w:r>
        <w:rPr>
          <w:rFonts w:hint="eastAsia" w:eastAsia="黑体"/>
          <w:color w:val="000000"/>
          <w:sz w:val="24"/>
          <w:szCs w:val="24"/>
          <w:lang w:val="zh-CN"/>
        </w:rPr>
        <w:t>表</w:t>
      </w:r>
      <w:bookmarkEnd w:id="720"/>
      <w:bookmarkEnd w:id="721"/>
      <w:bookmarkEnd w:id="722"/>
      <w:bookmarkEnd w:id="723"/>
      <w:bookmarkEnd w:id="724"/>
      <w:bookmarkEnd w:id="725"/>
    </w:p>
    <w:p w14:paraId="7EE54A12">
      <w:pPr>
        <w:widowControl/>
        <w:spacing w:after="156" w:afterLines="50"/>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W w:w="94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1"/>
        <w:gridCol w:w="600"/>
        <w:gridCol w:w="4905"/>
        <w:gridCol w:w="2280"/>
        <w:gridCol w:w="544"/>
        <w:gridCol w:w="544"/>
      </w:tblGrid>
      <w:tr w14:paraId="7081E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B221301">
            <w:pPr>
              <w:widowControl/>
              <w:jc w:val="center"/>
              <w:textAlignment w:val="center"/>
              <w:rPr>
                <w:color w:val="000000"/>
                <w:szCs w:val="21"/>
              </w:rPr>
            </w:pPr>
            <w:r>
              <w:rPr>
                <w:color w:val="000000"/>
                <w:kern w:val="0"/>
                <w:szCs w:val="21"/>
              </w:rPr>
              <w:t>序号</w:t>
            </w:r>
          </w:p>
        </w:tc>
        <w:tc>
          <w:tcPr>
            <w:tcW w:w="5505" w:type="dxa"/>
            <w:gridSpan w:val="2"/>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B9C9734">
            <w:pPr>
              <w:widowControl/>
              <w:jc w:val="center"/>
              <w:textAlignment w:val="center"/>
              <w:rPr>
                <w:color w:val="000000"/>
                <w:szCs w:val="21"/>
              </w:rPr>
            </w:pPr>
            <w:r>
              <w:rPr>
                <w:color w:val="000000"/>
                <w:kern w:val="0"/>
                <w:szCs w:val="21"/>
              </w:rPr>
              <w:t>检查项目</w:t>
            </w:r>
          </w:p>
        </w:tc>
        <w:tc>
          <w:tcPr>
            <w:tcW w:w="228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2651DFD">
            <w:pPr>
              <w:widowControl/>
              <w:jc w:val="center"/>
              <w:textAlignment w:val="center"/>
              <w:rPr>
                <w:color w:val="000000"/>
                <w:szCs w:val="21"/>
              </w:rPr>
            </w:pPr>
            <w:r>
              <w:rPr>
                <w:color w:val="000000"/>
                <w:kern w:val="0"/>
                <w:szCs w:val="21"/>
              </w:rPr>
              <w:t>检查情况</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3CF5AEB">
            <w:pPr>
              <w:widowControl/>
              <w:jc w:val="center"/>
              <w:textAlignment w:val="center"/>
              <w:rPr>
                <w:color w:val="000000"/>
                <w:kern w:val="0"/>
                <w:szCs w:val="21"/>
              </w:rPr>
            </w:pPr>
            <w:r>
              <w:rPr>
                <w:color w:val="000000"/>
                <w:kern w:val="0"/>
                <w:szCs w:val="21"/>
              </w:rPr>
              <w:t>应得分</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995818B">
            <w:pPr>
              <w:widowControl/>
              <w:jc w:val="center"/>
              <w:textAlignment w:val="center"/>
              <w:rPr>
                <w:color w:val="000000"/>
                <w:szCs w:val="21"/>
              </w:rPr>
            </w:pPr>
            <w:r>
              <w:rPr>
                <w:color w:val="000000"/>
                <w:kern w:val="0"/>
                <w:szCs w:val="21"/>
              </w:rPr>
              <w:t>实得分</w:t>
            </w:r>
          </w:p>
        </w:tc>
      </w:tr>
      <w:tr w14:paraId="3B18E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0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7F95B3C">
            <w:pPr>
              <w:widowControl/>
              <w:jc w:val="center"/>
              <w:textAlignment w:val="center"/>
              <w:rPr>
                <w:color w:val="000000"/>
                <w:szCs w:val="21"/>
              </w:rPr>
            </w:pPr>
            <w:r>
              <w:rPr>
                <w:color w:val="000000"/>
                <w:kern w:val="0"/>
                <w:szCs w:val="21"/>
              </w:rPr>
              <w:t>1</w:t>
            </w:r>
          </w:p>
        </w:tc>
        <w:tc>
          <w:tcPr>
            <w:tcW w:w="600"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D21D716">
            <w:pPr>
              <w:widowControl/>
              <w:jc w:val="center"/>
              <w:textAlignment w:val="center"/>
              <w:rPr>
                <w:color w:val="000000"/>
                <w:kern w:val="0"/>
                <w:szCs w:val="21"/>
              </w:rPr>
            </w:pPr>
            <w:r>
              <w:rPr>
                <w:color w:val="000000"/>
                <w:kern w:val="0"/>
                <w:szCs w:val="21"/>
              </w:rPr>
              <w:t>给</w:t>
            </w:r>
          </w:p>
          <w:p w14:paraId="0FF8934F">
            <w:pPr>
              <w:widowControl/>
              <w:jc w:val="center"/>
              <w:textAlignment w:val="center"/>
              <w:rPr>
                <w:color w:val="000000"/>
                <w:kern w:val="0"/>
                <w:szCs w:val="21"/>
              </w:rPr>
            </w:pPr>
            <w:r>
              <w:rPr>
                <w:color w:val="000000"/>
                <w:kern w:val="0"/>
                <w:szCs w:val="21"/>
              </w:rPr>
              <w:t>排</w:t>
            </w:r>
          </w:p>
          <w:p w14:paraId="21D7C4B4">
            <w:pPr>
              <w:widowControl/>
              <w:jc w:val="center"/>
              <w:textAlignment w:val="center"/>
              <w:rPr>
                <w:color w:val="000000"/>
                <w:kern w:val="0"/>
                <w:szCs w:val="21"/>
              </w:rPr>
            </w:pPr>
            <w:r>
              <w:rPr>
                <w:color w:val="000000"/>
                <w:kern w:val="0"/>
                <w:szCs w:val="21"/>
              </w:rPr>
              <w:t>水</w:t>
            </w:r>
          </w:p>
          <w:p w14:paraId="5B3BB730">
            <w:pPr>
              <w:widowControl/>
              <w:jc w:val="center"/>
              <w:textAlignment w:val="center"/>
              <w:rPr>
                <w:color w:val="000000"/>
                <w:kern w:val="0"/>
                <w:szCs w:val="21"/>
              </w:rPr>
            </w:pPr>
            <w:r>
              <w:rPr>
                <w:color w:val="000000"/>
                <w:kern w:val="0"/>
                <w:szCs w:val="21"/>
              </w:rPr>
              <w:t>及</w:t>
            </w:r>
          </w:p>
          <w:p w14:paraId="04FA4406">
            <w:pPr>
              <w:widowControl/>
              <w:jc w:val="center"/>
              <w:textAlignment w:val="center"/>
              <w:rPr>
                <w:color w:val="000000"/>
                <w:kern w:val="0"/>
                <w:szCs w:val="21"/>
              </w:rPr>
            </w:pPr>
            <w:r>
              <w:rPr>
                <w:rFonts w:hint="eastAsia"/>
                <w:color w:val="000000"/>
                <w:kern w:val="0"/>
                <w:szCs w:val="21"/>
              </w:rPr>
              <w:t>供</w:t>
            </w:r>
          </w:p>
          <w:p w14:paraId="466CE93F">
            <w:pPr>
              <w:widowControl/>
              <w:jc w:val="center"/>
              <w:textAlignment w:val="center"/>
              <w:rPr>
                <w:color w:val="000000"/>
                <w:szCs w:val="21"/>
              </w:rPr>
            </w:pPr>
            <w:r>
              <w:rPr>
                <w:rFonts w:hint="eastAsia"/>
                <w:color w:val="000000"/>
                <w:kern w:val="0"/>
                <w:szCs w:val="21"/>
              </w:rPr>
              <w:t>暖</w:t>
            </w:r>
          </w:p>
        </w:tc>
        <w:tc>
          <w:tcPr>
            <w:tcW w:w="490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329D6D9">
            <w:pPr>
              <w:widowControl/>
              <w:jc w:val="left"/>
              <w:textAlignment w:val="center"/>
              <w:rPr>
                <w:color w:val="000000"/>
                <w:szCs w:val="21"/>
              </w:rPr>
            </w:pPr>
            <w:r>
              <w:rPr>
                <w:color w:val="000000"/>
                <w:kern w:val="0"/>
                <w:szCs w:val="21"/>
              </w:rPr>
              <w:t>设备及连接管道安装</w:t>
            </w:r>
            <w:r>
              <w:rPr>
                <w:rFonts w:hint="eastAsia"/>
                <w:color w:val="000000"/>
                <w:kern w:val="0"/>
                <w:szCs w:val="21"/>
              </w:rPr>
              <w:t>：</w:t>
            </w:r>
            <w:r>
              <w:rPr>
                <w:color w:val="000000"/>
                <w:kern w:val="0"/>
                <w:szCs w:val="21"/>
              </w:rPr>
              <w:br w:type="textWrapping"/>
            </w:r>
            <w:r>
              <w:rPr>
                <w:color w:val="000000"/>
                <w:kern w:val="0"/>
                <w:szCs w:val="21"/>
              </w:rPr>
              <w:t>1</w:t>
            </w:r>
            <w:r>
              <w:rPr>
                <w:rFonts w:hint="eastAsia"/>
                <w:color w:val="000000"/>
                <w:kern w:val="0"/>
                <w:szCs w:val="21"/>
              </w:rPr>
              <w:t>.</w:t>
            </w:r>
            <w:r>
              <w:rPr>
                <w:color w:val="000000"/>
                <w:kern w:val="0"/>
                <w:szCs w:val="21"/>
              </w:rPr>
              <w:t>动力设备运行状态</w:t>
            </w:r>
            <w:r>
              <w:rPr>
                <w:rFonts w:hint="eastAsia"/>
                <w:color w:val="000000"/>
                <w:kern w:val="0"/>
                <w:szCs w:val="21"/>
              </w:rPr>
              <w:t>；</w:t>
            </w:r>
            <w:r>
              <w:rPr>
                <w:color w:val="000000"/>
                <w:kern w:val="0"/>
                <w:szCs w:val="21"/>
              </w:rPr>
              <w:br w:type="textWrapping"/>
            </w:r>
            <w:r>
              <w:rPr>
                <w:color w:val="000000"/>
                <w:kern w:val="0"/>
                <w:szCs w:val="21"/>
              </w:rPr>
              <w:t>2</w:t>
            </w:r>
            <w:r>
              <w:rPr>
                <w:rFonts w:hint="eastAsia"/>
                <w:color w:val="000000"/>
                <w:kern w:val="0"/>
                <w:szCs w:val="21"/>
              </w:rPr>
              <w:t>.</w:t>
            </w:r>
            <w:r>
              <w:rPr>
                <w:color w:val="000000"/>
                <w:kern w:val="0"/>
                <w:szCs w:val="21"/>
              </w:rPr>
              <w:t>设备的排布、安装、减隔</w:t>
            </w:r>
            <w:r>
              <w:rPr>
                <w:rFonts w:hint="eastAsia"/>
                <w:color w:val="000000"/>
                <w:kern w:val="0"/>
                <w:szCs w:val="21"/>
              </w:rPr>
              <w:t>振；</w:t>
            </w:r>
            <w:r>
              <w:rPr>
                <w:color w:val="000000"/>
                <w:kern w:val="0"/>
                <w:szCs w:val="21"/>
              </w:rPr>
              <w:br w:type="textWrapping"/>
            </w:r>
            <w:r>
              <w:rPr>
                <w:color w:val="000000"/>
                <w:kern w:val="0"/>
                <w:szCs w:val="21"/>
              </w:rPr>
              <w:t>3</w:t>
            </w:r>
            <w:r>
              <w:rPr>
                <w:rFonts w:hint="eastAsia"/>
                <w:color w:val="000000"/>
                <w:kern w:val="0"/>
                <w:szCs w:val="21"/>
              </w:rPr>
              <w:t>.</w:t>
            </w:r>
            <w:r>
              <w:rPr>
                <w:color w:val="000000"/>
                <w:kern w:val="0"/>
                <w:szCs w:val="21"/>
              </w:rPr>
              <w:t>动力设备两端的异径管、软连接（可挠性接头）</w:t>
            </w:r>
            <w:r>
              <w:rPr>
                <w:rFonts w:hint="eastAsia"/>
                <w:color w:val="000000"/>
                <w:kern w:val="0"/>
                <w:szCs w:val="21"/>
              </w:rPr>
              <w:t>；</w:t>
            </w:r>
            <w:r>
              <w:rPr>
                <w:color w:val="000000"/>
                <w:kern w:val="0"/>
                <w:szCs w:val="21"/>
              </w:rPr>
              <w:br w:type="textWrapping"/>
            </w:r>
            <w:r>
              <w:rPr>
                <w:color w:val="000000"/>
                <w:kern w:val="0"/>
                <w:szCs w:val="21"/>
              </w:rPr>
              <w:t>4</w:t>
            </w:r>
            <w:r>
              <w:rPr>
                <w:rFonts w:hint="eastAsia"/>
                <w:color w:val="000000"/>
                <w:kern w:val="0"/>
                <w:szCs w:val="21"/>
              </w:rPr>
              <w:t>.</w:t>
            </w:r>
            <w:r>
              <w:rPr>
                <w:color w:val="000000"/>
                <w:kern w:val="0"/>
                <w:szCs w:val="21"/>
              </w:rPr>
              <w:t>阀门、仪器仪表的排布、安装、朝向及量程</w:t>
            </w:r>
            <w:r>
              <w:rPr>
                <w:rFonts w:hint="eastAsia"/>
                <w:color w:val="000000"/>
                <w:kern w:val="0"/>
                <w:szCs w:val="21"/>
              </w:rPr>
              <w:t>；</w:t>
            </w:r>
            <w:r>
              <w:rPr>
                <w:color w:val="000000"/>
                <w:kern w:val="0"/>
                <w:szCs w:val="21"/>
              </w:rPr>
              <w:br w:type="textWrapping"/>
            </w:r>
            <w:r>
              <w:rPr>
                <w:color w:val="000000"/>
                <w:kern w:val="0"/>
                <w:szCs w:val="21"/>
              </w:rPr>
              <w:t>5</w:t>
            </w:r>
            <w:r>
              <w:rPr>
                <w:rFonts w:hint="eastAsia"/>
                <w:color w:val="000000"/>
                <w:kern w:val="0"/>
                <w:szCs w:val="21"/>
              </w:rPr>
              <w:t>.</w:t>
            </w:r>
            <w:r>
              <w:rPr>
                <w:color w:val="000000"/>
                <w:kern w:val="0"/>
                <w:szCs w:val="21"/>
              </w:rPr>
              <w:t>设备基础设置及排水措施</w:t>
            </w:r>
            <w:r>
              <w:rPr>
                <w:rFonts w:hint="eastAsia"/>
                <w:color w:val="000000"/>
                <w:kern w:val="0"/>
                <w:szCs w:val="21"/>
              </w:rPr>
              <w:t>；</w:t>
            </w:r>
            <w:r>
              <w:rPr>
                <w:color w:val="000000"/>
                <w:kern w:val="0"/>
                <w:szCs w:val="21"/>
              </w:rPr>
              <w:br w:type="textWrapping"/>
            </w:r>
            <w:r>
              <w:rPr>
                <w:color w:val="000000"/>
                <w:kern w:val="0"/>
                <w:szCs w:val="21"/>
              </w:rPr>
              <w:t>6</w:t>
            </w:r>
            <w:r>
              <w:rPr>
                <w:rFonts w:hint="eastAsia"/>
                <w:color w:val="000000"/>
                <w:kern w:val="0"/>
                <w:szCs w:val="21"/>
              </w:rPr>
              <w:t>.</w:t>
            </w:r>
            <w:r>
              <w:rPr>
                <w:color w:val="000000"/>
                <w:kern w:val="0"/>
                <w:szCs w:val="21"/>
              </w:rPr>
              <w:t>设备用房有组织排水</w:t>
            </w:r>
            <w:r>
              <w:rPr>
                <w:rFonts w:hint="eastAsia"/>
                <w:color w:val="000000"/>
                <w:kern w:val="0"/>
                <w:szCs w:val="21"/>
              </w:rPr>
              <w:t>。</w:t>
            </w:r>
          </w:p>
        </w:tc>
        <w:tc>
          <w:tcPr>
            <w:tcW w:w="228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559254C">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D01C753">
            <w:pPr>
              <w:jc w:val="center"/>
              <w:rPr>
                <w:color w:val="000000"/>
                <w:szCs w:val="21"/>
              </w:rPr>
            </w:pPr>
            <w:r>
              <w:rPr>
                <w:rFonts w:hint="eastAsia"/>
                <w:color w:val="000000"/>
                <w:szCs w:val="21"/>
              </w:rPr>
              <w:t>1</w:t>
            </w:r>
            <w:r>
              <w:rPr>
                <w:color w:val="000000"/>
                <w:szCs w:val="21"/>
              </w:rPr>
              <w:t>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8B8B232">
            <w:pPr>
              <w:rPr>
                <w:color w:val="000000"/>
                <w:szCs w:val="21"/>
              </w:rPr>
            </w:pPr>
          </w:p>
        </w:tc>
      </w:tr>
      <w:tr w14:paraId="55D58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2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33D0B60">
            <w:pPr>
              <w:widowControl/>
              <w:jc w:val="center"/>
              <w:textAlignment w:val="center"/>
              <w:rPr>
                <w:color w:val="000000"/>
                <w:szCs w:val="21"/>
              </w:rPr>
            </w:pPr>
            <w:r>
              <w:rPr>
                <w:color w:val="000000"/>
                <w:kern w:val="0"/>
                <w:szCs w:val="21"/>
              </w:rPr>
              <w:t>2</w:t>
            </w:r>
          </w:p>
        </w:tc>
        <w:tc>
          <w:tcPr>
            <w:tcW w:w="60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6263C65">
            <w:pPr>
              <w:jc w:val="center"/>
              <w:rPr>
                <w:color w:val="000000"/>
                <w:szCs w:val="21"/>
              </w:rPr>
            </w:pPr>
          </w:p>
        </w:tc>
        <w:tc>
          <w:tcPr>
            <w:tcW w:w="490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5E30D95">
            <w:pPr>
              <w:widowControl/>
              <w:jc w:val="left"/>
              <w:textAlignment w:val="center"/>
              <w:rPr>
                <w:color w:val="000000"/>
                <w:szCs w:val="21"/>
              </w:rPr>
            </w:pPr>
            <w:r>
              <w:rPr>
                <w:color w:val="000000"/>
                <w:kern w:val="0"/>
                <w:szCs w:val="21"/>
              </w:rPr>
              <w:t>管道安装</w:t>
            </w:r>
            <w:r>
              <w:rPr>
                <w:rFonts w:hint="eastAsia"/>
                <w:color w:val="000000"/>
                <w:kern w:val="0"/>
                <w:szCs w:val="21"/>
              </w:rPr>
              <w:t>：</w:t>
            </w:r>
            <w:r>
              <w:rPr>
                <w:color w:val="000000"/>
                <w:kern w:val="0"/>
                <w:szCs w:val="21"/>
              </w:rPr>
              <w:br w:type="textWrapping"/>
            </w:r>
            <w:r>
              <w:rPr>
                <w:color w:val="000000"/>
                <w:kern w:val="0"/>
                <w:szCs w:val="21"/>
              </w:rPr>
              <w:t>1</w:t>
            </w:r>
            <w:r>
              <w:rPr>
                <w:rFonts w:hint="eastAsia"/>
                <w:color w:val="000000"/>
                <w:kern w:val="0"/>
                <w:szCs w:val="21"/>
              </w:rPr>
              <w:t>.</w:t>
            </w:r>
            <w:r>
              <w:rPr>
                <w:color w:val="000000"/>
                <w:kern w:val="0"/>
                <w:szCs w:val="21"/>
              </w:rPr>
              <w:t>管道系统安装的整体牢固性（整体刚度）</w:t>
            </w:r>
            <w:r>
              <w:rPr>
                <w:rFonts w:hint="eastAsia"/>
                <w:color w:val="000000"/>
                <w:kern w:val="0"/>
                <w:szCs w:val="21"/>
              </w:rPr>
              <w:t>；</w:t>
            </w:r>
            <w:r>
              <w:rPr>
                <w:color w:val="000000"/>
                <w:kern w:val="0"/>
                <w:szCs w:val="21"/>
              </w:rPr>
              <w:br w:type="textWrapping"/>
            </w:r>
            <w:r>
              <w:rPr>
                <w:color w:val="000000"/>
                <w:kern w:val="0"/>
                <w:szCs w:val="21"/>
              </w:rPr>
              <w:t>2</w:t>
            </w:r>
            <w:r>
              <w:rPr>
                <w:rFonts w:hint="eastAsia"/>
                <w:color w:val="000000"/>
                <w:kern w:val="0"/>
                <w:szCs w:val="21"/>
              </w:rPr>
              <w:t>.</w:t>
            </w:r>
            <w:r>
              <w:rPr>
                <w:color w:val="000000"/>
                <w:kern w:val="0"/>
                <w:szCs w:val="21"/>
              </w:rPr>
              <w:t>管道排布、安装、间距，跨越变形缝处补偿装置</w:t>
            </w:r>
            <w:r>
              <w:rPr>
                <w:rFonts w:hint="eastAsia"/>
                <w:color w:val="000000"/>
                <w:kern w:val="0"/>
                <w:szCs w:val="21"/>
              </w:rPr>
              <w:t>；</w:t>
            </w:r>
            <w:r>
              <w:rPr>
                <w:color w:val="000000"/>
                <w:kern w:val="0"/>
                <w:szCs w:val="21"/>
              </w:rPr>
              <w:br w:type="textWrapping"/>
            </w:r>
            <w:r>
              <w:rPr>
                <w:color w:val="000000"/>
                <w:kern w:val="0"/>
                <w:szCs w:val="21"/>
              </w:rPr>
              <w:t>3</w:t>
            </w:r>
            <w:r>
              <w:rPr>
                <w:rFonts w:hint="eastAsia"/>
                <w:color w:val="000000"/>
                <w:kern w:val="0"/>
                <w:szCs w:val="21"/>
              </w:rPr>
              <w:t>.</w:t>
            </w:r>
            <w:r>
              <w:rPr>
                <w:color w:val="000000"/>
                <w:kern w:val="0"/>
                <w:szCs w:val="21"/>
              </w:rPr>
              <w:t>管道的垂直度、</w:t>
            </w:r>
            <w:r>
              <w:rPr>
                <w:rFonts w:hint="eastAsia"/>
                <w:color w:val="000000"/>
                <w:kern w:val="0"/>
                <w:szCs w:val="21"/>
              </w:rPr>
              <w:t>坡向、</w:t>
            </w:r>
            <w:r>
              <w:rPr>
                <w:color w:val="000000"/>
                <w:kern w:val="0"/>
                <w:szCs w:val="21"/>
              </w:rPr>
              <w:t>坡度</w:t>
            </w:r>
            <w:r>
              <w:rPr>
                <w:rFonts w:hint="eastAsia"/>
                <w:color w:val="000000"/>
                <w:kern w:val="0"/>
                <w:szCs w:val="21"/>
              </w:rPr>
              <w:t>；</w:t>
            </w:r>
            <w:r>
              <w:rPr>
                <w:color w:val="000000"/>
                <w:kern w:val="0"/>
                <w:szCs w:val="21"/>
              </w:rPr>
              <w:br w:type="textWrapping"/>
            </w:r>
            <w:r>
              <w:rPr>
                <w:color w:val="000000"/>
                <w:kern w:val="0"/>
                <w:szCs w:val="21"/>
              </w:rPr>
              <w:t>4</w:t>
            </w:r>
            <w:r>
              <w:rPr>
                <w:rFonts w:hint="eastAsia"/>
                <w:color w:val="000000"/>
                <w:kern w:val="0"/>
                <w:szCs w:val="21"/>
              </w:rPr>
              <w:t>.</w:t>
            </w:r>
            <w:r>
              <w:rPr>
                <w:color w:val="000000"/>
                <w:kern w:val="0"/>
                <w:szCs w:val="21"/>
              </w:rPr>
              <w:t>管道连接（接口）的牢固性、严密性，观感</w:t>
            </w:r>
            <w:r>
              <w:rPr>
                <w:rFonts w:hint="eastAsia"/>
                <w:color w:val="000000"/>
                <w:kern w:val="0"/>
                <w:szCs w:val="21"/>
              </w:rPr>
              <w:t>；</w:t>
            </w:r>
            <w:r>
              <w:rPr>
                <w:color w:val="000000"/>
                <w:kern w:val="0"/>
                <w:szCs w:val="21"/>
              </w:rPr>
              <w:br w:type="textWrapping"/>
            </w:r>
            <w:r>
              <w:rPr>
                <w:color w:val="000000"/>
                <w:kern w:val="0"/>
                <w:szCs w:val="21"/>
              </w:rPr>
              <w:t>5</w:t>
            </w:r>
            <w:r>
              <w:rPr>
                <w:rFonts w:hint="eastAsia"/>
                <w:color w:val="000000"/>
                <w:kern w:val="0"/>
                <w:szCs w:val="21"/>
              </w:rPr>
              <w:t>.</w:t>
            </w:r>
            <w:r>
              <w:rPr>
                <w:color w:val="000000"/>
                <w:kern w:val="0"/>
                <w:szCs w:val="21"/>
              </w:rPr>
              <w:t>检查口、清扫口、UPVC管的阻火圈、伸缩节等管道附件的设置</w:t>
            </w:r>
            <w:r>
              <w:rPr>
                <w:rFonts w:hint="eastAsia"/>
                <w:color w:val="000000"/>
                <w:kern w:val="0"/>
                <w:szCs w:val="21"/>
              </w:rPr>
              <w:t>；</w:t>
            </w:r>
            <w:r>
              <w:rPr>
                <w:color w:val="000000"/>
                <w:kern w:val="0"/>
                <w:szCs w:val="21"/>
              </w:rPr>
              <w:br w:type="textWrapping"/>
            </w:r>
            <w:r>
              <w:rPr>
                <w:color w:val="000000"/>
                <w:kern w:val="0"/>
                <w:szCs w:val="21"/>
              </w:rPr>
              <w:t>6</w:t>
            </w:r>
            <w:r>
              <w:rPr>
                <w:rFonts w:hint="eastAsia"/>
                <w:color w:val="000000"/>
                <w:kern w:val="0"/>
                <w:szCs w:val="21"/>
              </w:rPr>
              <w:t>.</w:t>
            </w:r>
            <w:r>
              <w:rPr>
                <w:color w:val="000000"/>
                <w:kern w:val="0"/>
                <w:szCs w:val="21"/>
              </w:rPr>
              <w:t>出屋面通气管的高度及根部处理</w:t>
            </w:r>
            <w:r>
              <w:rPr>
                <w:rFonts w:hint="eastAsia"/>
                <w:color w:val="000000"/>
                <w:kern w:val="0"/>
                <w:szCs w:val="21"/>
              </w:rPr>
              <w:t>；</w:t>
            </w:r>
            <w:r>
              <w:rPr>
                <w:color w:val="000000"/>
                <w:kern w:val="0"/>
                <w:szCs w:val="21"/>
              </w:rPr>
              <w:br w:type="textWrapping"/>
            </w:r>
            <w:r>
              <w:rPr>
                <w:color w:val="000000"/>
                <w:kern w:val="0"/>
                <w:szCs w:val="21"/>
              </w:rPr>
              <w:t>7</w:t>
            </w:r>
            <w:r>
              <w:rPr>
                <w:rFonts w:hint="eastAsia"/>
                <w:color w:val="000000"/>
                <w:kern w:val="0"/>
                <w:szCs w:val="21"/>
              </w:rPr>
              <w:t>.</w:t>
            </w:r>
            <w:r>
              <w:rPr>
                <w:color w:val="000000"/>
                <w:kern w:val="0"/>
                <w:szCs w:val="21"/>
              </w:rPr>
              <w:t>套管设置及封堵</w:t>
            </w:r>
            <w:r>
              <w:rPr>
                <w:rFonts w:hint="eastAsia"/>
                <w:color w:val="000000"/>
                <w:kern w:val="0"/>
                <w:szCs w:val="21"/>
              </w:rPr>
              <w:t>。</w:t>
            </w:r>
          </w:p>
        </w:tc>
        <w:tc>
          <w:tcPr>
            <w:tcW w:w="228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6833EE4">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ABCE68D">
            <w:pPr>
              <w:jc w:val="center"/>
              <w:rPr>
                <w:color w:val="000000"/>
                <w:szCs w:val="21"/>
              </w:rPr>
            </w:pPr>
            <w:r>
              <w:rPr>
                <w:rFonts w:hint="eastAsia"/>
                <w:color w:val="000000"/>
                <w:szCs w:val="21"/>
              </w:rPr>
              <w:t>10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789797F">
            <w:pPr>
              <w:rPr>
                <w:color w:val="000000"/>
                <w:szCs w:val="21"/>
              </w:rPr>
            </w:pPr>
          </w:p>
        </w:tc>
      </w:tr>
      <w:tr w14:paraId="5D504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D3E7092">
            <w:pPr>
              <w:widowControl/>
              <w:jc w:val="center"/>
              <w:textAlignment w:val="center"/>
              <w:rPr>
                <w:color w:val="000000"/>
                <w:szCs w:val="21"/>
              </w:rPr>
            </w:pPr>
            <w:r>
              <w:rPr>
                <w:color w:val="000000"/>
                <w:kern w:val="0"/>
                <w:szCs w:val="21"/>
              </w:rPr>
              <w:t>3</w:t>
            </w:r>
          </w:p>
        </w:tc>
        <w:tc>
          <w:tcPr>
            <w:tcW w:w="60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0BB6D4B">
            <w:pPr>
              <w:jc w:val="center"/>
              <w:rPr>
                <w:color w:val="000000"/>
                <w:szCs w:val="21"/>
              </w:rPr>
            </w:pPr>
          </w:p>
        </w:tc>
        <w:tc>
          <w:tcPr>
            <w:tcW w:w="490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EF609D1">
            <w:pPr>
              <w:widowControl/>
              <w:jc w:val="left"/>
              <w:textAlignment w:val="center"/>
              <w:rPr>
                <w:color w:val="000000"/>
                <w:szCs w:val="21"/>
              </w:rPr>
            </w:pPr>
            <w:r>
              <w:rPr>
                <w:color w:val="000000"/>
                <w:kern w:val="0"/>
                <w:szCs w:val="21"/>
              </w:rPr>
              <w:t>支吊架安装</w:t>
            </w:r>
            <w:r>
              <w:rPr>
                <w:rFonts w:hint="eastAsia"/>
                <w:color w:val="000000"/>
                <w:kern w:val="0"/>
                <w:szCs w:val="21"/>
              </w:rPr>
              <w:t>：</w:t>
            </w:r>
            <w:r>
              <w:rPr>
                <w:color w:val="000000"/>
                <w:kern w:val="0"/>
                <w:szCs w:val="21"/>
              </w:rPr>
              <w:br w:type="textWrapping"/>
            </w:r>
            <w:r>
              <w:rPr>
                <w:color w:val="000000"/>
                <w:kern w:val="0"/>
                <w:szCs w:val="21"/>
              </w:rPr>
              <w:t>1</w:t>
            </w:r>
            <w:r>
              <w:rPr>
                <w:rFonts w:hint="eastAsia"/>
                <w:color w:val="000000"/>
                <w:kern w:val="0"/>
                <w:szCs w:val="21"/>
              </w:rPr>
              <w:t>.</w:t>
            </w:r>
            <w:r>
              <w:rPr>
                <w:color w:val="000000"/>
                <w:kern w:val="0"/>
                <w:szCs w:val="21"/>
              </w:rPr>
              <w:t>支吊架的制作加工</w:t>
            </w:r>
            <w:r>
              <w:rPr>
                <w:rFonts w:hint="eastAsia"/>
                <w:color w:val="000000"/>
                <w:kern w:val="0"/>
                <w:szCs w:val="21"/>
              </w:rPr>
              <w:t>；</w:t>
            </w:r>
            <w:r>
              <w:rPr>
                <w:color w:val="000000"/>
                <w:kern w:val="0"/>
                <w:szCs w:val="21"/>
              </w:rPr>
              <w:br w:type="textWrapping"/>
            </w:r>
            <w:r>
              <w:rPr>
                <w:color w:val="000000"/>
                <w:kern w:val="0"/>
                <w:szCs w:val="21"/>
              </w:rPr>
              <w:t>2</w:t>
            </w:r>
            <w:r>
              <w:rPr>
                <w:rFonts w:hint="eastAsia"/>
                <w:color w:val="000000"/>
                <w:kern w:val="0"/>
                <w:szCs w:val="21"/>
              </w:rPr>
              <w:t>.</w:t>
            </w:r>
            <w:r>
              <w:rPr>
                <w:color w:val="000000"/>
                <w:kern w:val="0"/>
                <w:szCs w:val="21"/>
              </w:rPr>
              <w:t>支吊架设置、安装、间距</w:t>
            </w:r>
            <w:r>
              <w:rPr>
                <w:rFonts w:hint="eastAsia"/>
                <w:color w:val="000000"/>
                <w:kern w:val="0"/>
                <w:szCs w:val="21"/>
              </w:rPr>
              <w:t>；</w:t>
            </w:r>
            <w:r>
              <w:rPr>
                <w:color w:val="000000"/>
                <w:kern w:val="0"/>
                <w:szCs w:val="21"/>
              </w:rPr>
              <w:br w:type="textWrapping"/>
            </w:r>
            <w:r>
              <w:rPr>
                <w:color w:val="000000"/>
                <w:kern w:val="0"/>
                <w:szCs w:val="21"/>
              </w:rPr>
              <w:t>3</w:t>
            </w:r>
            <w:r>
              <w:rPr>
                <w:rFonts w:hint="eastAsia"/>
                <w:color w:val="000000"/>
                <w:kern w:val="0"/>
                <w:szCs w:val="21"/>
              </w:rPr>
              <w:t>.</w:t>
            </w:r>
            <w:r>
              <w:rPr>
                <w:color w:val="000000"/>
                <w:kern w:val="0"/>
                <w:szCs w:val="21"/>
              </w:rPr>
              <w:t>防晃、滑动、固定、综合支架的设置</w:t>
            </w:r>
            <w:r>
              <w:rPr>
                <w:rFonts w:hint="eastAsia"/>
                <w:color w:val="000000"/>
                <w:kern w:val="0"/>
                <w:szCs w:val="21"/>
              </w:rPr>
              <w:t>。</w:t>
            </w:r>
          </w:p>
        </w:tc>
        <w:tc>
          <w:tcPr>
            <w:tcW w:w="228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786A13C">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81A3D0A">
            <w:pPr>
              <w:jc w:val="center"/>
              <w:rPr>
                <w:color w:val="000000"/>
                <w:szCs w:val="21"/>
              </w:rPr>
            </w:pPr>
            <w:r>
              <w:rPr>
                <w:rFonts w:hint="eastAsia"/>
                <w:color w:val="000000"/>
                <w:szCs w:val="21"/>
              </w:rPr>
              <w:t>8</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B1BAAE3">
            <w:pPr>
              <w:rPr>
                <w:color w:val="000000"/>
                <w:szCs w:val="21"/>
              </w:rPr>
            </w:pPr>
          </w:p>
        </w:tc>
      </w:tr>
      <w:tr w14:paraId="0728E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0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67308E0">
            <w:pPr>
              <w:widowControl/>
              <w:jc w:val="center"/>
              <w:textAlignment w:val="center"/>
              <w:rPr>
                <w:color w:val="000000"/>
                <w:szCs w:val="21"/>
              </w:rPr>
            </w:pPr>
            <w:r>
              <w:rPr>
                <w:color w:val="000000"/>
                <w:kern w:val="0"/>
                <w:szCs w:val="21"/>
              </w:rPr>
              <w:t>4</w:t>
            </w:r>
          </w:p>
        </w:tc>
        <w:tc>
          <w:tcPr>
            <w:tcW w:w="60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0CF45B1">
            <w:pPr>
              <w:jc w:val="center"/>
              <w:rPr>
                <w:color w:val="000000"/>
                <w:szCs w:val="21"/>
              </w:rPr>
            </w:pPr>
          </w:p>
        </w:tc>
        <w:tc>
          <w:tcPr>
            <w:tcW w:w="490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31AD6D5">
            <w:pPr>
              <w:widowControl/>
              <w:jc w:val="left"/>
              <w:textAlignment w:val="center"/>
              <w:rPr>
                <w:color w:val="000000"/>
                <w:szCs w:val="21"/>
              </w:rPr>
            </w:pPr>
            <w:r>
              <w:rPr>
                <w:color w:val="000000"/>
                <w:kern w:val="0"/>
                <w:szCs w:val="21"/>
              </w:rPr>
              <w:t>消防设施及消防组件</w:t>
            </w:r>
            <w:r>
              <w:rPr>
                <w:rFonts w:hint="eastAsia"/>
                <w:color w:val="000000"/>
                <w:kern w:val="0"/>
                <w:szCs w:val="21"/>
              </w:rPr>
              <w:t>：</w:t>
            </w:r>
            <w:r>
              <w:rPr>
                <w:color w:val="000000"/>
                <w:kern w:val="0"/>
                <w:szCs w:val="21"/>
              </w:rPr>
              <w:br w:type="textWrapping"/>
            </w:r>
            <w:r>
              <w:rPr>
                <w:color w:val="000000"/>
                <w:kern w:val="0"/>
                <w:szCs w:val="21"/>
              </w:rPr>
              <w:t>1</w:t>
            </w:r>
            <w:r>
              <w:rPr>
                <w:rFonts w:hint="eastAsia"/>
                <w:color w:val="000000"/>
                <w:kern w:val="0"/>
                <w:szCs w:val="21"/>
              </w:rPr>
              <w:t>.</w:t>
            </w:r>
            <w:r>
              <w:rPr>
                <w:color w:val="000000"/>
                <w:kern w:val="0"/>
                <w:szCs w:val="21"/>
              </w:rPr>
              <w:t>喷头布置与排列、与装饰的协调性</w:t>
            </w:r>
            <w:r>
              <w:rPr>
                <w:rFonts w:hint="eastAsia"/>
                <w:color w:val="000000"/>
                <w:kern w:val="0"/>
                <w:szCs w:val="21"/>
              </w:rPr>
              <w:t>；</w:t>
            </w:r>
            <w:r>
              <w:rPr>
                <w:color w:val="000000"/>
                <w:kern w:val="0"/>
                <w:szCs w:val="21"/>
              </w:rPr>
              <w:br w:type="textWrapping"/>
            </w:r>
            <w:r>
              <w:rPr>
                <w:color w:val="000000"/>
                <w:kern w:val="0"/>
                <w:szCs w:val="21"/>
              </w:rPr>
              <w:t>2</w:t>
            </w:r>
            <w:r>
              <w:rPr>
                <w:rFonts w:hint="eastAsia"/>
                <w:color w:val="000000"/>
                <w:kern w:val="0"/>
                <w:szCs w:val="21"/>
              </w:rPr>
              <w:t>.</w:t>
            </w:r>
            <w:r>
              <w:rPr>
                <w:color w:val="000000"/>
                <w:kern w:val="0"/>
                <w:szCs w:val="21"/>
              </w:rPr>
              <w:t>消火栓箱箱门开启方向、角度及灵活性；栓口高度、位置，箱内配件齐全、有效</w:t>
            </w:r>
            <w:r>
              <w:rPr>
                <w:rFonts w:hint="eastAsia"/>
                <w:color w:val="000000"/>
                <w:kern w:val="0"/>
                <w:szCs w:val="21"/>
              </w:rPr>
              <w:t>；</w:t>
            </w:r>
            <w:r>
              <w:rPr>
                <w:color w:val="000000"/>
                <w:kern w:val="0"/>
                <w:szCs w:val="21"/>
              </w:rPr>
              <w:br w:type="textWrapping"/>
            </w:r>
            <w:r>
              <w:rPr>
                <w:color w:val="000000"/>
                <w:kern w:val="0"/>
                <w:szCs w:val="21"/>
              </w:rPr>
              <w:t>3</w:t>
            </w:r>
            <w:r>
              <w:rPr>
                <w:rFonts w:hint="eastAsia"/>
                <w:color w:val="000000"/>
                <w:kern w:val="0"/>
                <w:szCs w:val="21"/>
              </w:rPr>
              <w:t>.</w:t>
            </w:r>
            <w:r>
              <w:rPr>
                <w:color w:val="000000"/>
                <w:kern w:val="0"/>
                <w:szCs w:val="21"/>
              </w:rPr>
              <w:t>室外消火栓及水泵接合器设置</w:t>
            </w:r>
            <w:r>
              <w:rPr>
                <w:rFonts w:hint="eastAsia"/>
                <w:color w:val="000000"/>
                <w:kern w:val="0"/>
                <w:szCs w:val="21"/>
              </w:rPr>
              <w:t>；</w:t>
            </w:r>
            <w:r>
              <w:rPr>
                <w:color w:val="000000"/>
                <w:kern w:val="0"/>
                <w:szCs w:val="21"/>
              </w:rPr>
              <w:br w:type="textWrapping"/>
            </w:r>
            <w:r>
              <w:rPr>
                <w:color w:val="000000"/>
                <w:kern w:val="0"/>
                <w:szCs w:val="21"/>
              </w:rPr>
              <w:t>4</w:t>
            </w:r>
            <w:r>
              <w:rPr>
                <w:rFonts w:hint="eastAsia"/>
                <w:color w:val="000000"/>
                <w:kern w:val="0"/>
                <w:szCs w:val="21"/>
              </w:rPr>
              <w:t>.</w:t>
            </w:r>
            <w:r>
              <w:rPr>
                <w:color w:val="000000"/>
                <w:kern w:val="0"/>
                <w:szCs w:val="21"/>
              </w:rPr>
              <w:t>报警阀组、警铃、末端试水装置设置及其配件安装</w:t>
            </w:r>
            <w:r>
              <w:rPr>
                <w:rFonts w:hint="eastAsia"/>
                <w:color w:val="000000"/>
                <w:kern w:val="0"/>
                <w:szCs w:val="21"/>
              </w:rPr>
              <w:t>；</w:t>
            </w:r>
            <w:r>
              <w:rPr>
                <w:color w:val="000000"/>
                <w:kern w:val="0"/>
                <w:szCs w:val="21"/>
              </w:rPr>
              <w:br w:type="textWrapping"/>
            </w:r>
            <w:r>
              <w:rPr>
                <w:color w:val="000000"/>
                <w:kern w:val="0"/>
                <w:szCs w:val="21"/>
              </w:rPr>
              <w:t>5</w:t>
            </w:r>
            <w:r>
              <w:rPr>
                <w:rFonts w:hint="eastAsia"/>
                <w:color w:val="000000"/>
                <w:kern w:val="0"/>
                <w:szCs w:val="21"/>
              </w:rPr>
              <w:t>.</w:t>
            </w:r>
            <w:r>
              <w:rPr>
                <w:color w:val="000000"/>
                <w:kern w:val="0"/>
                <w:szCs w:val="21"/>
              </w:rPr>
              <w:t>消防水炮、气体灭火系统</w:t>
            </w:r>
            <w:r>
              <w:rPr>
                <w:rFonts w:hint="eastAsia"/>
                <w:color w:val="000000"/>
                <w:kern w:val="0"/>
                <w:szCs w:val="21"/>
              </w:rPr>
              <w:t>。</w:t>
            </w:r>
          </w:p>
        </w:tc>
        <w:tc>
          <w:tcPr>
            <w:tcW w:w="228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22FED69">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6900D23">
            <w:pPr>
              <w:jc w:val="center"/>
              <w:rPr>
                <w:color w:val="000000"/>
                <w:szCs w:val="21"/>
              </w:rPr>
            </w:pPr>
            <w:r>
              <w:rPr>
                <w:rFonts w:hint="eastAsia"/>
                <w:color w:val="000000"/>
                <w:szCs w:val="21"/>
              </w:rPr>
              <w:t>8</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C4C1131">
            <w:pPr>
              <w:rPr>
                <w:color w:val="000000"/>
                <w:szCs w:val="21"/>
              </w:rPr>
            </w:pPr>
          </w:p>
        </w:tc>
      </w:tr>
      <w:tr w14:paraId="3147F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648C708">
            <w:pPr>
              <w:widowControl/>
              <w:jc w:val="center"/>
              <w:textAlignment w:val="center"/>
              <w:rPr>
                <w:color w:val="000000"/>
                <w:kern w:val="0"/>
                <w:szCs w:val="21"/>
              </w:rPr>
            </w:pPr>
            <w:r>
              <w:rPr>
                <w:rFonts w:hint="eastAsia"/>
                <w:color w:val="000000"/>
                <w:kern w:val="0"/>
                <w:szCs w:val="21"/>
              </w:rPr>
              <w:t>5</w:t>
            </w:r>
          </w:p>
        </w:tc>
        <w:tc>
          <w:tcPr>
            <w:tcW w:w="60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2069592">
            <w:pPr>
              <w:jc w:val="center"/>
              <w:rPr>
                <w:color w:val="000000"/>
                <w:szCs w:val="21"/>
              </w:rPr>
            </w:pPr>
          </w:p>
        </w:tc>
        <w:tc>
          <w:tcPr>
            <w:tcW w:w="490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E0DC1AF">
            <w:pPr>
              <w:widowControl/>
              <w:snapToGrid w:val="0"/>
              <w:jc w:val="left"/>
              <w:textAlignment w:val="center"/>
              <w:rPr>
                <w:color w:val="000000"/>
              </w:rPr>
            </w:pPr>
            <w:r>
              <w:rPr>
                <w:color w:val="000000"/>
              </w:rPr>
              <w:t>卫生器具及</w:t>
            </w:r>
            <w:r>
              <w:rPr>
                <w:rFonts w:hint="eastAsia"/>
                <w:color w:val="000000"/>
              </w:rPr>
              <w:t>供</w:t>
            </w:r>
            <w:r>
              <w:rPr>
                <w:color w:val="000000"/>
              </w:rPr>
              <w:t>暖设施</w:t>
            </w:r>
            <w:r>
              <w:rPr>
                <w:rFonts w:hint="eastAsia"/>
                <w:color w:val="000000"/>
              </w:rPr>
              <w:t>：</w:t>
            </w:r>
          </w:p>
          <w:p w14:paraId="39FE3633">
            <w:pPr>
              <w:widowControl/>
              <w:snapToGrid w:val="0"/>
              <w:jc w:val="left"/>
              <w:textAlignment w:val="center"/>
              <w:rPr>
                <w:color w:val="000000"/>
                <w:kern w:val="0"/>
                <w:szCs w:val="21"/>
              </w:rPr>
            </w:pPr>
            <w:r>
              <w:rPr>
                <w:color w:val="000000"/>
                <w:szCs w:val="21"/>
              </w:rPr>
              <w:t>1</w:t>
            </w:r>
            <w:r>
              <w:rPr>
                <w:rFonts w:hint="eastAsia"/>
                <w:color w:val="000000"/>
                <w:szCs w:val="21"/>
              </w:rPr>
              <w:t>.</w:t>
            </w:r>
            <w:r>
              <w:rPr>
                <w:color w:val="000000"/>
                <w:szCs w:val="21"/>
              </w:rPr>
              <w:t>卫生器具设置、排</w:t>
            </w:r>
            <w:r>
              <w:rPr>
                <w:color w:val="000000"/>
                <w:kern w:val="0"/>
                <w:szCs w:val="21"/>
              </w:rPr>
              <w:t>布及安装</w:t>
            </w:r>
            <w:r>
              <w:rPr>
                <w:rFonts w:hint="eastAsia"/>
                <w:color w:val="000000"/>
                <w:kern w:val="0"/>
                <w:szCs w:val="21"/>
              </w:rPr>
              <w:t>；</w:t>
            </w:r>
            <w:r>
              <w:rPr>
                <w:color w:val="000000"/>
                <w:kern w:val="0"/>
                <w:szCs w:val="21"/>
              </w:rPr>
              <w:t>2</w:t>
            </w:r>
            <w:r>
              <w:rPr>
                <w:rFonts w:hint="eastAsia"/>
                <w:color w:val="000000"/>
                <w:kern w:val="0"/>
                <w:szCs w:val="21"/>
              </w:rPr>
              <w:t>.</w:t>
            </w:r>
            <w:r>
              <w:rPr>
                <w:color w:val="000000"/>
                <w:kern w:val="0"/>
                <w:szCs w:val="21"/>
              </w:rPr>
              <w:t>部件连接的严密性</w:t>
            </w:r>
            <w:r>
              <w:rPr>
                <w:rFonts w:hint="eastAsia"/>
                <w:color w:val="000000"/>
                <w:kern w:val="0"/>
                <w:szCs w:val="21"/>
              </w:rPr>
              <w:t>；</w:t>
            </w:r>
          </w:p>
          <w:p w14:paraId="284BA4CF">
            <w:pPr>
              <w:widowControl/>
              <w:snapToGrid w:val="0"/>
              <w:jc w:val="left"/>
              <w:textAlignment w:val="center"/>
              <w:rPr>
                <w:color w:val="000000"/>
                <w:kern w:val="0"/>
                <w:szCs w:val="21"/>
              </w:rPr>
            </w:pPr>
            <w:r>
              <w:rPr>
                <w:color w:val="000000"/>
                <w:kern w:val="0"/>
                <w:szCs w:val="21"/>
              </w:rPr>
              <w:t>3</w:t>
            </w:r>
            <w:r>
              <w:rPr>
                <w:rFonts w:hint="eastAsia"/>
                <w:color w:val="000000"/>
                <w:kern w:val="0"/>
                <w:szCs w:val="21"/>
              </w:rPr>
              <w:t>.</w:t>
            </w:r>
            <w:r>
              <w:rPr>
                <w:color w:val="000000"/>
                <w:kern w:val="0"/>
                <w:szCs w:val="21"/>
              </w:rPr>
              <w:t>地漏位置、水封</w:t>
            </w:r>
            <w:r>
              <w:rPr>
                <w:rFonts w:hint="eastAsia"/>
                <w:color w:val="000000"/>
                <w:kern w:val="0"/>
                <w:szCs w:val="21"/>
              </w:rPr>
              <w:t>；</w:t>
            </w:r>
            <w:r>
              <w:rPr>
                <w:color w:val="000000"/>
                <w:kern w:val="0"/>
                <w:szCs w:val="21"/>
              </w:rPr>
              <w:t>4</w:t>
            </w:r>
            <w:r>
              <w:rPr>
                <w:rFonts w:hint="eastAsia"/>
                <w:color w:val="000000"/>
                <w:kern w:val="0"/>
                <w:szCs w:val="21"/>
              </w:rPr>
              <w:t>.</w:t>
            </w:r>
            <w:r>
              <w:rPr>
                <w:color w:val="000000"/>
                <w:kern w:val="0"/>
                <w:szCs w:val="21"/>
              </w:rPr>
              <w:t>卫生器具的使用功能</w:t>
            </w:r>
            <w:r>
              <w:rPr>
                <w:rFonts w:hint="eastAsia"/>
                <w:color w:val="000000"/>
                <w:kern w:val="0"/>
                <w:szCs w:val="21"/>
              </w:rPr>
              <w:t>；</w:t>
            </w:r>
            <w:r>
              <w:rPr>
                <w:color w:val="000000"/>
                <w:kern w:val="0"/>
                <w:szCs w:val="21"/>
              </w:rPr>
              <w:t>5</w:t>
            </w:r>
            <w:r>
              <w:rPr>
                <w:rFonts w:hint="eastAsia"/>
                <w:color w:val="000000"/>
                <w:kern w:val="0"/>
                <w:szCs w:val="21"/>
              </w:rPr>
              <w:t>.</w:t>
            </w:r>
            <w:r>
              <w:rPr>
                <w:color w:val="000000"/>
                <w:kern w:val="0"/>
                <w:szCs w:val="21"/>
              </w:rPr>
              <w:t>散热器设置及安装</w:t>
            </w:r>
            <w:r>
              <w:rPr>
                <w:rFonts w:hint="eastAsia"/>
                <w:color w:val="000000"/>
                <w:kern w:val="0"/>
                <w:szCs w:val="21"/>
              </w:rPr>
              <w:t>；</w:t>
            </w:r>
            <w:r>
              <w:rPr>
                <w:color w:val="000000"/>
                <w:kern w:val="0"/>
                <w:szCs w:val="21"/>
              </w:rPr>
              <w:t>6</w:t>
            </w:r>
            <w:r>
              <w:rPr>
                <w:rFonts w:hint="eastAsia"/>
                <w:color w:val="000000"/>
                <w:kern w:val="0"/>
                <w:szCs w:val="21"/>
              </w:rPr>
              <w:t>.</w:t>
            </w:r>
            <w:r>
              <w:rPr>
                <w:color w:val="000000"/>
                <w:kern w:val="0"/>
                <w:szCs w:val="21"/>
              </w:rPr>
              <w:t>集、分水器设置及安装</w:t>
            </w:r>
            <w:r>
              <w:rPr>
                <w:rFonts w:hint="eastAsia"/>
                <w:color w:val="000000"/>
                <w:kern w:val="0"/>
                <w:szCs w:val="21"/>
              </w:rPr>
              <w:t>。</w:t>
            </w:r>
          </w:p>
        </w:tc>
        <w:tc>
          <w:tcPr>
            <w:tcW w:w="228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65D9BD3">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7793C59">
            <w:pPr>
              <w:jc w:val="center"/>
              <w:rPr>
                <w:color w:val="000000"/>
                <w:szCs w:val="21"/>
              </w:rPr>
            </w:pPr>
            <w:r>
              <w:rPr>
                <w:rFonts w:hint="eastAsia"/>
                <w:color w:val="000000"/>
                <w:szCs w:val="21"/>
              </w:rPr>
              <w:t>7</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CED7C04">
            <w:pPr>
              <w:rPr>
                <w:color w:val="000000"/>
                <w:szCs w:val="21"/>
              </w:rPr>
            </w:pPr>
          </w:p>
        </w:tc>
      </w:tr>
      <w:tr w14:paraId="6F4A9C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FBE006F">
            <w:pPr>
              <w:widowControl/>
              <w:jc w:val="center"/>
              <w:textAlignment w:val="center"/>
              <w:rPr>
                <w:color w:val="000000"/>
                <w:szCs w:val="21"/>
              </w:rPr>
            </w:pPr>
            <w:r>
              <w:rPr>
                <w:rFonts w:hint="eastAsia"/>
                <w:color w:val="000000"/>
                <w:szCs w:val="21"/>
              </w:rPr>
              <w:t>6</w:t>
            </w:r>
          </w:p>
        </w:tc>
        <w:tc>
          <w:tcPr>
            <w:tcW w:w="60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CDD608C">
            <w:pPr>
              <w:jc w:val="center"/>
              <w:rPr>
                <w:color w:val="000000"/>
                <w:szCs w:val="21"/>
              </w:rPr>
            </w:pPr>
          </w:p>
        </w:tc>
        <w:tc>
          <w:tcPr>
            <w:tcW w:w="490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E159902">
            <w:pPr>
              <w:widowControl/>
              <w:snapToGrid w:val="0"/>
              <w:jc w:val="left"/>
              <w:textAlignment w:val="center"/>
              <w:rPr>
                <w:color w:val="000000"/>
                <w:szCs w:val="21"/>
              </w:rPr>
            </w:pPr>
            <w:r>
              <w:rPr>
                <w:color w:val="000000"/>
                <w:szCs w:val="21"/>
              </w:rPr>
              <w:t>防腐、保温及标识</w:t>
            </w:r>
            <w:r>
              <w:rPr>
                <w:rFonts w:hint="eastAsia"/>
                <w:color w:val="000000"/>
                <w:szCs w:val="21"/>
              </w:rPr>
              <w:t>：</w:t>
            </w:r>
          </w:p>
          <w:p w14:paraId="72E7DB50">
            <w:pPr>
              <w:widowControl/>
              <w:snapToGrid w:val="0"/>
              <w:jc w:val="left"/>
              <w:textAlignment w:val="center"/>
              <w:rPr>
                <w:color w:val="000000"/>
                <w:szCs w:val="21"/>
              </w:rPr>
            </w:pPr>
            <w:r>
              <w:rPr>
                <w:color w:val="000000"/>
                <w:szCs w:val="21"/>
              </w:rPr>
              <w:t>1</w:t>
            </w:r>
            <w:r>
              <w:rPr>
                <w:rFonts w:hint="eastAsia"/>
                <w:color w:val="000000"/>
                <w:szCs w:val="21"/>
              </w:rPr>
              <w:t>.</w:t>
            </w:r>
            <w:r>
              <w:rPr>
                <w:color w:val="000000"/>
                <w:szCs w:val="21"/>
              </w:rPr>
              <w:t>支吊架、管道的防腐及面漆</w:t>
            </w:r>
            <w:r>
              <w:rPr>
                <w:rFonts w:hint="eastAsia"/>
                <w:color w:val="000000"/>
                <w:szCs w:val="21"/>
              </w:rPr>
              <w:t>；</w:t>
            </w:r>
          </w:p>
          <w:p w14:paraId="07D71844">
            <w:pPr>
              <w:widowControl/>
              <w:snapToGrid w:val="0"/>
              <w:jc w:val="left"/>
              <w:textAlignment w:val="center"/>
              <w:rPr>
                <w:color w:val="000000"/>
                <w:szCs w:val="21"/>
              </w:rPr>
            </w:pPr>
            <w:r>
              <w:rPr>
                <w:color w:val="000000"/>
                <w:szCs w:val="21"/>
              </w:rPr>
              <w:t>2</w:t>
            </w:r>
            <w:r>
              <w:rPr>
                <w:rFonts w:hint="eastAsia"/>
                <w:color w:val="000000"/>
                <w:szCs w:val="21"/>
              </w:rPr>
              <w:t>.</w:t>
            </w:r>
            <w:r>
              <w:rPr>
                <w:color w:val="000000"/>
                <w:szCs w:val="21"/>
              </w:rPr>
              <w:t>管道、管件</w:t>
            </w:r>
            <w:r>
              <w:rPr>
                <w:rFonts w:hint="eastAsia"/>
                <w:color w:val="000000"/>
                <w:szCs w:val="21"/>
              </w:rPr>
              <w:t>、阀部件</w:t>
            </w:r>
            <w:r>
              <w:rPr>
                <w:color w:val="000000"/>
                <w:szCs w:val="21"/>
              </w:rPr>
              <w:t>及设备的保温</w:t>
            </w:r>
            <w:r>
              <w:rPr>
                <w:rFonts w:hint="eastAsia"/>
                <w:color w:val="000000"/>
                <w:szCs w:val="21"/>
              </w:rPr>
              <w:t>；</w:t>
            </w:r>
          </w:p>
          <w:p w14:paraId="7FC48DDA">
            <w:pPr>
              <w:widowControl/>
              <w:snapToGrid w:val="0"/>
              <w:jc w:val="left"/>
              <w:textAlignment w:val="center"/>
              <w:rPr>
                <w:color w:val="000000"/>
                <w:szCs w:val="21"/>
              </w:rPr>
            </w:pPr>
            <w:r>
              <w:rPr>
                <w:color w:val="000000"/>
                <w:szCs w:val="21"/>
              </w:rPr>
              <w:t>3</w:t>
            </w:r>
            <w:r>
              <w:rPr>
                <w:rFonts w:hint="eastAsia"/>
                <w:color w:val="000000"/>
                <w:szCs w:val="21"/>
              </w:rPr>
              <w:t>.</w:t>
            </w:r>
            <w:r>
              <w:rPr>
                <w:color w:val="000000"/>
                <w:szCs w:val="21"/>
              </w:rPr>
              <w:t>管道</w:t>
            </w:r>
            <w:r>
              <w:rPr>
                <w:rFonts w:hint="eastAsia"/>
                <w:color w:val="000000"/>
                <w:szCs w:val="21"/>
              </w:rPr>
              <w:t>、阀部件、组件的</w:t>
            </w:r>
            <w:r>
              <w:rPr>
                <w:color w:val="000000"/>
                <w:szCs w:val="21"/>
              </w:rPr>
              <w:t>标识及设备铭牌</w:t>
            </w:r>
            <w:r>
              <w:rPr>
                <w:rFonts w:hint="eastAsia"/>
                <w:color w:val="000000"/>
                <w:szCs w:val="21"/>
              </w:rPr>
              <w:t>。</w:t>
            </w:r>
          </w:p>
        </w:tc>
        <w:tc>
          <w:tcPr>
            <w:tcW w:w="228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1457D7D">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C65C222">
            <w:pPr>
              <w:jc w:val="center"/>
              <w:rPr>
                <w:color w:val="000000"/>
                <w:szCs w:val="21"/>
              </w:rPr>
            </w:pPr>
            <w:r>
              <w:rPr>
                <w:rFonts w:hint="eastAsia"/>
                <w:color w:val="000000"/>
                <w:szCs w:val="21"/>
              </w:rPr>
              <w:t>7</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73037FE">
            <w:pPr>
              <w:rPr>
                <w:color w:val="000000"/>
                <w:szCs w:val="21"/>
              </w:rPr>
            </w:pPr>
          </w:p>
        </w:tc>
      </w:tr>
    </w:tbl>
    <w:p w14:paraId="59056A9B">
      <w:pPr>
        <w:widowControl/>
        <w:jc w:val="center"/>
        <w:textAlignment w:val="center"/>
        <w:outlineLvl w:val="2"/>
        <w:rPr>
          <w:rFonts w:eastAsia="黑体"/>
          <w:color w:val="000000"/>
          <w:kern w:val="0"/>
          <w:sz w:val="24"/>
        </w:rPr>
      </w:pPr>
      <w:r>
        <w:rPr>
          <w:color w:val="000000"/>
          <w:kern w:val="0"/>
          <w:sz w:val="24"/>
        </w:rPr>
        <w:br w:type="page"/>
      </w:r>
      <w:bookmarkStart w:id="726" w:name="_Toc18902"/>
      <w:bookmarkStart w:id="727" w:name="_Toc6450"/>
      <w:bookmarkStart w:id="728" w:name="_Toc7141"/>
      <w:bookmarkStart w:id="729" w:name="_Toc28478"/>
      <w:bookmarkStart w:id="730" w:name="_Toc6700"/>
      <w:bookmarkStart w:id="731" w:name="_Toc7992"/>
      <w:bookmarkStart w:id="732" w:name="_Toc13103"/>
      <w:bookmarkStart w:id="733" w:name="_Toc2344"/>
      <w:bookmarkStart w:id="734" w:name="_Toc26784"/>
      <w:bookmarkStart w:id="735" w:name="_Toc9036"/>
      <w:bookmarkStart w:id="736" w:name="_Toc27607"/>
      <w:bookmarkStart w:id="737" w:name="_Toc21173"/>
      <w:bookmarkStart w:id="738" w:name="_Toc9985"/>
      <w:bookmarkStart w:id="739" w:name="_Toc28267"/>
      <w:r>
        <w:rPr>
          <w:color w:val="000000"/>
          <w:kern w:val="0"/>
          <w:sz w:val="24"/>
        </w:rPr>
        <w:t>续</w:t>
      </w:r>
      <w:r>
        <w:rPr>
          <w:rFonts w:eastAsia="黑体"/>
          <w:color w:val="000000"/>
          <w:kern w:val="0"/>
          <w:sz w:val="24"/>
        </w:rPr>
        <w:t>表C.0.1</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73BBFB81">
      <w:pPr>
        <w:widowControl/>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W w:w="94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1"/>
        <w:gridCol w:w="600"/>
        <w:gridCol w:w="5175"/>
        <w:gridCol w:w="2010"/>
        <w:gridCol w:w="544"/>
        <w:gridCol w:w="544"/>
      </w:tblGrid>
      <w:tr w14:paraId="787BE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039A6D2">
            <w:pPr>
              <w:widowControl/>
              <w:jc w:val="center"/>
              <w:textAlignment w:val="center"/>
              <w:rPr>
                <w:color w:val="000000"/>
                <w:szCs w:val="21"/>
              </w:rPr>
            </w:pPr>
            <w:r>
              <w:rPr>
                <w:color w:val="000000"/>
                <w:kern w:val="0"/>
                <w:szCs w:val="21"/>
              </w:rPr>
              <w:t>序号</w:t>
            </w:r>
          </w:p>
        </w:tc>
        <w:tc>
          <w:tcPr>
            <w:tcW w:w="5775" w:type="dxa"/>
            <w:gridSpan w:val="2"/>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949CF62">
            <w:pPr>
              <w:widowControl/>
              <w:jc w:val="center"/>
              <w:textAlignment w:val="center"/>
              <w:rPr>
                <w:color w:val="000000"/>
                <w:szCs w:val="21"/>
              </w:rPr>
            </w:pPr>
            <w:r>
              <w:rPr>
                <w:color w:val="000000"/>
                <w:kern w:val="0"/>
                <w:szCs w:val="21"/>
              </w:rPr>
              <w:t>检查项目</w:t>
            </w:r>
          </w:p>
        </w:tc>
        <w:tc>
          <w:tcPr>
            <w:tcW w:w="201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4DC26FD">
            <w:pPr>
              <w:widowControl/>
              <w:jc w:val="center"/>
              <w:textAlignment w:val="center"/>
              <w:rPr>
                <w:color w:val="000000"/>
                <w:szCs w:val="21"/>
              </w:rPr>
            </w:pPr>
            <w:r>
              <w:rPr>
                <w:color w:val="000000"/>
                <w:kern w:val="0"/>
                <w:szCs w:val="21"/>
              </w:rPr>
              <w:t>检查情况</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EFD788F">
            <w:pPr>
              <w:widowControl/>
              <w:jc w:val="center"/>
              <w:textAlignment w:val="center"/>
              <w:rPr>
                <w:color w:val="000000"/>
                <w:kern w:val="0"/>
                <w:szCs w:val="21"/>
              </w:rPr>
            </w:pPr>
            <w:r>
              <w:rPr>
                <w:color w:val="000000"/>
                <w:kern w:val="0"/>
                <w:szCs w:val="21"/>
              </w:rPr>
              <w:t>应得分</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7EA0C64">
            <w:pPr>
              <w:widowControl/>
              <w:jc w:val="center"/>
              <w:textAlignment w:val="center"/>
              <w:rPr>
                <w:color w:val="000000"/>
                <w:szCs w:val="21"/>
              </w:rPr>
            </w:pPr>
            <w:r>
              <w:rPr>
                <w:color w:val="000000"/>
                <w:kern w:val="0"/>
                <w:szCs w:val="21"/>
              </w:rPr>
              <w:t>实得分</w:t>
            </w:r>
          </w:p>
        </w:tc>
      </w:tr>
      <w:tr w14:paraId="442B1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10AA6EF">
            <w:pPr>
              <w:widowControl/>
              <w:jc w:val="center"/>
              <w:textAlignment w:val="center"/>
              <w:rPr>
                <w:color w:val="000000"/>
                <w:szCs w:val="21"/>
              </w:rPr>
            </w:pPr>
            <w:r>
              <w:rPr>
                <w:rFonts w:hint="eastAsia"/>
                <w:color w:val="000000"/>
                <w:kern w:val="0"/>
                <w:szCs w:val="21"/>
              </w:rPr>
              <w:t>7</w:t>
            </w:r>
          </w:p>
        </w:tc>
        <w:tc>
          <w:tcPr>
            <w:tcW w:w="600"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56561DA">
            <w:pPr>
              <w:jc w:val="center"/>
              <w:rPr>
                <w:color w:val="000000"/>
                <w:szCs w:val="21"/>
              </w:rPr>
            </w:pPr>
            <w:r>
              <w:rPr>
                <w:color w:val="000000"/>
                <w:szCs w:val="21"/>
              </w:rPr>
              <w:t>通</w:t>
            </w:r>
          </w:p>
          <w:p w14:paraId="1A25BDC5">
            <w:pPr>
              <w:jc w:val="center"/>
              <w:rPr>
                <w:color w:val="000000"/>
                <w:szCs w:val="21"/>
              </w:rPr>
            </w:pPr>
            <w:r>
              <w:rPr>
                <w:color w:val="000000"/>
                <w:szCs w:val="21"/>
              </w:rPr>
              <w:t>风</w:t>
            </w:r>
          </w:p>
          <w:p w14:paraId="4D8B71C4">
            <w:pPr>
              <w:jc w:val="center"/>
              <w:rPr>
                <w:color w:val="000000"/>
                <w:szCs w:val="21"/>
              </w:rPr>
            </w:pPr>
            <w:r>
              <w:rPr>
                <w:color w:val="000000"/>
                <w:szCs w:val="21"/>
              </w:rPr>
              <w:t>与</w:t>
            </w:r>
          </w:p>
          <w:p w14:paraId="4181D74B">
            <w:pPr>
              <w:jc w:val="center"/>
              <w:rPr>
                <w:color w:val="000000"/>
                <w:szCs w:val="21"/>
              </w:rPr>
            </w:pPr>
            <w:r>
              <w:rPr>
                <w:color w:val="000000"/>
                <w:szCs w:val="21"/>
              </w:rPr>
              <w:t>空</w:t>
            </w:r>
          </w:p>
          <w:p w14:paraId="3DDE69C8">
            <w:pPr>
              <w:jc w:val="center"/>
              <w:rPr>
                <w:color w:val="000000"/>
                <w:szCs w:val="21"/>
              </w:rPr>
            </w:pPr>
            <w:r>
              <w:rPr>
                <w:color w:val="000000"/>
                <w:szCs w:val="21"/>
              </w:rPr>
              <w:t>调</w:t>
            </w:r>
          </w:p>
        </w:tc>
        <w:tc>
          <w:tcPr>
            <w:tcW w:w="517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2FC7457">
            <w:pPr>
              <w:widowControl/>
              <w:jc w:val="left"/>
              <w:textAlignment w:val="center"/>
              <w:rPr>
                <w:color w:val="000000"/>
                <w:szCs w:val="21"/>
              </w:rPr>
            </w:pPr>
            <w:r>
              <w:rPr>
                <w:color w:val="000000"/>
                <w:kern w:val="0"/>
                <w:sz w:val="22"/>
                <w:szCs w:val="22"/>
              </w:rPr>
              <w:t>设备安装</w:t>
            </w:r>
            <w:r>
              <w:rPr>
                <w:rFonts w:hint="eastAsia"/>
                <w:color w:val="000000"/>
                <w:kern w:val="0"/>
                <w:sz w:val="22"/>
                <w:szCs w:val="22"/>
              </w:rPr>
              <w:t>：</w:t>
            </w:r>
            <w:r>
              <w:rPr>
                <w:color w:val="000000"/>
                <w:kern w:val="0"/>
                <w:sz w:val="22"/>
                <w:szCs w:val="22"/>
              </w:rPr>
              <w:br w:type="textWrapping"/>
            </w:r>
            <w:r>
              <w:rPr>
                <w:color w:val="000000"/>
                <w:kern w:val="0"/>
                <w:sz w:val="22"/>
                <w:szCs w:val="22"/>
              </w:rPr>
              <w:t>1</w:t>
            </w:r>
            <w:r>
              <w:rPr>
                <w:rFonts w:hint="eastAsia"/>
                <w:color w:val="000000"/>
                <w:kern w:val="0"/>
                <w:sz w:val="22"/>
                <w:szCs w:val="22"/>
              </w:rPr>
              <w:t>.</w:t>
            </w:r>
            <w:r>
              <w:rPr>
                <w:color w:val="000000"/>
                <w:kern w:val="0"/>
                <w:sz w:val="22"/>
                <w:szCs w:val="22"/>
              </w:rPr>
              <w:t>机组、设备的安装、排布、减隔</w:t>
            </w:r>
            <w:r>
              <w:rPr>
                <w:rFonts w:hint="eastAsia"/>
                <w:color w:val="000000"/>
                <w:kern w:val="0"/>
                <w:sz w:val="22"/>
                <w:szCs w:val="22"/>
              </w:rPr>
              <w:t>振</w:t>
            </w:r>
            <w:r>
              <w:rPr>
                <w:color w:val="000000"/>
                <w:kern w:val="0"/>
                <w:sz w:val="22"/>
                <w:szCs w:val="22"/>
              </w:rPr>
              <w:t>及运行状态</w:t>
            </w:r>
            <w:r>
              <w:rPr>
                <w:rFonts w:hint="eastAsia"/>
                <w:color w:val="000000"/>
                <w:kern w:val="0"/>
                <w:sz w:val="22"/>
                <w:szCs w:val="22"/>
              </w:rPr>
              <w:t>；</w:t>
            </w:r>
            <w:r>
              <w:rPr>
                <w:color w:val="000000"/>
                <w:kern w:val="0"/>
                <w:sz w:val="22"/>
                <w:szCs w:val="22"/>
              </w:rPr>
              <w:br w:type="textWrapping"/>
            </w:r>
            <w:r>
              <w:rPr>
                <w:color w:val="000000"/>
                <w:kern w:val="0"/>
                <w:sz w:val="22"/>
                <w:szCs w:val="22"/>
              </w:rPr>
              <w:t>2</w:t>
            </w:r>
            <w:r>
              <w:rPr>
                <w:rFonts w:hint="eastAsia"/>
                <w:color w:val="000000"/>
                <w:kern w:val="0"/>
                <w:sz w:val="22"/>
                <w:szCs w:val="22"/>
              </w:rPr>
              <w:t>.</w:t>
            </w:r>
            <w:r>
              <w:rPr>
                <w:color w:val="000000"/>
                <w:kern w:val="0"/>
                <w:sz w:val="22"/>
                <w:szCs w:val="22"/>
              </w:rPr>
              <w:t>动力设备两端异</w:t>
            </w:r>
            <w:r>
              <w:rPr>
                <w:rFonts w:hint="eastAsia"/>
                <w:color w:val="000000"/>
                <w:kern w:val="0"/>
                <w:sz w:val="22"/>
                <w:szCs w:val="22"/>
              </w:rPr>
              <w:t>径</w:t>
            </w:r>
            <w:r>
              <w:rPr>
                <w:color w:val="000000"/>
                <w:kern w:val="0"/>
                <w:sz w:val="22"/>
                <w:szCs w:val="22"/>
              </w:rPr>
              <w:t>管、软连接（可挠性接头）</w:t>
            </w:r>
            <w:r>
              <w:rPr>
                <w:rFonts w:hint="eastAsia"/>
                <w:color w:val="000000"/>
                <w:kern w:val="0"/>
                <w:sz w:val="22"/>
                <w:szCs w:val="22"/>
              </w:rPr>
              <w:t>；</w:t>
            </w:r>
            <w:r>
              <w:rPr>
                <w:color w:val="000000"/>
                <w:kern w:val="0"/>
                <w:sz w:val="22"/>
                <w:szCs w:val="22"/>
              </w:rPr>
              <w:br w:type="textWrapping"/>
            </w:r>
            <w:r>
              <w:rPr>
                <w:color w:val="000000"/>
                <w:kern w:val="0"/>
                <w:sz w:val="22"/>
                <w:szCs w:val="22"/>
              </w:rPr>
              <w:t>3</w:t>
            </w:r>
            <w:r>
              <w:rPr>
                <w:rFonts w:hint="eastAsia"/>
                <w:color w:val="000000"/>
                <w:kern w:val="0"/>
                <w:sz w:val="22"/>
                <w:szCs w:val="22"/>
              </w:rPr>
              <w:t>.</w:t>
            </w:r>
            <w:r>
              <w:rPr>
                <w:color w:val="000000"/>
                <w:kern w:val="0"/>
                <w:sz w:val="22"/>
                <w:szCs w:val="22"/>
              </w:rPr>
              <w:t>阀门、仪器仪表的排布、安装、朝向及量程</w:t>
            </w:r>
            <w:r>
              <w:rPr>
                <w:rFonts w:hint="eastAsia"/>
                <w:color w:val="000000"/>
                <w:kern w:val="0"/>
                <w:sz w:val="22"/>
                <w:szCs w:val="22"/>
              </w:rPr>
              <w:t>；</w:t>
            </w:r>
            <w:r>
              <w:rPr>
                <w:color w:val="000000"/>
                <w:kern w:val="0"/>
                <w:sz w:val="22"/>
                <w:szCs w:val="22"/>
              </w:rPr>
              <w:br w:type="textWrapping"/>
            </w:r>
            <w:r>
              <w:rPr>
                <w:color w:val="000000"/>
                <w:kern w:val="0"/>
                <w:sz w:val="22"/>
                <w:szCs w:val="22"/>
              </w:rPr>
              <w:t>4</w:t>
            </w:r>
            <w:r>
              <w:rPr>
                <w:rFonts w:hint="eastAsia"/>
                <w:color w:val="000000"/>
                <w:kern w:val="0"/>
                <w:sz w:val="22"/>
                <w:szCs w:val="22"/>
              </w:rPr>
              <w:t>.</w:t>
            </w:r>
            <w:r>
              <w:rPr>
                <w:color w:val="000000"/>
                <w:kern w:val="0"/>
                <w:sz w:val="22"/>
                <w:szCs w:val="22"/>
              </w:rPr>
              <w:t>设备基础设置及排水措施</w:t>
            </w:r>
            <w:r>
              <w:rPr>
                <w:rFonts w:hint="eastAsia"/>
                <w:color w:val="000000"/>
                <w:kern w:val="0"/>
                <w:sz w:val="22"/>
                <w:szCs w:val="22"/>
              </w:rPr>
              <w:t>；</w:t>
            </w:r>
            <w:r>
              <w:rPr>
                <w:color w:val="000000"/>
                <w:kern w:val="0"/>
                <w:sz w:val="22"/>
                <w:szCs w:val="22"/>
              </w:rPr>
              <w:br w:type="textWrapping"/>
            </w:r>
            <w:r>
              <w:rPr>
                <w:color w:val="000000"/>
                <w:kern w:val="0"/>
                <w:sz w:val="22"/>
                <w:szCs w:val="22"/>
              </w:rPr>
              <w:t>5</w:t>
            </w:r>
            <w:r>
              <w:rPr>
                <w:rFonts w:hint="eastAsia"/>
                <w:color w:val="000000"/>
                <w:kern w:val="0"/>
                <w:sz w:val="22"/>
                <w:szCs w:val="22"/>
              </w:rPr>
              <w:t>.</w:t>
            </w:r>
            <w:r>
              <w:rPr>
                <w:color w:val="000000"/>
                <w:kern w:val="0"/>
                <w:sz w:val="22"/>
                <w:szCs w:val="22"/>
              </w:rPr>
              <w:t>设备用房有组织排水</w:t>
            </w:r>
            <w:r>
              <w:rPr>
                <w:rFonts w:hint="eastAsia"/>
                <w:color w:val="000000"/>
                <w:kern w:val="0"/>
                <w:sz w:val="22"/>
                <w:szCs w:val="22"/>
              </w:rPr>
              <w:t>；</w:t>
            </w:r>
            <w:r>
              <w:rPr>
                <w:color w:val="000000"/>
                <w:kern w:val="0"/>
                <w:sz w:val="22"/>
                <w:szCs w:val="22"/>
              </w:rPr>
              <w:br w:type="textWrapping"/>
            </w:r>
            <w:r>
              <w:rPr>
                <w:color w:val="000000"/>
                <w:kern w:val="0"/>
                <w:sz w:val="22"/>
                <w:szCs w:val="22"/>
              </w:rPr>
              <w:t>6</w:t>
            </w:r>
            <w:r>
              <w:rPr>
                <w:rFonts w:hint="eastAsia"/>
                <w:color w:val="000000"/>
                <w:kern w:val="0"/>
                <w:sz w:val="22"/>
                <w:szCs w:val="22"/>
              </w:rPr>
              <w:t>.</w:t>
            </w:r>
            <w:r>
              <w:rPr>
                <w:color w:val="000000"/>
                <w:kern w:val="0"/>
                <w:sz w:val="22"/>
                <w:szCs w:val="22"/>
              </w:rPr>
              <w:t>净化系统运行状态</w:t>
            </w:r>
            <w:r>
              <w:rPr>
                <w:rFonts w:hint="eastAsia"/>
                <w:color w:val="000000"/>
                <w:kern w:val="0"/>
                <w:sz w:val="22"/>
                <w:szCs w:val="22"/>
              </w:rPr>
              <w:t>。</w:t>
            </w:r>
          </w:p>
        </w:tc>
        <w:tc>
          <w:tcPr>
            <w:tcW w:w="201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0A3C01C">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96A3A49">
            <w:pPr>
              <w:jc w:val="center"/>
              <w:rPr>
                <w:color w:val="000000"/>
                <w:szCs w:val="21"/>
              </w:rPr>
            </w:pPr>
            <w:r>
              <w:rPr>
                <w:rFonts w:hint="eastAsia"/>
                <w:color w:val="000000"/>
                <w:szCs w:val="21"/>
              </w:rPr>
              <w:t>1</w:t>
            </w:r>
            <w:r>
              <w:rPr>
                <w:color w:val="000000"/>
                <w:szCs w:val="21"/>
              </w:rPr>
              <w:t>0</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DC779EB">
            <w:pPr>
              <w:rPr>
                <w:color w:val="000000"/>
                <w:szCs w:val="21"/>
              </w:rPr>
            </w:pPr>
          </w:p>
        </w:tc>
      </w:tr>
      <w:tr w14:paraId="5B4C5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AD9F562">
            <w:pPr>
              <w:widowControl/>
              <w:jc w:val="center"/>
              <w:textAlignment w:val="center"/>
              <w:rPr>
                <w:color w:val="000000"/>
                <w:szCs w:val="21"/>
              </w:rPr>
            </w:pPr>
            <w:r>
              <w:rPr>
                <w:rFonts w:hint="eastAsia"/>
                <w:color w:val="000000"/>
                <w:kern w:val="0"/>
                <w:szCs w:val="21"/>
              </w:rPr>
              <w:t>8</w:t>
            </w:r>
          </w:p>
        </w:tc>
        <w:tc>
          <w:tcPr>
            <w:tcW w:w="60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22BE928">
            <w:pPr>
              <w:widowControl/>
              <w:jc w:val="center"/>
              <w:textAlignment w:val="center"/>
              <w:rPr>
                <w:color w:val="000000"/>
                <w:szCs w:val="21"/>
              </w:rPr>
            </w:pPr>
          </w:p>
        </w:tc>
        <w:tc>
          <w:tcPr>
            <w:tcW w:w="517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1C3B04C">
            <w:pPr>
              <w:widowControl/>
              <w:jc w:val="left"/>
              <w:textAlignment w:val="center"/>
              <w:rPr>
                <w:color w:val="000000"/>
                <w:szCs w:val="21"/>
              </w:rPr>
            </w:pPr>
            <w:r>
              <w:rPr>
                <w:color w:val="000000"/>
                <w:kern w:val="0"/>
                <w:sz w:val="22"/>
                <w:szCs w:val="22"/>
              </w:rPr>
              <w:t>风管、管道安装</w:t>
            </w:r>
            <w:r>
              <w:rPr>
                <w:rFonts w:hint="eastAsia"/>
                <w:color w:val="000000"/>
                <w:kern w:val="0"/>
                <w:sz w:val="22"/>
                <w:szCs w:val="22"/>
              </w:rPr>
              <w:t>：</w:t>
            </w:r>
            <w:r>
              <w:rPr>
                <w:color w:val="000000"/>
                <w:kern w:val="0"/>
                <w:sz w:val="22"/>
                <w:szCs w:val="22"/>
              </w:rPr>
              <w:br w:type="textWrapping"/>
            </w:r>
            <w:r>
              <w:rPr>
                <w:color w:val="000000"/>
                <w:kern w:val="0"/>
                <w:sz w:val="22"/>
                <w:szCs w:val="22"/>
              </w:rPr>
              <w:t>1</w:t>
            </w:r>
            <w:r>
              <w:rPr>
                <w:rFonts w:hint="eastAsia"/>
                <w:color w:val="000000"/>
                <w:kern w:val="0"/>
                <w:sz w:val="22"/>
                <w:szCs w:val="22"/>
              </w:rPr>
              <w:t>.</w:t>
            </w:r>
            <w:r>
              <w:rPr>
                <w:color w:val="000000"/>
                <w:kern w:val="0"/>
                <w:sz w:val="22"/>
                <w:szCs w:val="22"/>
              </w:rPr>
              <w:t>风管、管道系统安装的整体牢固性（整体刚度）</w:t>
            </w:r>
            <w:r>
              <w:rPr>
                <w:rFonts w:hint="eastAsia"/>
                <w:color w:val="000000"/>
                <w:kern w:val="0"/>
                <w:sz w:val="22"/>
                <w:szCs w:val="22"/>
              </w:rPr>
              <w:t>；</w:t>
            </w:r>
            <w:r>
              <w:rPr>
                <w:color w:val="000000"/>
                <w:kern w:val="0"/>
                <w:sz w:val="22"/>
                <w:szCs w:val="22"/>
              </w:rPr>
              <w:br w:type="textWrapping"/>
            </w:r>
            <w:r>
              <w:rPr>
                <w:color w:val="000000"/>
                <w:kern w:val="0"/>
                <w:sz w:val="22"/>
                <w:szCs w:val="22"/>
              </w:rPr>
              <w:t>2</w:t>
            </w:r>
            <w:r>
              <w:rPr>
                <w:rFonts w:hint="eastAsia"/>
                <w:color w:val="000000"/>
                <w:kern w:val="0"/>
                <w:sz w:val="22"/>
                <w:szCs w:val="22"/>
              </w:rPr>
              <w:t>.</w:t>
            </w:r>
            <w:r>
              <w:rPr>
                <w:color w:val="000000"/>
                <w:kern w:val="0"/>
                <w:sz w:val="22"/>
                <w:szCs w:val="22"/>
              </w:rPr>
              <w:t>风管、管道的排布、安装、</w:t>
            </w:r>
            <w:r>
              <w:rPr>
                <w:rFonts w:hint="eastAsia"/>
                <w:color w:val="000000"/>
                <w:kern w:val="0"/>
                <w:sz w:val="22"/>
                <w:szCs w:val="22"/>
              </w:rPr>
              <w:t>间</w:t>
            </w:r>
            <w:r>
              <w:rPr>
                <w:color w:val="000000"/>
                <w:kern w:val="0"/>
                <w:sz w:val="22"/>
                <w:szCs w:val="22"/>
              </w:rPr>
              <w:t>距</w:t>
            </w:r>
            <w:r>
              <w:rPr>
                <w:rFonts w:hint="eastAsia"/>
                <w:color w:val="000000"/>
                <w:kern w:val="0"/>
                <w:sz w:val="22"/>
                <w:szCs w:val="22"/>
              </w:rPr>
              <w:t>；</w:t>
            </w:r>
            <w:r>
              <w:rPr>
                <w:color w:val="000000"/>
                <w:kern w:val="0"/>
                <w:sz w:val="22"/>
                <w:szCs w:val="22"/>
              </w:rPr>
              <w:t xml:space="preserve">  </w:t>
            </w:r>
            <w:r>
              <w:rPr>
                <w:color w:val="000000"/>
                <w:kern w:val="0"/>
                <w:sz w:val="22"/>
                <w:szCs w:val="22"/>
              </w:rPr>
              <w:br w:type="textWrapping"/>
            </w:r>
            <w:r>
              <w:rPr>
                <w:color w:val="000000"/>
                <w:kern w:val="0"/>
                <w:sz w:val="22"/>
                <w:szCs w:val="22"/>
              </w:rPr>
              <w:t>3</w:t>
            </w:r>
            <w:r>
              <w:rPr>
                <w:rFonts w:hint="eastAsia"/>
                <w:color w:val="000000"/>
                <w:kern w:val="0"/>
                <w:sz w:val="22"/>
                <w:szCs w:val="22"/>
              </w:rPr>
              <w:t>.</w:t>
            </w:r>
            <w:r>
              <w:rPr>
                <w:color w:val="000000"/>
                <w:kern w:val="0"/>
                <w:sz w:val="22"/>
                <w:szCs w:val="22"/>
              </w:rPr>
              <w:t>风管、管道的垂直度及坡度</w:t>
            </w:r>
            <w:r>
              <w:rPr>
                <w:rFonts w:hint="eastAsia"/>
                <w:color w:val="000000"/>
                <w:kern w:val="0"/>
                <w:sz w:val="22"/>
                <w:szCs w:val="22"/>
              </w:rPr>
              <w:t>；</w:t>
            </w:r>
            <w:r>
              <w:rPr>
                <w:color w:val="000000"/>
                <w:kern w:val="0"/>
                <w:sz w:val="22"/>
                <w:szCs w:val="22"/>
              </w:rPr>
              <w:br w:type="textWrapping"/>
            </w:r>
            <w:r>
              <w:rPr>
                <w:color w:val="000000"/>
                <w:kern w:val="0"/>
                <w:sz w:val="22"/>
                <w:szCs w:val="22"/>
              </w:rPr>
              <w:t>4</w:t>
            </w:r>
            <w:r>
              <w:rPr>
                <w:rFonts w:hint="eastAsia"/>
                <w:color w:val="000000"/>
                <w:kern w:val="0"/>
                <w:sz w:val="22"/>
                <w:szCs w:val="22"/>
              </w:rPr>
              <w:t>.</w:t>
            </w:r>
            <w:r>
              <w:rPr>
                <w:color w:val="000000"/>
                <w:kern w:val="0"/>
                <w:sz w:val="22"/>
                <w:szCs w:val="22"/>
              </w:rPr>
              <w:t>管道连接（接口）的牢固性、严密性，观感</w:t>
            </w:r>
            <w:r>
              <w:rPr>
                <w:rFonts w:hint="eastAsia"/>
                <w:color w:val="000000"/>
                <w:kern w:val="0"/>
                <w:sz w:val="22"/>
                <w:szCs w:val="22"/>
              </w:rPr>
              <w:t>；</w:t>
            </w:r>
            <w:r>
              <w:rPr>
                <w:color w:val="000000"/>
                <w:kern w:val="0"/>
                <w:sz w:val="22"/>
                <w:szCs w:val="22"/>
              </w:rPr>
              <w:br w:type="textWrapping"/>
            </w:r>
            <w:r>
              <w:rPr>
                <w:color w:val="000000"/>
                <w:kern w:val="0"/>
                <w:sz w:val="22"/>
                <w:szCs w:val="22"/>
              </w:rPr>
              <w:t>5</w:t>
            </w:r>
            <w:r>
              <w:rPr>
                <w:rFonts w:hint="eastAsia"/>
                <w:color w:val="000000"/>
                <w:kern w:val="0"/>
                <w:sz w:val="22"/>
                <w:szCs w:val="22"/>
              </w:rPr>
              <w:t>.</w:t>
            </w:r>
            <w:r>
              <w:rPr>
                <w:color w:val="000000"/>
                <w:kern w:val="0"/>
                <w:sz w:val="22"/>
                <w:szCs w:val="22"/>
              </w:rPr>
              <w:t>风口、风阀、管道阀门、补偿器，以及跨越变形缝处的补偿装置</w:t>
            </w:r>
            <w:r>
              <w:rPr>
                <w:rFonts w:hint="eastAsia"/>
                <w:color w:val="000000"/>
                <w:kern w:val="0"/>
                <w:sz w:val="22"/>
                <w:szCs w:val="22"/>
              </w:rPr>
              <w:t>；</w:t>
            </w:r>
            <w:r>
              <w:rPr>
                <w:color w:val="000000"/>
                <w:kern w:val="0"/>
                <w:sz w:val="22"/>
                <w:szCs w:val="22"/>
              </w:rPr>
              <w:br w:type="textWrapping"/>
            </w:r>
            <w:r>
              <w:rPr>
                <w:color w:val="000000"/>
                <w:kern w:val="0"/>
                <w:sz w:val="22"/>
                <w:szCs w:val="22"/>
              </w:rPr>
              <w:t>6</w:t>
            </w:r>
            <w:r>
              <w:rPr>
                <w:rFonts w:hint="eastAsia"/>
                <w:color w:val="000000"/>
                <w:kern w:val="0"/>
                <w:sz w:val="22"/>
                <w:szCs w:val="22"/>
              </w:rPr>
              <w:t>.</w:t>
            </w:r>
            <w:r>
              <w:rPr>
                <w:color w:val="000000"/>
                <w:kern w:val="0"/>
                <w:sz w:val="22"/>
                <w:szCs w:val="22"/>
              </w:rPr>
              <w:t>套管设置及封堵，穿越防火分区的保护措施、防火阀的设置等</w:t>
            </w:r>
            <w:r>
              <w:rPr>
                <w:rFonts w:hint="eastAsia"/>
                <w:color w:val="000000"/>
                <w:kern w:val="0"/>
                <w:sz w:val="22"/>
                <w:szCs w:val="22"/>
              </w:rPr>
              <w:t>。</w:t>
            </w:r>
          </w:p>
        </w:tc>
        <w:tc>
          <w:tcPr>
            <w:tcW w:w="201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62FE770">
            <w:pPr>
              <w:jc w:val="center"/>
              <w:rPr>
                <w:rFonts w:eastAsia="仿宋_GB2312"/>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7C4FB02">
            <w:pPr>
              <w:jc w:val="center"/>
              <w:rPr>
                <w:rFonts w:eastAsia="仿宋_GB2312"/>
                <w:color w:val="000000"/>
                <w:szCs w:val="21"/>
              </w:rPr>
            </w:pPr>
            <w:r>
              <w:rPr>
                <w:rFonts w:hint="eastAsia" w:eastAsia="仿宋_GB2312"/>
                <w:color w:val="000000"/>
                <w:szCs w:val="21"/>
              </w:rPr>
              <w:t>10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2C6C537">
            <w:pPr>
              <w:rPr>
                <w:color w:val="000000"/>
                <w:szCs w:val="21"/>
              </w:rPr>
            </w:pPr>
          </w:p>
        </w:tc>
      </w:tr>
      <w:tr w14:paraId="16BB2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2E106ED">
            <w:pPr>
              <w:widowControl/>
              <w:jc w:val="center"/>
              <w:textAlignment w:val="center"/>
              <w:rPr>
                <w:color w:val="000000"/>
                <w:szCs w:val="21"/>
              </w:rPr>
            </w:pPr>
            <w:r>
              <w:rPr>
                <w:rFonts w:hint="eastAsia"/>
                <w:color w:val="000000"/>
                <w:kern w:val="0"/>
                <w:szCs w:val="21"/>
              </w:rPr>
              <w:t>9</w:t>
            </w:r>
          </w:p>
        </w:tc>
        <w:tc>
          <w:tcPr>
            <w:tcW w:w="60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DEE500C">
            <w:pPr>
              <w:jc w:val="center"/>
              <w:rPr>
                <w:color w:val="000000"/>
                <w:szCs w:val="21"/>
              </w:rPr>
            </w:pPr>
          </w:p>
        </w:tc>
        <w:tc>
          <w:tcPr>
            <w:tcW w:w="517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878FC63">
            <w:pPr>
              <w:widowControl/>
              <w:jc w:val="left"/>
              <w:textAlignment w:val="center"/>
              <w:rPr>
                <w:color w:val="000000"/>
                <w:szCs w:val="21"/>
              </w:rPr>
            </w:pPr>
            <w:r>
              <w:rPr>
                <w:color w:val="000000"/>
                <w:kern w:val="0"/>
                <w:sz w:val="22"/>
                <w:szCs w:val="22"/>
              </w:rPr>
              <w:t>支吊架安装</w:t>
            </w:r>
            <w:r>
              <w:rPr>
                <w:rFonts w:hint="eastAsia"/>
                <w:color w:val="000000"/>
                <w:kern w:val="0"/>
                <w:sz w:val="22"/>
                <w:szCs w:val="22"/>
              </w:rPr>
              <w:t>：</w:t>
            </w:r>
            <w:r>
              <w:rPr>
                <w:color w:val="000000"/>
                <w:kern w:val="0"/>
                <w:sz w:val="22"/>
                <w:szCs w:val="22"/>
              </w:rPr>
              <w:br w:type="textWrapping"/>
            </w:r>
            <w:r>
              <w:rPr>
                <w:color w:val="000000"/>
                <w:kern w:val="0"/>
                <w:sz w:val="22"/>
                <w:szCs w:val="22"/>
              </w:rPr>
              <w:t>1</w:t>
            </w:r>
            <w:r>
              <w:rPr>
                <w:rFonts w:hint="eastAsia"/>
                <w:color w:val="000000"/>
                <w:kern w:val="0"/>
                <w:sz w:val="22"/>
                <w:szCs w:val="22"/>
              </w:rPr>
              <w:t>.</w:t>
            </w:r>
            <w:r>
              <w:rPr>
                <w:color w:val="000000"/>
                <w:kern w:val="0"/>
                <w:sz w:val="22"/>
                <w:szCs w:val="22"/>
              </w:rPr>
              <w:t>支吊架的制作加工</w:t>
            </w:r>
            <w:r>
              <w:rPr>
                <w:rFonts w:hint="eastAsia"/>
                <w:color w:val="000000"/>
                <w:kern w:val="0"/>
                <w:sz w:val="22"/>
                <w:szCs w:val="22"/>
              </w:rPr>
              <w:t>；</w:t>
            </w:r>
            <w:r>
              <w:rPr>
                <w:color w:val="000000"/>
                <w:kern w:val="0"/>
                <w:sz w:val="22"/>
                <w:szCs w:val="22"/>
              </w:rPr>
              <w:br w:type="textWrapping"/>
            </w:r>
            <w:r>
              <w:rPr>
                <w:color w:val="000000"/>
                <w:kern w:val="0"/>
                <w:sz w:val="22"/>
                <w:szCs w:val="22"/>
              </w:rPr>
              <w:t>2</w:t>
            </w:r>
            <w:r>
              <w:rPr>
                <w:rFonts w:hint="eastAsia"/>
                <w:color w:val="000000"/>
                <w:kern w:val="0"/>
                <w:sz w:val="22"/>
                <w:szCs w:val="22"/>
              </w:rPr>
              <w:t>.</w:t>
            </w:r>
            <w:r>
              <w:rPr>
                <w:color w:val="000000"/>
                <w:kern w:val="0"/>
                <w:sz w:val="22"/>
                <w:szCs w:val="22"/>
              </w:rPr>
              <w:t>支吊架设置、间距、安装</w:t>
            </w:r>
            <w:r>
              <w:rPr>
                <w:rFonts w:hint="eastAsia"/>
                <w:color w:val="000000"/>
                <w:kern w:val="0"/>
                <w:sz w:val="22"/>
                <w:szCs w:val="22"/>
              </w:rPr>
              <w:t>；</w:t>
            </w:r>
            <w:r>
              <w:rPr>
                <w:color w:val="000000"/>
                <w:kern w:val="0"/>
                <w:sz w:val="22"/>
                <w:szCs w:val="22"/>
              </w:rPr>
              <w:br w:type="textWrapping"/>
            </w:r>
            <w:r>
              <w:rPr>
                <w:color w:val="000000"/>
                <w:kern w:val="0"/>
                <w:sz w:val="22"/>
                <w:szCs w:val="22"/>
              </w:rPr>
              <w:t>3</w:t>
            </w:r>
            <w:r>
              <w:rPr>
                <w:rFonts w:hint="eastAsia"/>
                <w:color w:val="000000"/>
                <w:kern w:val="0"/>
                <w:sz w:val="22"/>
                <w:szCs w:val="22"/>
              </w:rPr>
              <w:t>.</w:t>
            </w:r>
            <w:r>
              <w:rPr>
                <w:color w:val="000000"/>
                <w:kern w:val="0"/>
                <w:sz w:val="22"/>
                <w:szCs w:val="22"/>
              </w:rPr>
              <w:t>防摆动支架、综合支架的设置</w:t>
            </w:r>
            <w:r>
              <w:rPr>
                <w:rFonts w:hint="eastAsia"/>
                <w:color w:val="000000"/>
                <w:kern w:val="0"/>
                <w:sz w:val="22"/>
                <w:szCs w:val="22"/>
              </w:rPr>
              <w:t>。</w:t>
            </w:r>
          </w:p>
        </w:tc>
        <w:tc>
          <w:tcPr>
            <w:tcW w:w="201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DDCE5DC">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907A2A7">
            <w:pPr>
              <w:jc w:val="center"/>
              <w:rPr>
                <w:color w:val="000000"/>
                <w:szCs w:val="21"/>
              </w:rPr>
            </w:pPr>
            <w:r>
              <w:rPr>
                <w:rFonts w:hint="eastAsia"/>
                <w:color w:val="000000"/>
                <w:szCs w:val="21"/>
              </w:rPr>
              <w:t>10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EFC7DCA">
            <w:pPr>
              <w:rPr>
                <w:color w:val="000000"/>
                <w:szCs w:val="21"/>
              </w:rPr>
            </w:pPr>
          </w:p>
        </w:tc>
      </w:tr>
      <w:tr w14:paraId="508BF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6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BAC1483">
            <w:pPr>
              <w:widowControl/>
              <w:jc w:val="center"/>
              <w:textAlignment w:val="center"/>
              <w:rPr>
                <w:color w:val="000000"/>
                <w:szCs w:val="21"/>
              </w:rPr>
            </w:pPr>
            <w:r>
              <w:rPr>
                <w:rFonts w:hint="eastAsia"/>
                <w:color w:val="000000"/>
                <w:kern w:val="0"/>
                <w:szCs w:val="21"/>
              </w:rPr>
              <w:t>10</w:t>
            </w:r>
          </w:p>
        </w:tc>
        <w:tc>
          <w:tcPr>
            <w:tcW w:w="60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6419EAF">
            <w:pPr>
              <w:jc w:val="center"/>
              <w:rPr>
                <w:color w:val="000000"/>
                <w:szCs w:val="21"/>
              </w:rPr>
            </w:pPr>
          </w:p>
        </w:tc>
        <w:tc>
          <w:tcPr>
            <w:tcW w:w="517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7D6F133">
            <w:pPr>
              <w:widowControl/>
              <w:jc w:val="left"/>
              <w:textAlignment w:val="center"/>
              <w:rPr>
                <w:color w:val="000000"/>
                <w:szCs w:val="21"/>
              </w:rPr>
            </w:pPr>
            <w:r>
              <w:rPr>
                <w:color w:val="000000"/>
                <w:kern w:val="0"/>
                <w:sz w:val="22"/>
                <w:szCs w:val="22"/>
              </w:rPr>
              <w:t>防排烟设施</w:t>
            </w:r>
            <w:r>
              <w:rPr>
                <w:rFonts w:hint="eastAsia"/>
                <w:color w:val="000000"/>
                <w:kern w:val="0"/>
                <w:sz w:val="22"/>
                <w:szCs w:val="22"/>
              </w:rPr>
              <w:t>：</w:t>
            </w:r>
            <w:r>
              <w:rPr>
                <w:color w:val="000000"/>
                <w:kern w:val="0"/>
                <w:sz w:val="22"/>
                <w:szCs w:val="22"/>
              </w:rPr>
              <w:br w:type="textWrapping"/>
            </w:r>
            <w:r>
              <w:rPr>
                <w:color w:val="000000"/>
                <w:kern w:val="0"/>
                <w:sz w:val="22"/>
                <w:szCs w:val="22"/>
              </w:rPr>
              <w:t>1</w:t>
            </w:r>
            <w:r>
              <w:rPr>
                <w:rFonts w:hint="eastAsia"/>
                <w:color w:val="000000"/>
                <w:kern w:val="0"/>
                <w:sz w:val="22"/>
                <w:szCs w:val="22"/>
              </w:rPr>
              <w:t>.</w:t>
            </w:r>
            <w:r>
              <w:rPr>
                <w:color w:val="000000"/>
                <w:kern w:val="0"/>
                <w:sz w:val="22"/>
                <w:szCs w:val="22"/>
              </w:rPr>
              <w:t>防排烟设备的安装、布置、排列，与装饰的协调性</w:t>
            </w:r>
            <w:r>
              <w:rPr>
                <w:rFonts w:hint="eastAsia"/>
                <w:color w:val="000000"/>
                <w:kern w:val="0"/>
                <w:sz w:val="22"/>
                <w:szCs w:val="22"/>
              </w:rPr>
              <w:t>；</w:t>
            </w:r>
            <w:r>
              <w:rPr>
                <w:color w:val="000000"/>
                <w:kern w:val="0"/>
                <w:sz w:val="22"/>
                <w:szCs w:val="22"/>
              </w:rPr>
              <w:br w:type="textWrapping"/>
            </w:r>
            <w:r>
              <w:rPr>
                <w:color w:val="000000"/>
                <w:kern w:val="0"/>
                <w:sz w:val="22"/>
                <w:szCs w:val="22"/>
              </w:rPr>
              <w:t>2</w:t>
            </w:r>
            <w:r>
              <w:rPr>
                <w:rFonts w:hint="eastAsia"/>
                <w:color w:val="000000"/>
                <w:kern w:val="0"/>
                <w:sz w:val="22"/>
                <w:szCs w:val="22"/>
              </w:rPr>
              <w:t>.</w:t>
            </w:r>
            <w:r>
              <w:rPr>
                <w:color w:val="000000"/>
                <w:kern w:val="0"/>
                <w:sz w:val="22"/>
                <w:szCs w:val="22"/>
              </w:rPr>
              <w:t>防排烟末端装置的安装</w:t>
            </w:r>
            <w:r>
              <w:rPr>
                <w:rFonts w:hint="eastAsia"/>
                <w:color w:val="000000"/>
                <w:kern w:val="0"/>
                <w:sz w:val="22"/>
                <w:szCs w:val="22"/>
              </w:rPr>
              <w:t>；</w:t>
            </w:r>
            <w:r>
              <w:rPr>
                <w:color w:val="000000"/>
                <w:kern w:val="0"/>
                <w:sz w:val="22"/>
                <w:szCs w:val="22"/>
              </w:rPr>
              <w:br w:type="textWrapping"/>
            </w:r>
            <w:r>
              <w:rPr>
                <w:color w:val="000000"/>
                <w:kern w:val="0"/>
                <w:sz w:val="22"/>
                <w:szCs w:val="22"/>
              </w:rPr>
              <w:t>3</w:t>
            </w:r>
            <w:r>
              <w:rPr>
                <w:rFonts w:hint="eastAsia"/>
                <w:color w:val="000000"/>
                <w:kern w:val="0"/>
                <w:sz w:val="22"/>
                <w:szCs w:val="22"/>
              </w:rPr>
              <w:t>.</w:t>
            </w:r>
            <w:r>
              <w:rPr>
                <w:color w:val="000000"/>
                <w:kern w:val="0"/>
                <w:sz w:val="22"/>
                <w:szCs w:val="22"/>
              </w:rPr>
              <w:t>防排烟系统运行</w:t>
            </w:r>
            <w:r>
              <w:rPr>
                <w:rFonts w:hint="eastAsia"/>
                <w:color w:val="000000"/>
                <w:kern w:val="0"/>
                <w:sz w:val="22"/>
                <w:szCs w:val="22"/>
              </w:rPr>
              <w:t>。</w:t>
            </w:r>
          </w:p>
        </w:tc>
        <w:tc>
          <w:tcPr>
            <w:tcW w:w="201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F71950A">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FAA203B">
            <w:pPr>
              <w:jc w:val="center"/>
              <w:rPr>
                <w:color w:val="000000"/>
                <w:szCs w:val="21"/>
              </w:rPr>
            </w:pPr>
            <w:r>
              <w:rPr>
                <w:rFonts w:hint="eastAsia"/>
                <w:color w:val="000000"/>
                <w:szCs w:val="21"/>
              </w:rPr>
              <w:t>10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E070231">
            <w:pPr>
              <w:rPr>
                <w:color w:val="000000"/>
                <w:szCs w:val="21"/>
              </w:rPr>
            </w:pPr>
          </w:p>
        </w:tc>
      </w:tr>
      <w:tr w14:paraId="450AB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1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295ED49">
            <w:pPr>
              <w:widowControl/>
              <w:jc w:val="center"/>
              <w:textAlignment w:val="center"/>
              <w:rPr>
                <w:color w:val="000000"/>
                <w:szCs w:val="21"/>
              </w:rPr>
            </w:pPr>
            <w:r>
              <w:rPr>
                <w:rFonts w:hint="eastAsia"/>
                <w:color w:val="000000"/>
                <w:kern w:val="0"/>
                <w:szCs w:val="21"/>
              </w:rPr>
              <w:t>11</w:t>
            </w:r>
          </w:p>
        </w:tc>
        <w:tc>
          <w:tcPr>
            <w:tcW w:w="60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7FC6004">
            <w:pPr>
              <w:jc w:val="center"/>
              <w:rPr>
                <w:color w:val="000000"/>
                <w:szCs w:val="21"/>
              </w:rPr>
            </w:pPr>
          </w:p>
        </w:tc>
        <w:tc>
          <w:tcPr>
            <w:tcW w:w="517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965E42D">
            <w:pPr>
              <w:widowControl/>
              <w:jc w:val="left"/>
              <w:textAlignment w:val="center"/>
              <w:rPr>
                <w:color w:val="000000"/>
                <w:kern w:val="0"/>
                <w:sz w:val="22"/>
                <w:szCs w:val="22"/>
              </w:rPr>
            </w:pPr>
            <w:r>
              <w:rPr>
                <w:color w:val="000000"/>
                <w:kern w:val="0"/>
                <w:sz w:val="22"/>
                <w:szCs w:val="22"/>
              </w:rPr>
              <w:t>防腐、</w:t>
            </w:r>
            <w:r>
              <w:rPr>
                <w:rFonts w:hint="eastAsia"/>
                <w:color w:val="000000"/>
                <w:kern w:val="0"/>
                <w:sz w:val="22"/>
                <w:szCs w:val="22"/>
              </w:rPr>
              <w:t>绝热</w:t>
            </w:r>
            <w:r>
              <w:rPr>
                <w:color w:val="000000"/>
                <w:kern w:val="0"/>
                <w:sz w:val="22"/>
                <w:szCs w:val="22"/>
              </w:rPr>
              <w:t>及标识</w:t>
            </w:r>
            <w:r>
              <w:rPr>
                <w:color w:val="000000"/>
                <w:kern w:val="0"/>
                <w:sz w:val="22"/>
                <w:szCs w:val="22"/>
              </w:rPr>
              <w:br w:type="textWrapping"/>
            </w:r>
            <w:r>
              <w:rPr>
                <w:color w:val="000000"/>
                <w:kern w:val="0"/>
                <w:sz w:val="22"/>
                <w:szCs w:val="22"/>
              </w:rPr>
              <w:t>1</w:t>
            </w:r>
            <w:r>
              <w:rPr>
                <w:rFonts w:hint="eastAsia"/>
                <w:color w:val="000000"/>
                <w:kern w:val="0"/>
                <w:sz w:val="22"/>
                <w:szCs w:val="22"/>
              </w:rPr>
              <w:t>.</w:t>
            </w:r>
            <w:r>
              <w:rPr>
                <w:color w:val="000000"/>
                <w:kern w:val="0"/>
                <w:sz w:val="22"/>
                <w:szCs w:val="22"/>
              </w:rPr>
              <w:t>支吊架、管道的防腐及面漆</w:t>
            </w:r>
            <w:r>
              <w:rPr>
                <w:color w:val="000000"/>
                <w:kern w:val="0"/>
                <w:sz w:val="22"/>
                <w:szCs w:val="22"/>
              </w:rPr>
              <w:br w:type="textWrapping"/>
            </w:r>
            <w:r>
              <w:rPr>
                <w:color w:val="000000"/>
                <w:kern w:val="0"/>
                <w:sz w:val="22"/>
                <w:szCs w:val="22"/>
              </w:rPr>
              <w:t>2</w:t>
            </w:r>
            <w:r>
              <w:rPr>
                <w:rFonts w:hint="eastAsia"/>
                <w:color w:val="000000"/>
                <w:kern w:val="0"/>
                <w:sz w:val="22"/>
                <w:szCs w:val="22"/>
              </w:rPr>
              <w:t>.</w:t>
            </w:r>
            <w:r>
              <w:rPr>
                <w:color w:val="000000"/>
                <w:kern w:val="0"/>
                <w:sz w:val="22"/>
                <w:szCs w:val="22"/>
              </w:rPr>
              <w:t>管道、管件及设备的</w:t>
            </w:r>
            <w:r>
              <w:rPr>
                <w:rFonts w:hint="eastAsia"/>
                <w:color w:val="000000"/>
                <w:kern w:val="0"/>
                <w:sz w:val="22"/>
                <w:szCs w:val="22"/>
              </w:rPr>
              <w:t>绝热</w:t>
            </w:r>
          </w:p>
          <w:p w14:paraId="5D0AA5EC">
            <w:pPr>
              <w:widowControl/>
              <w:jc w:val="left"/>
              <w:textAlignment w:val="center"/>
              <w:rPr>
                <w:color w:val="000000"/>
                <w:szCs w:val="21"/>
              </w:rPr>
            </w:pPr>
            <w:r>
              <w:rPr>
                <w:color w:val="000000"/>
                <w:kern w:val="0"/>
                <w:sz w:val="22"/>
                <w:szCs w:val="22"/>
              </w:rPr>
              <w:t>3</w:t>
            </w:r>
            <w:r>
              <w:rPr>
                <w:rFonts w:hint="eastAsia"/>
                <w:color w:val="000000"/>
                <w:kern w:val="0"/>
                <w:sz w:val="22"/>
                <w:szCs w:val="22"/>
              </w:rPr>
              <w:t>.</w:t>
            </w:r>
            <w:r>
              <w:rPr>
                <w:color w:val="000000"/>
                <w:kern w:val="0"/>
                <w:sz w:val="22"/>
                <w:szCs w:val="22"/>
              </w:rPr>
              <w:t>管道</w:t>
            </w:r>
            <w:r>
              <w:rPr>
                <w:rFonts w:hint="eastAsia"/>
                <w:color w:val="000000"/>
                <w:szCs w:val="21"/>
              </w:rPr>
              <w:t>、阀部件、组件的</w:t>
            </w:r>
            <w:r>
              <w:rPr>
                <w:color w:val="000000"/>
                <w:kern w:val="0"/>
                <w:sz w:val="22"/>
                <w:szCs w:val="22"/>
              </w:rPr>
              <w:t>标识及设备铭牌</w:t>
            </w:r>
          </w:p>
        </w:tc>
        <w:tc>
          <w:tcPr>
            <w:tcW w:w="201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981E21A">
            <w:pP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77741BD">
            <w:pPr>
              <w:jc w:val="center"/>
              <w:rPr>
                <w:color w:val="000000"/>
                <w:szCs w:val="21"/>
              </w:rPr>
            </w:pPr>
            <w:r>
              <w:rPr>
                <w:rFonts w:hint="eastAsia"/>
                <w:color w:val="000000"/>
                <w:szCs w:val="21"/>
              </w:rPr>
              <w:t>10</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573B818">
            <w:pPr>
              <w:rPr>
                <w:color w:val="000000"/>
                <w:szCs w:val="21"/>
              </w:rPr>
            </w:pPr>
          </w:p>
        </w:tc>
      </w:tr>
      <w:tr w14:paraId="60375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6306" w:type="dxa"/>
            <w:gridSpan w:val="3"/>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792BA09">
            <w:pPr>
              <w:widowControl/>
              <w:jc w:val="center"/>
              <w:textAlignment w:val="center"/>
              <w:rPr>
                <w:color w:val="000000"/>
                <w:kern w:val="0"/>
                <w:szCs w:val="21"/>
              </w:rPr>
            </w:pPr>
            <w:r>
              <w:rPr>
                <w:color w:val="000000"/>
                <w:kern w:val="0"/>
                <w:szCs w:val="21"/>
              </w:rPr>
              <w:t>合计</w:t>
            </w:r>
          </w:p>
        </w:tc>
        <w:tc>
          <w:tcPr>
            <w:tcW w:w="201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5273F67">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5E8CB9">
            <w:pPr>
              <w:jc w:val="center"/>
              <w:rPr>
                <w:color w:val="000000"/>
                <w:szCs w:val="21"/>
              </w:rPr>
            </w:pPr>
            <w:r>
              <w:rPr>
                <w:color w:val="000000"/>
                <w:szCs w:val="21"/>
              </w:rPr>
              <w:t>100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F4E740D">
            <w:pPr>
              <w:rPr>
                <w:color w:val="000000"/>
                <w:szCs w:val="21"/>
              </w:rPr>
            </w:pPr>
          </w:p>
        </w:tc>
      </w:tr>
      <w:tr w14:paraId="37D51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49" w:hRule="atLeast"/>
        </w:trPr>
        <w:tc>
          <w:tcPr>
            <w:tcW w:w="9404" w:type="dxa"/>
            <w:gridSpan w:val="6"/>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E8E1D0D">
            <w:pPr>
              <w:widowControl/>
              <w:jc w:val="left"/>
              <w:textAlignment w:val="center"/>
              <w:rPr>
                <w:color w:val="000000"/>
                <w:kern w:val="0"/>
                <w:szCs w:val="21"/>
              </w:rPr>
            </w:pPr>
            <w:r>
              <w:rPr>
                <w:color w:val="000000"/>
                <w:kern w:val="0"/>
                <w:szCs w:val="21"/>
              </w:rPr>
              <w:t>综合评价：意见和建议（工程亮点、存在问题、改正方法、提高方向）</w:t>
            </w:r>
          </w:p>
          <w:p w14:paraId="40BA5F6D">
            <w:pPr>
              <w:widowControl/>
              <w:jc w:val="left"/>
              <w:textAlignment w:val="center"/>
              <w:rPr>
                <w:color w:val="000000"/>
                <w:kern w:val="0"/>
                <w:szCs w:val="21"/>
              </w:rPr>
            </w:pPr>
          </w:p>
          <w:p w14:paraId="095134D4">
            <w:pPr>
              <w:pStyle w:val="2"/>
              <w:ind w:left="134" w:firstLine="283"/>
              <w:rPr>
                <w:color w:val="000000"/>
                <w:kern w:val="0"/>
                <w:szCs w:val="21"/>
              </w:rPr>
            </w:pPr>
          </w:p>
          <w:p w14:paraId="077E7FFF">
            <w:pPr>
              <w:widowControl/>
              <w:jc w:val="left"/>
              <w:textAlignment w:val="center"/>
              <w:rPr>
                <w:color w:val="000000"/>
                <w:kern w:val="0"/>
                <w:szCs w:val="21"/>
              </w:rPr>
            </w:pPr>
          </w:p>
          <w:p w14:paraId="75A7E934">
            <w:pPr>
              <w:widowControl/>
              <w:jc w:val="left"/>
              <w:textAlignment w:val="center"/>
              <w:rPr>
                <w:color w:val="000000"/>
                <w:kern w:val="0"/>
                <w:szCs w:val="21"/>
              </w:rPr>
            </w:pPr>
            <w:r>
              <w:rPr>
                <w:color w:val="000000"/>
                <w:kern w:val="0"/>
                <w:szCs w:val="21"/>
              </w:rPr>
              <w:t xml:space="preserve">                                        检查人：</w:t>
            </w:r>
          </w:p>
          <w:p w14:paraId="4A693E25">
            <w:pPr>
              <w:widowControl/>
              <w:jc w:val="left"/>
              <w:textAlignment w:val="center"/>
              <w:rPr>
                <w:color w:val="000000"/>
                <w:kern w:val="0"/>
                <w:szCs w:val="21"/>
              </w:rPr>
            </w:pPr>
            <w:r>
              <w:rPr>
                <w:color w:val="000000"/>
                <w:kern w:val="0"/>
                <w:szCs w:val="21"/>
              </w:rPr>
              <w:t xml:space="preserve">                                                           年   月   日</w:t>
            </w:r>
          </w:p>
        </w:tc>
      </w:tr>
    </w:tbl>
    <w:p w14:paraId="33C850DC">
      <w:pPr>
        <w:rPr>
          <w:color w:val="000000"/>
          <w:kern w:val="0"/>
          <w:sz w:val="24"/>
        </w:rPr>
      </w:pPr>
      <w:r>
        <w:rPr>
          <w:color w:val="000000"/>
        </w:rPr>
        <w:t>注：本表评价打分采取扣分制，存在一处缺陷扣1分</w:t>
      </w:r>
    </w:p>
    <w:p w14:paraId="4CEECCF5">
      <w:pPr>
        <w:widowControl/>
        <w:jc w:val="center"/>
        <w:textAlignment w:val="center"/>
        <w:outlineLvl w:val="1"/>
        <w:rPr>
          <w:rStyle w:val="32"/>
          <w:rFonts w:ascii="Times New Roman" w:hAnsi="Times New Roman" w:eastAsia="黑体"/>
          <w:sz w:val="28"/>
          <w:szCs w:val="28"/>
          <w:lang w:val="en-US"/>
        </w:rPr>
      </w:pPr>
      <w:bookmarkStart w:id="740" w:name="_Toc17397"/>
      <w:bookmarkStart w:id="741" w:name="_Toc324"/>
      <w:bookmarkStart w:id="742" w:name="_Toc18258"/>
      <w:bookmarkStart w:id="743" w:name="_Toc14979"/>
      <w:bookmarkStart w:id="744" w:name="_Toc404"/>
      <w:bookmarkStart w:id="745" w:name="_Toc4852"/>
      <w:bookmarkStart w:id="746" w:name="_Toc4163"/>
      <w:bookmarkStart w:id="747" w:name="_Toc12238"/>
      <w:r>
        <w:rPr>
          <w:rStyle w:val="32"/>
          <w:rFonts w:ascii="Times New Roman" w:hAnsi="Times New Roman" w:eastAsia="黑体"/>
          <w:sz w:val="28"/>
          <w:szCs w:val="28"/>
          <w:lang w:val="en-US"/>
        </w:rPr>
        <w:t>附录D  工程资料管理</w:t>
      </w:r>
      <w:r>
        <w:rPr>
          <w:rStyle w:val="32"/>
          <w:rFonts w:ascii="Times New Roman" w:hAnsi="Times New Roman" w:eastAsia="黑体"/>
          <w:sz w:val="28"/>
          <w:szCs w:val="28"/>
        </w:rPr>
        <w:t>现场检查</w:t>
      </w:r>
      <w:bookmarkEnd w:id="740"/>
      <w:bookmarkEnd w:id="741"/>
      <w:bookmarkEnd w:id="742"/>
      <w:bookmarkEnd w:id="743"/>
      <w:bookmarkEnd w:id="744"/>
      <w:bookmarkEnd w:id="745"/>
      <w:bookmarkEnd w:id="746"/>
      <w:bookmarkEnd w:id="747"/>
    </w:p>
    <w:p w14:paraId="62240709">
      <w:pPr>
        <w:jc w:val="center"/>
        <w:outlineLvl w:val="2"/>
        <w:rPr>
          <w:rFonts w:eastAsia="黑体"/>
          <w:color w:val="000000"/>
          <w:sz w:val="24"/>
          <w:szCs w:val="24"/>
        </w:rPr>
      </w:pPr>
      <w:bookmarkStart w:id="748" w:name="_Toc28450"/>
      <w:bookmarkStart w:id="749" w:name="_Toc1168"/>
      <w:bookmarkStart w:id="750" w:name="_Toc16080"/>
      <w:bookmarkStart w:id="751" w:name="_Toc30868"/>
      <w:bookmarkStart w:id="752" w:name="_Toc20726"/>
      <w:bookmarkStart w:id="753" w:name="_Toc26993"/>
      <w:bookmarkStart w:id="754" w:name="_Toc8510"/>
      <w:bookmarkStart w:id="755" w:name="_Toc21396"/>
      <w:bookmarkStart w:id="756" w:name="_Toc20321"/>
      <w:bookmarkStart w:id="757" w:name="_Toc2929"/>
      <w:bookmarkStart w:id="758" w:name="_Toc17540"/>
      <w:bookmarkStart w:id="759" w:name="_Toc17074"/>
      <w:bookmarkStart w:id="760" w:name="_Toc21961"/>
      <w:bookmarkStart w:id="761" w:name="_Toc900"/>
      <w:r>
        <w:rPr>
          <w:rFonts w:eastAsia="黑体"/>
          <w:color w:val="000000"/>
          <w:sz w:val="24"/>
          <w:szCs w:val="24"/>
          <w:lang w:val="zh-CN"/>
        </w:rPr>
        <w:t>表</w:t>
      </w:r>
      <w:r>
        <w:rPr>
          <w:rFonts w:eastAsia="黑体"/>
          <w:color w:val="000000"/>
          <w:sz w:val="24"/>
          <w:szCs w:val="24"/>
        </w:rPr>
        <w:t>D</w:t>
      </w:r>
      <w:r>
        <w:rPr>
          <w:rFonts w:eastAsia="黑体"/>
          <w:color w:val="000000"/>
          <w:sz w:val="24"/>
          <w:szCs w:val="24"/>
          <w:lang w:val="zh-CN"/>
        </w:rPr>
        <w:t>.0.1  土建工程资料管理</w:t>
      </w:r>
      <w:r>
        <w:rPr>
          <w:rFonts w:hint="eastAsia" w:ascii="黑体" w:hAnsi="黑体" w:eastAsia="黑体" w:cs="宋体"/>
          <w:color w:val="000000"/>
          <w:kern w:val="0"/>
          <w:sz w:val="24"/>
          <w:szCs w:val="24"/>
        </w:rPr>
        <w:t>现场检查</w:t>
      </w:r>
      <w:bookmarkEnd w:id="748"/>
      <w:bookmarkEnd w:id="749"/>
      <w:bookmarkEnd w:id="750"/>
      <w:bookmarkEnd w:id="751"/>
      <w:bookmarkEnd w:id="752"/>
      <w:bookmarkEnd w:id="753"/>
      <w:bookmarkEnd w:id="754"/>
      <w:bookmarkEnd w:id="755"/>
      <w:r>
        <w:rPr>
          <w:rFonts w:hint="eastAsia" w:eastAsia="黑体"/>
          <w:color w:val="000000"/>
          <w:sz w:val="24"/>
          <w:szCs w:val="24"/>
          <w:lang w:val="zh-CN"/>
        </w:rPr>
        <w:t>表</w:t>
      </w:r>
      <w:bookmarkEnd w:id="756"/>
      <w:bookmarkEnd w:id="757"/>
      <w:bookmarkEnd w:id="758"/>
      <w:bookmarkEnd w:id="759"/>
      <w:bookmarkEnd w:id="760"/>
      <w:bookmarkEnd w:id="761"/>
    </w:p>
    <w:p w14:paraId="0166F0A9">
      <w:pPr>
        <w:widowControl/>
        <w:spacing w:before="156" w:beforeLines="50" w:after="156" w:afterLines="50"/>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W w:w="94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1"/>
        <w:gridCol w:w="477"/>
        <w:gridCol w:w="4173"/>
        <w:gridCol w:w="3135"/>
        <w:gridCol w:w="544"/>
        <w:gridCol w:w="544"/>
      </w:tblGrid>
      <w:tr w14:paraId="7797E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09FC7EA">
            <w:pPr>
              <w:widowControl/>
              <w:jc w:val="center"/>
              <w:textAlignment w:val="center"/>
              <w:rPr>
                <w:color w:val="000000"/>
                <w:sz w:val="24"/>
              </w:rPr>
            </w:pPr>
            <w:r>
              <w:rPr>
                <w:color w:val="000000"/>
                <w:kern w:val="0"/>
                <w:sz w:val="24"/>
              </w:rPr>
              <w:t>序号</w:t>
            </w:r>
          </w:p>
        </w:tc>
        <w:tc>
          <w:tcPr>
            <w:tcW w:w="4650" w:type="dxa"/>
            <w:gridSpan w:val="2"/>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04B4BFE">
            <w:pPr>
              <w:widowControl/>
              <w:jc w:val="center"/>
              <w:textAlignment w:val="center"/>
              <w:rPr>
                <w:color w:val="000000"/>
                <w:sz w:val="24"/>
              </w:rPr>
            </w:pPr>
            <w:r>
              <w:rPr>
                <w:color w:val="000000"/>
                <w:kern w:val="0"/>
                <w:sz w:val="24"/>
              </w:rPr>
              <w:t>检查项目</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A1463E9">
            <w:pPr>
              <w:widowControl/>
              <w:jc w:val="center"/>
              <w:textAlignment w:val="center"/>
              <w:rPr>
                <w:color w:val="000000"/>
                <w:sz w:val="24"/>
              </w:rPr>
            </w:pPr>
            <w:r>
              <w:rPr>
                <w:color w:val="000000"/>
                <w:kern w:val="0"/>
                <w:sz w:val="24"/>
              </w:rPr>
              <w:t>检查情况</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E44817E">
            <w:pPr>
              <w:widowControl/>
              <w:jc w:val="center"/>
              <w:textAlignment w:val="center"/>
              <w:rPr>
                <w:color w:val="000000"/>
                <w:kern w:val="0"/>
                <w:sz w:val="24"/>
              </w:rPr>
            </w:pPr>
            <w:r>
              <w:rPr>
                <w:color w:val="000000"/>
                <w:kern w:val="0"/>
                <w:szCs w:val="21"/>
              </w:rPr>
              <w:t>应得分</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E14E82B">
            <w:pPr>
              <w:widowControl/>
              <w:jc w:val="center"/>
              <w:textAlignment w:val="center"/>
              <w:rPr>
                <w:color w:val="000000"/>
                <w:sz w:val="24"/>
              </w:rPr>
            </w:pPr>
            <w:r>
              <w:rPr>
                <w:color w:val="000000"/>
                <w:kern w:val="0"/>
                <w:szCs w:val="21"/>
              </w:rPr>
              <w:t>实得分</w:t>
            </w:r>
          </w:p>
        </w:tc>
      </w:tr>
      <w:tr w14:paraId="4E2DA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42"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911D984">
            <w:pPr>
              <w:widowControl/>
              <w:jc w:val="center"/>
              <w:textAlignment w:val="center"/>
              <w:rPr>
                <w:color w:val="000000"/>
                <w:sz w:val="24"/>
              </w:rPr>
            </w:pPr>
            <w:r>
              <w:rPr>
                <w:color w:val="000000"/>
                <w:kern w:val="0"/>
                <w:sz w:val="24"/>
              </w:rPr>
              <w:t>1</w:t>
            </w:r>
          </w:p>
        </w:tc>
        <w:tc>
          <w:tcPr>
            <w:tcW w:w="477"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B5A9619">
            <w:pPr>
              <w:widowControl/>
              <w:jc w:val="center"/>
              <w:textAlignment w:val="center"/>
              <w:rPr>
                <w:color w:val="000000"/>
                <w:kern w:val="0"/>
                <w:sz w:val="22"/>
                <w:szCs w:val="22"/>
              </w:rPr>
            </w:pPr>
            <w:r>
              <w:rPr>
                <w:color w:val="000000"/>
                <w:kern w:val="0"/>
                <w:sz w:val="22"/>
                <w:szCs w:val="22"/>
              </w:rPr>
              <w:t>施</w:t>
            </w:r>
          </w:p>
          <w:p w14:paraId="5F71CA31">
            <w:pPr>
              <w:widowControl/>
              <w:jc w:val="center"/>
              <w:textAlignment w:val="center"/>
              <w:rPr>
                <w:color w:val="000000"/>
                <w:kern w:val="0"/>
                <w:sz w:val="22"/>
                <w:szCs w:val="22"/>
              </w:rPr>
            </w:pPr>
            <w:r>
              <w:rPr>
                <w:color w:val="000000"/>
                <w:kern w:val="0"/>
                <w:sz w:val="22"/>
                <w:szCs w:val="22"/>
              </w:rPr>
              <w:t>工</w:t>
            </w:r>
          </w:p>
          <w:p w14:paraId="2FF94BA7">
            <w:pPr>
              <w:widowControl/>
              <w:jc w:val="center"/>
              <w:textAlignment w:val="center"/>
              <w:rPr>
                <w:color w:val="000000"/>
                <w:kern w:val="0"/>
                <w:sz w:val="22"/>
                <w:szCs w:val="22"/>
              </w:rPr>
            </w:pPr>
            <w:r>
              <w:rPr>
                <w:color w:val="000000"/>
                <w:kern w:val="0"/>
                <w:sz w:val="22"/>
                <w:szCs w:val="22"/>
              </w:rPr>
              <w:t>技</w:t>
            </w:r>
          </w:p>
          <w:p w14:paraId="1B1C5610">
            <w:pPr>
              <w:widowControl/>
              <w:jc w:val="center"/>
              <w:textAlignment w:val="center"/>
              <w:rPr>
                <w:color w:val="000000"/>
                <w:kern w:val="0"/>
                <w:sz w:val="22"/>
                <w:szCs w:val="22"/>
              </w:rPr>
            </w:pPr>
            <w:r>
              <w:rPr>
                <w:color w:val="000000"/>
                <w:kern w:val="0"/>
                <w:sz w:val="22"/>
                <w:szCs w:val="22"/>
              </w:rPr>
              <w:t>术</w:t>
            </w:r>
          </w:p>
          <w:p w14:paraId="2D633B71">
            <w:pPr>
              <w:widowControl/>
              <w:jc w:val="center"/>
              <w:textAlignment w:val="center"/>
              <w:rPr>
                <w:color w:val="000000"/>
                <w:kern w:val="0"/>
                <w:sz w:val="22"/>
                <w:szCs w:val="22"/>
              </w:rPr>
            </w:pPr>
            <w:r>
              <w:rPr>
                <w:color w:val="000000"/>
                <w:kern w:val="0"/>
                <w:sz w:val="22"/>
                <w:szCs w:val="22"/>
              </w:rPr>
              <w:t>资</w:t>
            </w:r>
          </w:p>
          <w:p w14:paraId="05BA4C55">
            <w:pPr>
              <w:widowControl/>
              <w:jc w:val="center"/>
              <w:textAlignment w:val="center"/>
              <w:rPr>
                <w:color w:val="000000"/>
                <w:sz w:val="24"/>
              </w:rPr>
            </w:pPr>
            <w:r>
              <w:rPr>
                <w:color w:val="000000"/>
                <w:kern w:val="0"/>
                <w:sz w:val="22"/>
                <w:szCs w:val="22"/>
              </w:rPr>
              <w:t>料</w:t>
            </w:r>
          </w:p>
        </w:tc>
        <w:tc>
          <w:tcPr>
            <w:tcW w:w="417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7028ADE">
            <w:pPr>
              <w:widowControl/>
              <w:jc w:val="left"/>
              <w:textAlignment w:val="center"/>
              <w:rPr>
                <w:color w:val="000000"/>
                <w:sz w:val="24"/>
                <w:highlight w:val="yellow"/>
              </w:rPr>
            </w:pPr>
            <w:r>
              <w:rPr>
                <w:rFonts w:hint="eastAsia"/>
                <w:color w:val="000000"/>
                <w:kern w:val="0"/>
                <w:sz w:val="22"/>
                <w:szCs w:val="22"/>
              </w:rPr>
              <w:t>施工组织设计</w:t>
            </w:r>
            <w:r>
              <w:rPr>
                <w:color w:val="000000"/>
                <w:kern w:val="0"/>
                <w:sz w:val="22"/>
                <w:szCs w:val="22"/>
              </w:rPr>
              <w:t>、施工方案、危大</w:t>
            </w:r>
            <w:r>
              <w:rPr>
                <w:rFonts w:hint="eastAsia"/>
                <w:color w:val="000000"/>
                <w:kern w:val="0"/>
                <w:sz w:val="22"/>
                <w:szCs w:val="22"/>
              </w:rPr>
              <w:t>工程</w:t>
            </w:r>
            <w:r>
              <w:rPr>
                <w:color w:val="000000"/>
                <w:kern w:val="0"/>
                <w:sz w:val="22"/>
                <w:szCs w:val="22"/>
              </w:rPr>
              <w:t>专项</w:t>
            </w:r>
            <w:r>
              <w:rPr>
                <w:rFonts w:hint="eastAsia"/>
                <w:color w:val="000000"/>
                <w:kern w:val="0"/>
                <w:sz w:val="22"/>
                <w:szCs w:val="22"/>
              </w:rPr>
              <w:t>施工</w:t>
            </w:r>
            <w:r>
              <w:rPr>
                <w:color w:val="000000"/>
                <w:kern w:val="0"/>
                <w:sz w:val="22"/>
                <w:szCs w:val="22"/>
              </w:rPr>
              <w:t>方案、技术交底</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8E8B507">
            <w:pPr>
              <w:jc w:val="center"/>
              <w:rPr>
                <w:color w:val="000000"/>
                <w:sz w:val="24"/>
              </w:rPr>
            </w:pP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7BFCEB7">
            <w:pPr>
              <w:jc w:val="center"/>
              <w:rPr>
                <w:color w:val="000000"/>
                <w:kern w:val="0"/>
                <w:sz w:val="22"/>
                <w:szCs w:val="22"/>
              </w:rPr>
            </w:pPr>
          </w:p>
          <w:p w14:paraId="6BE50FB5">
            <w:pPr>
              <w:jc w:val="center"/>
              <w:rPr>
                <w:color w:val="000000"/>
                <w:kern w:val="0"/>
                <w:sz w:val="22"/>
                <w:szCs w:val="22"/>
              </w:rPr>
            </w:pPr>
            <w:r>
              <w:rPr>
                <w:rFonts w:hint="eastAsia"/>
                <w:color w:val="000000"/>
                <w:kern w:val="0"/>
                <w:sz w:val="22"/>
                <w:szCs w:val="22"/>
              </w:rPr>
              <w:t>5</w:t>
            </w: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CAF28FC">
            <w:pPr>
              <w:rPr>
                <w:color w:val="000000"/>
                <w:sz w:val="24"/>
              </w:rPr>
            </w:pPr>
          </w:p>
        </w:tc>
      </w:tr>
      <w:tr w14:paraId="322BE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6427779">
            <w:pPr>
              <w:widowControl/>
              <w:jc w:val="center"/>
              <w:textAlignment w:val="center"/>
              <w:rPr>
                <w:color w:val="000000"/>
                <w:sz w:val="24"/>
              </w:rPr>
            </w:pPr>
            <w:r>
              <w:rPr>
                <w:color w:val="000000"/>
                <w:kern w:val="0"/>
                <w:sz w:val="24"/>
              </w:rPr>
              <w:t>2</w:t>
            </w:r>
          </w:p>
        </w:tc>
        <w:tc>
          <w:tcPr>
            <w:tcW w:w="47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951408C">
            <w:pPr>
              <w:jc w:val="center"/>
              <w:rPr>
                <w:color w:val="000000"/>
                <w:sz w:val="24"/>
              </w:rPr>
            </w:pPr>
          </w:p>
        </w:tc>
        <w:tc>
          <w:tcPr>
            <w:tcW w:w="417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49CD477">
            <w:pPr>
              <w:widowControl/>
              <w:jc w:val="left"/>
              <w:textAlignment w:val="center"/>
              <w:rPr>
                <w:color w:val="000000"/>
                <w:sz w:val="24"/>
              </w:rPr>
            </w:pPr>
            <w:r>
              <w:rPr>
                <w:color w:val="000000"/>
                <w:kern w:val="0"/>
                <w:sz w:val="22"/>
                <w:szCs w:val="22"/>
              </w:rPr>
              <w:t>图纸会审、深化设计、设计变更、工程洽商</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69E778B">
            <w:pPr>
              <w:jc w:val="center"/>
              <w:rPr>
                <w:color w:val="000000"/>
                <w:sz w:val="24"/>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C7A282C">
            <w:pPr>
              <w:jc w:val="center"/>
              <w:rPr>
                <w:color w:val="000000"/>
                <w:sz w:val="24"/>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461B76D">
            <w:pPr>
              <w:rPr>
                <w:color w:val="000000"/>
                <w:sz w:val="24"/>
              </w:rPr>
            </w:pPr>
          </w:p>
        </w:tc>
      </w:tr>
      <w:tr w14:paraId="62B47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322F55E">
            <w:pPr>
              <w:widowControl/>
              <w:jc w:val="center"/>
              <w:textAlignment w:val="center"/>
              <w:rPr>
                <w:color w:val="000000"/>
                <w:sz w:val="24"/>
              </w:rPr>
            </w:pPr>
            <w:r>
              <w:rPr>
                <w:color w:val="000000"/>
                <w:kern w:val="0"/>
                <w:sz w:val="24"/>
              </w:rPr>
              <w:t>3</w:t>
            </w:r>
          </w:p>
        </w:tc>
        <w:tc>
          <w:tcPr>
            <w:tcW w:w="477"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2ACBB5E">
            <w:pPr>
              <w:widowControl/>
              <w:jc w:val="center"/>
              <w:textAlignment w:val="center"/>
              <w:rPr>
                <w:color w:val="000000"/>
                <w:kern w:val="0"/>
                <w:sz w:val="22"/>
                <w:szCs w:val="22"/>
              </w:rPr>
            </w:pPr>
            <w:r>
              <w:rPr>
                <w:color w:val="000000"/>
                <w:kern w:val="0"/>
                <w:sz w:val="22"/>
                <w:szCs w:val="22"/>
              </w:rPr>
              <w:t>施</w:t>
            </w:r>
          </w:p>
          <w:p w14:paraId="14538AD9">
            <w:pPr>
              <w:widowControl/>
              <w:jc w:val="center"/>
              <w:textAlignment w:val="center"/>
              <w:rPr>
                <w:color w:val="000000"/>
                <w:kern w:val="0"/>
                <w:sz w:val="22"/>
                <w:szCs w:val="22"/>
              </w:rPr>
            </w:pPr>
            <w:r>
              <w:rPr>
                <w:color w:val="000000"/>
                <w:kern w:val="0"/>
                <w:sz w:val="22"/>
                <w:szCs w:val="22"/>
              </w:rPr>
              <w:t>工</w:t>
            </w:r>
          </w:p>
          <w:p w14:paraId="6123A3B7">
            <w:pPr>
              <w:widowControl/>
              <w:jc w:val="center"/>
              <w:textAlignment w:val="center"/>
              <w:rPr>
                <w:color w:val="000000"/>
                <w:kern w:val="0"/>
                <w:sz w:val="22"/>
                <w:szCs w:val="22"/>
              </w:rPr>
            </w:pPr>
            <w:r>
              <w:rPr>
                <w:color w:val="000000"/>
                <w:kern w:val="0"/>
                <w:sz w:val="22"/>
                <w:szCs w:val="22"/>
              </w:rPr>
              <w:t>物</w:t>
            </w:r>
          </w:p>
          <w:p w14:paraId="157FA1AE">
            <w:pPr>
              <w:widowControl/>
              <w:jc w:val="center"/>
              <w:textAlignment w:val="center"/>
              <w:rPr>
                <w:color w:val="000000"/>
                <w:kern w:val="0"/>
                <w:sz w:val="22"/>
                <w:szCs w:val="22"/>
              </w:rPr>
            </w:pPr>
            <w:r>
              <w:rPr>
                <w:color w:val="000000"/>
                <w:kern w:val="0"/>
                <w:sz w:val="22"/>
                <w:szCs w:val="22"/>
              </w:rPr>
              <w:t>资</w:t>
            </w:r>
          </w:p>
          <w:p w14:paraId="4AF8D0C7">
            <w:pPr>
              <w:widowControl/>
              <w:jc w:val="center"/>
              <w:textAlignment w:val="center"/>
              <w:rPr>
                <w:color w:val="000000"/>
                <w:kern w:val="0"/>
                <w:sz w:val="22"/>
                <w:szCs w:val="22"/>
              </w:rPr>
            </w:pPr>
            <w:r>
              <w:rPr>
                <w:color w:val="000000"/>
                <w:kern w:val="0"/>
                <w:sz w:val="22"/>
                <w:szCs w:val="22"/>
              </w:rPr>
              <w:t>资</w:t>
            </w:r>
          </w:p>
          <w:p w14:paraId="6085EC24">
            <w:pPr>
              <w:widowControl/>
              <w:jc w:val="center"/>
              <w:textAlignment w:val="center"/>
              <w:rPr>
                <w:color w:val="000000"/>
                <w:sz w:val="24"/>
              </w:rPr>
            </w:pPr>
            <w:r>
              <w:rPr>
                <w:color w:val="000000"/>
                <w:kern w:val="0"/>
                <w:sz w:val="22"/>
                <w:szCs w:val="22"/>
              </w:rPr>
              <w:t>料</w:t>
            </w:r>
          </w:p>
        </w:tc>
        <w:tc>
          <w:tcPr>
            <w:tcW w:w="417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536036B">
            <w:pPr>
              <w:widowControl/>
              <w:jc w:val="left"/>
              <w:textAlignment w:val="center"/>
              <w:rPr>
                <w:color w:val="000000"/>
                <w:kern w:val="0"/>
                <w:sz w:val="22"/>
                <w:szCs w:val="22"/>
              </w:rPr>
            </w:pPr>
            <w:r>
              <w:rPr>
                <w:color w:val="000000"/>
                <w:kern w:val="0"/>
                <w:sz w:val="22"/>
                <w:szCs w:val="22"/>
              </w:rPr>
              <w:t>防水材料：质量证明文件及进场检验记录、复验报告</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B9CE232">
            <w:pPr>
              <w:jc w:val="center"/>
              <w:rPr>
                <w:color w:val="000000"/>
                <w:sz w:val="24"/>
              </w:rPr>
            </w:pPr>
          </w:p>
        </w:tc>
        <w:tc>
          <w:tcPr>
            <w:tcW w:w="544"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2AADC65">
            <w:pPr>
              <w:jc w:val="center"/>
              <w:rPr>
                <w:color w:val="000000"/>
                <w:kern w:val="0"/>
                <w:sz w:val="22"/>
                <w:szCs w:val="22"/>
              </w:rPr>
            </w:pPr>
            <w:r>
              <w:rPr>
                <w:rFonts w:hint="eastAsia"/>
                <w:color w:val="000000"/>
                <w:kern w:val="0"/>
                <w:sz w:val="22"/>
                <w:szCs w:val="22"/>
              </w:rPr>
              <w:t>10</w:t>
            </w:r>
          </w:p>
        </w:tc>
        <w:tc>
          <w:tcPr>
            <w:tcW w:w="544"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572BA61">
            <w:pPr>
              <w:rPr>
                <w:color w:val="000000"/>
                <w:sz w:val="24"/>
              </w:rPr>
            </w:pPr>
          </w:p>
        </w:tc>
      </w:tr>
      <w:tr w14:paraId="3D9F4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801DA34">
            <w:pPr>
              <w:widowControl/>
              <w:jc w:val="center"/>
              <w:textAlignment w:val="center"/>
              <w:rPr>
                <w:color w:val="000000"/>
                <w:sz w:val="24"/>
              </w:rPr>
            </w:pPr>
            <w:r>
              <w:rPr>
                <w:color w:val="000000"/>
                <w:kern w:val="0"/>
                <w:sz w:val="24"/>
              </w:rPr>
              <w:t>4</w:t>
            </w:r>
          </w:p>
        </w:tc>
        <w:tc>
          <w:tcPr>
            <w:tcW w:w="47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A7DF252">
            <w:pPr>
              <w:jc w:val="center"/>
              <w:rPr>
                <w:color w:val="000000"/>
                <w:sz w:val="24"/>
              </w:rPr>
            </w:pPr>
          </w:p>
        </w:tc>
        <w:tc>
          <w:tcPr>
            <w:tcW w:w="417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11E3661">
            <w:pPr>
              <w:widowControl/>
              <w:jc w:val="left"/>
              <w:textAlignment w:val="center"/>
              <w:rPr>
                <w:color w:val="000000"/>
                <w:kern w:val="0"/>
                <w:sz w:val="22"/>
                <w:szCs w:val="22"/>
              </w:rPr>
            </w:pPr>
            <w:r>
              <w:rPr>
                <w:color w:val="000000"/>
                <w:kern w:val="0"/>
                <w:sz w:val="22"/>
                <w:szCs w:val="22"/>
              </w:rPr>
              <w:t>室内装修材料（人造木板、花岗岩、瓷质砖、壁纸壁布、地毯、涂料、胶粘剂等）：质量证明文件及进场检验记录、复验报告</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A6BCC2F">
            <w:pPr>
              <w:jc w:val="center"/>
              <w:rPr>
                <w:color w:val="000000"/>
                <w:sz w:val="24"/>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A75265E">
            <w:pPr>
              <w:jc w:val="center"/>
              <w:rPr>
                <w:color w:val="000000"/>
                <w:kern w:val="0"/>
                <w:sz w:val="22"/>
                <w:szCs w:val="22"/>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D91732B">
            <w:pPr>
              <w:rPr>
                <w:color w:val="000000"/>
                <w:sz w:val="24"/>
              </w:rPr>
            </w:pPr>
          </w:p>
        </w:tc>
      </w:tr>
      <w:tr w14:paraId="43AFC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A454810">
            <w:pPr>
              <w:widowControl/>
              <w:jc w:val="center"/>
              <w:textAlignment w:val="center"/>
              <w:rPr>
                <w:color w:val="000000"/>
                <w:sz w:val="24"/>
              </w:rPr>
            </w:pPr>
            <w:r>
              <w:rPr>
                <w:color w:val="000000"/>
                <w:kern w:val="0"/>
                <w:sz w:val="24"/>
              </w:rPr>
              <w:t>5</w:t>
            </w:r>
          </w:p>
        </w:tc>
        <w:tc>
          <w:tcPr>
            <w:tcW w:w="47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5C63C94">
            <w:pPr>
              <w:jc w:val="center"/>
              <w:rPr>
                <w:color w:val="000000"/>
                <w:sz w:val="24"/>
              </w:rPr>
            </w:pPr>
          </w:p>
        </w:tc>
        <w:tc>
          <w:tcPr>
            <w:tcW w:w="417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30F2BAC">
            <w:pPr>
              <w:widowControl/>
              <w:jc w:val="left"/>
              <w:textAlignment w:val="center"/>
              <w:rPr>
                <w:color w:val="000000"/>
                <w:kern w:val="0"/>
                <w:sz w:val="22"/>
                <w:szCs w:val="22"/>
              </w:rPr>
            </w:pPr>
            <w:r>
              <w:rPr>
                <w:color w:val="000000"/>
                <w:kern w:val="0"/>
                <w:sz w:val="22"/>
                <w:szCs w:val="22"/>
              </w:rPr>
              <w:t>幕墙、外窗、外墙的面板（玻璃、金属、石材、饰面砖等）、密封胶、结构胶、节能材料：进场检验记录及质量证明文件、复验报告</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DF91464">
            <w:pPr>
              <w:jc w:val="center"/>
              <w:rPr>
                <w:color w:val="000000"/>
                <w:sz w:val="24"/>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D6FB909">
            <w:pPr>
              <w:jc w:val="center"/>
              <w:rPr>
                <w:color w:val="000000"/>
                <w:kern w:val="0"/>
                <w:sz w:val="22"/>
                <w:szCs w:val="22"/>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CD1902B">
            <w:pPr>
              <w:rPr>
                <w:color w:val="000000"/>
                <w:sz w:val="24"/>
              </w:rPr>
            </w:pPr>
          </w:p>
        </w:tc>
      </w:tr>
      <w:tr w14:paraId="58A2B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BDBFFAF">
            <w:pPr>
              <w:widowControl/>
              <w:jc w:val="center"/>
              <w:textAlignment w:val="center"/>
              <w:rPr>
                <w:color w:val="000000"/>
                <w:sz w:val="24"/>
              </w:rPr>
            </w:pPr>
            <w:r>
              <w:rPr>
                <w:color w:val="000000"/>
                <w:kern w:val="0"/>
                <w:sz w:val="24"/>
              </w:rPr>
              <w:t>6</w:t>
            </w:r>
          </w:p>
        </w:tc>
        <w:tc>
          <w:tcPr>
            <w:tcW w:w="47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9139BE5">
            <w:pPr>
              <w:widowControl/>
              <w:jc w:val="center"/>
              <w:textAlignment w:val="center"/>
              <w:rPr>
                <w:color w:val="000000"/>
                <w:kern w:val="0"/>
                <w:sz w:val="22"/>
                <w:szCs w:val="22"/>
              </w:rPr>
            </w:pPr>
            <w:r>
              <w:rPr>
                <w:color w:val="000000"/>
                <w:kern w:val="0"/>
                <w:sz w:val="22"/>
                <w:szCs w:val="22"/>
              </w:rPr>
              <w:t>施</w:t>
            </w:r>
          </w:p>
          <w:p w14:paraId="3581E5C1">
            <w:pPr>
              <w:widowControl/>
              <w:jc w:val="center"/>
              <w:textAlignment w:val="center"/>
              <w:rPr>
                <w:color w:val="000000"/>
                <w:kern w:val="0"/>
                <w:sz w:val="22"/>
                <w:szCs w:val="22"/>
              </w:rPr>
            </w:pPr>
            <w:r>
              <w:rPr>
                <w:color w:val="000000"/>
                <w:kern w:val="0"/>
                <w:sz w:val="22"/>
                <w:szCs w:val="22"/>
              </w:rPr>
              <w:t>工</w:t>
            </w:r>
          </w:p>
          <w:p w14:paraId="415E831F">
            <w:pPr>
              <w:widowControl/>
              <w:jc w:val="center"/>
              <w:textAlignment w:val="center"/>
              <w:rPr>
                <w:color w:val="000000"/>
                <w:kern w:val="0"/>
                <w:sz w:val="22"/>
                <w:szCs w:val="22"/>
              </w:rPr>
            </w:pPr>
            <w:r>
              <w:rPr>
                <w:color w:val="000000"/>
                <w:kern w:val="0"/>
                <w:sz w:val="22"/>
                <w:szCs w:val="22"/>
              </w:rPr>
              <w:t>记</w:t>
            </w:r>
          </w:p>
          <w:p w14:paraId="124BC9D9">
            <w:pPr>
              <w:widowControl/>
              <w:jc w:val="center"/>
              <w:textAlignment w:val="center"/>
              <w:rPr>
                <w:color w:val="000000"/>
                <w:sz w:val="24"/>
              </w:rPr>
            </w:pPr>
            <w:r>
              <w:rPr>
                <w:color w:val="000000"/>
                <w:kern w:val="0"/>
                <w:sz w:val="22"/>
                <w:szCs w:val="22"/>
              </w:rPr>
              <w:t>录</w:t>
            </w:r>
          </w:p>
        </w:tc>
        <w:tc>
          <w:tcPr>
            <w:tcW w:w="417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573E78D">
            <w:pPr>
              <w:widowControl/>
              <w:jc w:val="left"/>
              <w:textAlignment w:val="center"/>
              <w:rPr>
                <w:color w:val="000000"/>
                <w:kern w:val="0"/>
                <w:sz w:val="22"/>
                <w:szCs w:val="22"/>
              </w:rPr>
            </w:pPr>
            <w:r>
              <w:rPr>
                <w:color w:val="000000"/>
                <w:kern w:val="0"/>
                <w:sz w:val="22"/>
                <w:szCs w:val="22"/>
              </w:rPr>
              <w:t>屋面保温、防水做法及其隐蔽验收记录</w:t>
            </w:r>
            <w:r>
              <w:rPr>
                <w:rFonts w:hint="eastAsia"/>
                <w:color w:val="000000"/>
                <w:kern w:val="0"/>
                <w:sz w:val="22"/>
                <w:szCs w:val="22"/>
              </w:rPr>
              <w:t>，</w:t>
            </w:r>
          </w:p>
          <w:p w14:paraId="5012D0AD">
            <w:pPr>
              <w:widowControl/>
              <w:jc w:val="left"/>
              <w:textAlignment w:val="center"/>
              <w:rPr>
                <w:color w:val="000000"/>
                <w:kern w:val="0"/>
                <w:sz w:val="22"/>
                <w:szCs w:val="22"/>
              </w:rPr>
            </w:pPr>
            <w:r>
              <w:rPr>
                <w:color w:val="000000"/>
                <w:kern w:val="0"/>
                <w:sz w:val="22"/>
                <w:szCs w:val="22"/>
              </w:rPr>
              <w:t>幕墙、外墙节能做法及其隐蔽验收记录</w:t>
            </w:r>
            <w:r>
              <w:rPr>
                <w:rFonts w:hint="eastAsia"/>
                <w:color w:val="000000"/>
                <w:kern w:val="0"/>
                <w:sz w:val="22"/>
                <w:szCs w:val="22"/>
              </w:rPr>
              <w:t>，</w:t>
            </w:r>
          </w:p>
          <w:p w14:paraId="3948075D">
            <w:pPr>
              <w:widowControl/>
              <w:jc w:val="left"/>
              <w:textAlignment w:val="center"/>
              <w:rPr>
                <w:color w:val="000000"/>
                <w:sz w:val="24"/>
              </w:rPr>
            </w:pPr>
            <w:r>
              <w:rPr>
                <w:color w:val="000000"/>
                <w:kern w:val="0"/>
                <w:sz w:val="22"/>
                <w:szCs w:val="22"/>
              </w:rPr>
              <w:t>屋面、厕浴间防水工程试水检查，外窗淋水，幕墙淋水，幕墙注胶，通风（烟）道检查</w:t>
            </w:r>
            <w:r>
              <w:rPr>
                <w:rFonts w:hint="eastAsia"/>
                <w:color w:val="000000"/>
                <w:kern w:val="0"/>
                <w:sz w:val="22"/>
                <w:szCs w:val="22"/>
              </w:rPr>
              <w:t>，</w:t>
            </w:r>
            <w:r>
              <w:rPr>
                <w:rFonts w:hint="eastAsia"/>
                <w:color w:val="000000"/>
                <w:szCs w:val="21"/>
              </w:rPr>
              <w:t>地下工程渗漏水检测记录。</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AE72750">
            <w:pPr>
              <w:jc w:val="center"/>
              <w:rPr>
                <w:color w:val="000000"/>
                <w:sz w:val="24"/>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5457632">
            <w:pPr>
              <w:jc w:val="center"/>
              <w:rPr>
                <w:rFonts w:eastAsia="仿宋_GB2312"/>
                <w:color w:val="000000"/>
                <w:sz w:val="24"/>
              </w:rPr>
            </w:pPr>
            <w:r>
              <w:rPr>
                <w:rFonts w:hint="eastAsia"/>
                <w:color w:val="000000"/>
                <w:kern w:val="0"/>
                <w:sz w:val="22"/>
                <w:szCs w:val="22"/>
              </w:rPr>
              <w:t>5</w:t>
            </w:r>
          </w:p>
        </w:tc>
        <w:tc>
          <w:tcPr>
            <w:tcW w:w="544"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B73B783">
            <w:pPr>
              <w:rPr>
                <w:color w:val="000000"/>
                <w:sz w:val="24"/>
              </w:rPr>
            </w:pPr>
          </w:p>
        </w:tc>
      </w:tr>
      <w:tr w14:paraId="41C78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13"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4B1F392">
            <w:pPr>
              <w:widowControl/>
              <w:jc w:val="center"/>
              <w:textAlignment w:val="center"/>
              <w:rPr>
                <w:color w:val="000000"/>
                <w:sz w:val="24"/>
              </w:rPr>
            </w:pPr>
            <w:r>
              <w:rPr>
                <w:color w:val="000000"/>
                <w:kern w:val="0"/>
                <w:sz w:val="24"/>
              </w:rPr>
              <w:t>7</w:t>
            </w:r>
          </w:p>
        </w:tc>
        <w:tc>
          <w:tcPr>
            <w:tcW w:w="47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BF33E76">
            <w:pPr>
              <w:widowControl/>
              <w:jc w:val="center"/>
              <w:textAlignment w:val="center"/>
              <w:rPr>
                <w:color w:val="000000"/>
                <w:kern w:val="0"/>
                <w:sz w:val="22"/>
                <w:szCs w:val="22"/>
              </w:rPr>
            </w:pPr>
            <w:r>
              <w:rPr>
                <w:color w:val="000000"/>
                <w:kern w:val="0"/>
                <w:sz w:val="22"/>
                <w:szCs w:val="22"/>
              </w:rPr>
              <w:t>施</w:t>
            </w:r>
          </w:p>
          <w:p w14:paraId="6CF5895D">
            <w:pPr>
              <w:widowControl/>
              <w:jc w:val="center"/>
              <w:textAlignment w:val="center"/>
              <w:rPr>
                <w:color w:val="000000"/>
                <w:kern w:val="0"/>
                <w:sz w:val="22"/>
                <w:szCs w:val="22"/>
              </w:rPr>
            </w:pPr>
            <w:r>
              <w:rPr>
                <w:color w:val="000000"/>
                <w:kern w:val="0"/>
                <w:sz w:val="22"/>
                <w:szCs w:val="22"/>
              </w:rPr>
              <w:t>工</w:t>
            </w:r>
          </w:p>
          <w:p w14:paraId="7CBCF263">
            <w:pPr>
              <w:widowControl/>
              <w:jc w:val="center"/>
              <w:textAlignment w:val="center"/>
              <w:rPr>
                <w:color w:val="000000"/>
                <w:kern w:val="0"/>
                <w:sz w:val="22"/>
                <w:szCs w:val="22"/>
              </w:rPr>
            </w:pPr>
            <w:r>
              <w:rPr>
                <w:color w:val="000000"/>
                <w:kern w:val="0"/>
                <w:sz w:val="22"/>
                <w:szCs w:val="22"/>
              </w:rPr>
              <w:t>测</w:t>
            </w:r>
          </w:p>
          <w:p w14:paraId="22CF4A28">
            <w:pPr>
              <w:widowControl/>
              <w:jc w:val="center"/>
              <w:textAlignment w:val="center"/>
              <w:rPr>
                <w:color w:val="000000"/>
                <w:sz w:val="24"/>
              </w:rPr>
            </w:pPr>
            <w:r>
              <w:rPr>
                <w:color w:val="000000"/>
                <w:kern w:val="0"/>
                <w:sz w:val="22"/>
                <w:szCs w:val="22"/>
              </w:rPr>
              <w:t>量</w:t>
            </w:r>
          </w:p>
        </w:tc>
        <w:tc>
          <w:tcPr>
            <w:tcW w:w="417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0F896FC">
            <w:pPr>
              <w:widowControl/>
              <w:jc w:val="left"/>
              <w:textAlignment w:val="center"/>
              <w:rPr>
                <w:color w:val="000000"/>
                <w:sz w:val="24"/>
              </w:rPr>
            </w:pPr>
            <w:r>
              <w:rPr>
                <w:color w:val="000000"/>
                <w:kern w:val="0"/>
                <w:sz w:val="22"/>
                <w:szCs w:val="22"/>
              </w:rPr>
              <w:t>建筑物沉降观测，建筑物垂直度、标高测量</w:t>
            </w:r>
            <w:r>
              <w:rPr>
                <w:rFonts w:hint="eastAsia"/>
                <w:color w:val="000000"/>
                <w:kern w:val="0"/>
                <w:sz w:val="22"/>
                <w:szCs w:val="22"/>
              </w:rPr>
              <w:t>记录，</w:t>
            </w:r>
            <w:r>
              <w:rPr>
                <w:color w:val="000000"/>
                <w:kern w:val="0"/>
                <w:sz w:val="22"/>
                <w:szCs w:val="22"/>
              </w:rPr>
              <w:t>钢网架、网壳结构挠度值测量记录</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3BA683E">
            <w:pPr>
              <w:jc w:val="center"/>
              <w:rPr>
                <w:rFonts w:eastAsia="仿宋_GB2312"/>
                <w:color w:val="000000"/>
                <w:sz w:val="24"/>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79DDA7A">
            <w:pPr>
              <w:jc w:val="center"/>
              <w:rPr>
                <w:rFonts w:eastAsia="仿宋_GB2312"/>
                <w:color w:val="000000"/>
                <w:sz w:val="24"/>
              </w:rPr>
            </w:pPr>
            <w:r>
              <w:rPr>
                <w:rFonts w:hint="eastAsia" w:eastAsia="仿宋_GB2312"/>
                <w:color w:val="000000"/>
                <w:sz w:val="24"/>
              </w:rPr>
              <w:t>5</w:t>
            </w: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342AE4">
            <w:pPr>
              <w:rPr>
                <w:color w:val="000000"/>
                <w:sz w:val="24"/>
              </w:rPr>
            </w:pPr>
          </w:p>
        </w:tc>
      </w:tr>
      <w:tr w14:paraId="63993E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572C418">
            <w:pPr>
              <w:widowControl/>
              <w:jc w:val="center"/>
              <w:textAlignment w:val="center"/>
              <w:rPr>
                <w:color w:val="000000"/>
                <w:sz w:val="24"/>
              </w:rPr>
            </w:pPr>
            <w:r>
              <w:rPr>
                <w:color w:val="000000"/>
                <w:kern w:val="0"/>
                <w:sz w:val="24"/>
              </w:rPr>
              <w:t>8</w:t>
            </w:r>
          </w:p>
        </w:tc>
        <w:tc>
          <w:tcPr>
            <w:tcW w:w="477"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F012B4A">
            <w:pPr>
              <w:widowControl/>
              <w:jc w:val="center"/>
              <w:textAlignment w:val="center"/>
              <w:rPr>
                <w:color w:val="000000"/>
                <w:kern w:val="0"/>
                <w:sz w:val="22"/>
                <w:szCs w:val="22"/>
              </w:rPr>
            </w:pPr>
            <w:r>
              <w:rPr>
                <w:color w:val="000000"/>
                <w:kern w:val="0"/>
                <w:sz w:val="22"/>
                <w:szCs w:val="22"/>
              </w:rPr>
              <w:t>施</w:t>
            </w:r>
          </w:p>
          <w:p w14:paraId="6DEA7BF2">
            <w:pPr>
              <w:widowControl/>
              <w:jc w:val="center"/>
              <w:textAlignment w:val="center"/>
              <w:rPr>
                <w:color w:val="000000"/>
                <w:kern w:val="0"/>
                <w:sz w:val="22"/>
                <w:szCs w:val="22"/>
              </w:rPr>
            </w:pPr>
            <w:r>
              <w:rPr>
                <w:color w:val="000000"/>
                <w:kern w:val="0"/>
                <w:sz w:val="22"/>
                <w:szCs w:val="22"/>
              </w:rPr>
              <w:t>工</w:t>
            </w:r>
          </w:p>
          <w:p w14:paraId="77D6F7C9">
            <w:pPr>
              <w:widowControl/>
              <w:jc w:val="center"/>
              <w:textAlignment w:val="center"/>
              <w:rPr>
                <w:color w:val="000000"/>
                <w:kern w:val="0"/>
                <w:sz w:val="22"/>
                <w:szCs w:val="22"/>
              </w:rPr>
            </w:pPr>
            <w:r>
              <w:rPr>
                <w:color w:val="000000"/>
                <w:kern w:val="0"/>
                <w:sz w:val="22"/>
                <w:szCs w:val="22"/>
              </w:rPr>
              <w:t>试</w:t>
            </w:r>
          </w:p>
          <w:p w14:paraId="5585A34C">
            <w:pPr>
              <w:widowControl/>
              <w:jc w:val="center"/>
              <w:textAlignment w:val="center"/>
              <w:rPr>
                <w:color w:val="000000"/>
                <w:kern w:val="0"/>
                <w:sz w:val="22"/>
                <w:szCs w:val="22"/>
              </w:rPr>
            </w:pPr>
            <w:r>
              <w:rPr>
                <w:color w:val="000000"/>
                <w:kern w:val="0"/>
                <w:sz w:val="22"/>
                <w:szCs w:val="22"/>
              </w:rPr>
              <w:t>验</w:t>
            </w:r>
          </w:p>
          <w:p w14:paraId="6D7BEB2B">
            <w:pPr>
              <w:widowControl/>
              <w:jc w:val="center"/>
              <w:textAlignment w:val="center"/>
              <w:rPr>
                <w:color w:val="000000"/>
                <w:kern w:val="0"/>
                <w:sz w:val="22"/>
                <w:szCs w:val="22"/>
              </w:rPr>
            </w:pPr>
            <w:r>
              <w:rPr>
                <w:color w:val="000000"/>
                <w:kern w:val="0"/>
                <w:sz w:val="22"/>
                <w:szCs w:val="22"/>
              </w:rPr>
              <w:t>与</w:t>
            </w:r>
          </w:p>
          <w:p w14:paraId="22E24274">
            <w:pPr>
              <w:widowControl/>
              <w:jc w:val="center"/>
              <w:textAlignment w:val="center"/>
              <w:rPr>
                <w:color w:val="000000"/>
                <w:kern w:val="0"/>
                <w:sz w:val="22"/>
                <w:szCs w:val="22"/>
              </w:rPr>
            </w:pPr>
            <w:r>
              <w:rPr>
                <w:color w:val="000000"/>
                <w:kern w:val="0"/>
                <w:sz w:val="22"/>
                <w:szCs w:val="22"/>
              </w:rPr>
              <w:t>检</w:t>
            </w:r>
          </w:p>
          <w:p w14:paraId="2DD28475">
            <w:pPr>
              <w:widowControl/>
              <w:jc w:val="center"/>
              <w:textAlignment w:val="center"/>
              <w:rPr>
                <w:color w:val="000000"/>
                <w:sz w:val="24"/>
              </w:rPr>
            </w:pPr>
            <w:r>
              <w:rPr>
                <w:color w:val="000000"/>
                <w:kern w:val="0"/>
                <w:sz w:val="22"/>
                <w:szCs w:val="22"/>
              </w:rPr>
              <w:t>测</w:t>
            </w:r>
          </w:p>
        </w:tc>
        <w:tc>
          <w:tcPr>
            <w:tcW w:w="417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6C879BF">
            <w:pPr>
              <w:widowControl/>
              <w:jc w:val="left"/>
              <w:textAlignment w:val="center"/>
              <w:rPr>
                <w:color w:val="000000"/>
                <w:sz w:val="24"/>
              </w:rPr>
            </w:pPr>
            <w:r>
              <w:rPr>
                <w:color w:val="000000"/>
                <w:kern w:val="0"/>
                <w:sz w:val="22"/>
                <w:szCs w:val="22"/>
              </w:rPr>
              <w:t>外墙面砖粘结强度拉拔，后置埋件锚固承载力试验</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F472FAB">
            <w:pPr>
              <w:jc w:val="center"/>
              <w:rPr>
                <w:color w:val="000000"/>
                <w:sz w:val="24"/>
              </w:rPr>
            </w:pP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A21C93D">
            <w:pPr>
              <w:jc w:val="center"/>
              <w:rPr>
                <w:color w:val="000000"/>
                <w:sz w:val="24"/>
              </w:rPr>
            </w:pPr>
            <w:r>
              <w:rPr>
                <w:rFonts w:hint="eastAsia"/>
                <w:color w:val="000000"/>
                <w:sz w:val="24"/>
              </w:rPr>
              <w:t>10</w:t>
            </w: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93BBD7F">
            <w:pPr>
              <w:rPr>
                <w:color w:val="000000"/>
                <w:sz w:val="24"/>
              </w:rPr>
            </w:pPr>
          </w:p>
        </w:tc>
      </w:tr>
      <w:tr w14:paraId="4E4E5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33"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F7DD2B4">
            <w:pPr>
              <w:widowControl/>
              <w:jc w:val="center"/>
              <w:textAlignment w:val="center"/>
              <w:rPr>
                <w:color w:val="000000"/>
                <w:sz w:val="24"/>
              </w:rPr>
            </w:pPr>
            <w:r>
              <w:rPr>
                <w:color w:val="000000"/>
                <w:kern w:val="0"/>
                <w:sz w:val="24"/>
              </w:rPr>
              <w:t>9</w:t>
            </w:r>
          </w:p>
        </w:tc>
        <w:tc>
          <w:tcPr>
            <w:tcW w:w="47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124B5A7">
            <w:pPr>
              <w:jc w:val="center"/>
              <w:rPr>
                <w:color w:val="000000"/>
                <w:sz w:val="24"/>
              </w:rPr>
            </w:pPr>
          </w:p>
        </w:tc>
        <w:tc>
          <w:tcPr>
            <w:tcW w:w="417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31AA3F6">
            <w:pPr>
              <w:widowControl/>
              <w:jc w:val="left"/>
              <w:textAlignment w:val="center"/>
              <w:rPr>
                <w:color w:val="000000"/>
                <w:kern w:val="0"/>
                <w:sz w:val="22"/>
                <w:szCs w:val="22"/>
              </w:rPr>
            </w:pPr>
            <w:r>
              <w:rPr>
                <w:color w:val="000000"/>
                <w:kern w:val="0"/>
                <w:sz w:val="22"/>
                <w:szCs w:val="22"/>
              </w:rPr>
              <w:t>幕墙：气密性能、水密性能、抗风压性能、层间变形性能及设计有要求的其他性能（保温、隔声、耐冲击性等）</w:t>
            </w:r>
          </w:p>
          <w:p w14:paraId="266DADE5">
            <w:pPr>
              <w:widowControl/>
              <w:jc w:val="left"/>
              <w:textAlignment w:val="center"/>
              <w:rPr>
                <w:color w:val="000000"/>
                <w:kern w:val="0"/>
                <w:sz w:val="22"/>
                <w:szCs w:val="22"/>
              </w:rPr>
            </w:pPr>
            <w:r>
              <w:rPr>
                <w:color w:val="000000"/>
                <w:kern w:val="0"/>
                <w:sz w:val="22"/>
                <w:szCs w:val="22"/>
              </w:rPr>
              <w:t>金属屋面抗风揭性能试验</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7C1FCA5">
            <w:pPr>
              <w:jc w:val="center"/>
              <w:rPr>
                <w:color w:val="000000"/>
                <w:sz w:val="24"/>
              </w:rPr>
            </w:pPr>
          </w:p>
        </w:tc>
        <w:tc>
          <w:tcPr>
            <w:tcW w:w="544" w:type="dxa"/>
            <w:vMerge w:val="continue"/>
            <w:tcBorders>
              <w:top w:val="single" w:color="auto" w:sz="8" w:space="0"/>
              <w:left w:val="single" w:color="auto" w:sz="8" w:space="0"/>
              <w:bottom w:val="single" w:color="auto" w:sz="8" w:space="0"/>
              <w:right w:val="nil"/>
            </w:tcBorders>
            <w:tcMar>
              <w:top w:w="15" w:type="dxa"/>
              <w:left w:w="15" w:type="dxa"/>
              <w:right w:w="15" w:type="dxa"/>
            </w:tcMar>
            <w:vAlign w:val="center"/>
          </w:tcPr>
          <w:p w14:paraId="782AD4B2">
            <w:pPr>
              <w:jc w:val="center"/>
              <w:rPr>
                <w:color w:val="000000"/>
                <w:sz w:val="24"/>
              </w:rPr>
            </w:pPr>
          </w:p>
        </w:tc>
        <w:tc>
          <w:tcPr>
            <w:tcW w:w="544" w:type="dxa"/>
            <w:vMerge w:val="continue"/>
            <w:tcBorders>
              <w:top w:val="single" w:color="auto" w:sz="8" w:space="0"/>
              <w:left w:val="nil"/>
              <w:bottom w:val="single" w:color="auto" w:sz="8" w:space="0"/>
              <w:right w:val="single" w:color="auto" w:sz="8" w:space="0"/>
            </w:tcBorders>
            <w:tcMar>
              <w:top w:w="15" w:type="dxa"/>
              <w:left w:w="15" w:type="dxa"/>
              <w:right w:w="15" w:type="dxa"/>
            </w:tcMar>
            <w:vAlign w:val="center"/>
          </w:tcPr>
          <w:p w14:paraId="5145C6BA">
            <w:pPr>
              <w:rPr>
                <w:color w:val="000000"/>
                <w:sz w:val="24"/>
              </w:rPr>
            </w:pPr>
          </w:p>
        </w:tc>
      </w:tr>
      <w:tr w14:paraId="42E78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11433E3">
            <w:pPr>
              <w:widowControl/>
              <w:jc w:val="center"/>
              <w:textAlignment w:val="center"/>
              <w:rPr>
                <w:color w:val="000000"/>
                <w:sz w:val="24"/>
              </w:rPr>
            </w:pPr>
            <w:r>
              <w:rPr>
                <w:color w:val="000000"/>
                <w:kern w:val="0"/>
                <w:sz w:val="24"/>
              </w:rPr>
              <w:t>10</w:t>
            </w:r>
          </w:p>
        </w:tc>
        <w:tc>
          <w:tcPr>
            <w:tcW w:w="47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CF0E13B">
            <w:pPr>
              <w:jc w:val="center"/>
              <w:rPr>
                <w:color w:val="000000"/>
                <w:sz w:val="24"/>
              </w:rPr>
            </w:pPr>
          </w:p>
        </w:tc>
        <w:tc>
          <w:tcPr>
            <w:tcW w:w="417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0457F0">
            <w:pPr>
              <w:widowControl/>
              <w:jc w:val="left"/>
              <w:textAlignment w:val="center"/>
              <w:rPr>
                <w:color w:val="000000"/>
                <w:sz w:val="24"/>
              </w:rPr>
            </w:pPr>
            <w:r>
              <w:rPr>
                <w:color w:val="000000"/>
                <w:kern w:val="0"/>
                <w:sz w:val="22"/>
                <w:szCs w:val="22"/>
              </w:rPr>
              <w:t>节能：保温板粘接强度拉拔、锚栓锚固力拉拔，外墙节能构造实体检验，外窗气密性、水密性实体检验，机电系统节能性能</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65E3657">
            <w:pPr>
              <w:rPr>
                <w:color w:val="000000"/>
                <w:sz w:val="24"/>
              </w:rPr>
            </w:pPr>
          </w:p>
        </w:tc>
        <w:tc>
          <w:tcPr>
            <w:tcW w:w="544" w:type="dxa"/>
            <w:vMerge w:val="continue"/>
            <w:tcBorders>
              <w:top w:val="single" w:color="auto" w:sz="8" w:space="0"/>
              <w:left w:val="single" w:color="auto" w:sz="8" w:space="0"/>
              <w:bottom w:val="single" w:color="auto" w:sz="8" w:space="0"/>
              <w:right w:val="nil"/>
            </w:tcBorders>
            <w:noWrap/>
            <w:tcMar>
              <w:top w:w="15" w:type="dxa"/>
              <w:left w:w="15" w:type="dxa"/>
              <w:right w:w="15" w:type="dxa"/>
            </w:tcMar>
            <w:vAlign w:val="center"/>
          </w:tcPr>
          <w:p w14:paraId="70545DE6">
            <w:pPr>
              <w:rPr>
                <w:color w:val="000000"/>
                <w:sz w:val="24"/>
              </w:rPr>
            </w:pPr>
          </w:p>
        </w:tc>
        <w:tc>
          <w:tcPr>
            <w:tcW w:w="544" w:type="dxa"/>
            <w:vMerge w:val="continue"/>
            <w:tcBorders>
              <w:top w:val="single" w:color="auto" w:sz="8" w:space="0"/>
              <w:left w:val="nil"/>
              <w:bottom w:val="single" w:color="auto" w:sz="8" w:space="0"/>
              <w:right w:val="single" w:color="auto" w:sz="8" w:space="0"/>
            </w:tcBorders>
            <w:noWrap/>
            <w:tcMar>
              <w:top w:w="15" w:type="dxa"/>
              <w:left w:w="15" w:type="dxa"/>
              <w:right w:w="15" w:type="dxa"/>
            </w:tcMar>
            <w:vAlign w:val="center"/>
          </w:tcPr>
          <w:p w14:paraId="572CA2E4">
            <w:pPr>
              <w:rPr>
                <w:color w:val="000000"/>
                <w:sz w:val="24"/>
              </w:rPr>
            </w:pPr>
          </w:p>
        </w:tc>
      </w:tr>
      <w:tr w14:paraId="41FAB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7B56567">
            <w:pPr>
              <w:widowControl/>
              <w:jc w:val="center"/>
              <w:textAlignment w:val="center"/>
              <w:rPr>
                <w:color w:val="000000"/>
                <w:sz w:val="24"/>
              </w:rPr>
            </w:pPr>
            <w:r>
              <w:rPr>
                <w:color w:val="000000"/>
                <w:kern w:val="0"/>
                <w:sz w:val="24"/>
              </w:rPr>
              <w:t>11</w:t>
            </w:r>
          </w:p>
        </w:tc>
        <w:tc>
          <w:tcPr>
            <w:tcW w:w="477"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743F88F">
            <w:pPr>
              <w:jc w:val="center"/>
              <w:rPr>
                <w:color w:val="000000"/>
                <w:sz w:val="24"/>
              </w:rPr>
            </w:pPr>
          </w:p>
        </w:tc>
        <w:tc>
          <w:tcPr>
            <w:tcW w:w="417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A0AC589">
            <w:pPr>
              <w:widowControl/>
              <w:jc w:val="left"/>
              <w:textAlignment w:val="center"/>
              <w:rPr>
                <w:color w:val="000000"/>
                <w:sz w:val="24"/>
              </w:rPr>
            </w:pPr>
            <w:r>
              <w:rPr>
                <w:color w:val="000000"/>
                <w:kern w:val="0"/>
                <w:sz w:val="22"/>
                <w:szCs w:val="22"/>
              </w:rPr>
              <w:t>回填土试验</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9B69C6B">
            <w:pPr>
              <w:jc w:val="center"/>
              <w:rPr>
                <w:color w:val="000000"/>
                <w:sz w:val="24"/>
              </w:rPr>
            </w:pPr>
          </w:p>
        </w:tc>
        <w:tc>
          <w:tcPr>
            <w:tcW w:w="544" w:type="dxa"/>
            <w:vMerge w:val="continue"/>
            <w:tcBorders>
              <w:top w:val="single" w:color="auto" w:sz="8" w:space="0"/>
              <w:left w:val="single" w:color="auto" w:sz="8" w:space="0"/>
              <w:bottom w:val="single" w:color="auto" w:sz="8" w:space="0"/>
              <w:right w:val="nil"/>
            </w:tcBorders>
            <w:tcMar>
              <w:top w:w="15" w:type="dxa"/>
              <w:left w:w="15" w:type="dxa"/>
              <w:right w:w="15" w:type="dxa"/>
            </w:tcMar>
            <w:vAlign w:val="center"/>
          </w:tcPr>
          <w:p w14:paraId="4A0B95C1">
            <w:pPr>
              <w:jc w:val="center"/>
              <w:rPr>
                <w:color w:val="000000"/>
                <w:sz w:val="24"/>
              </w:rPr>
            </w:pPr>
          </w:p>
        </w:tc>
        <w:tc>
          <w:tcPr>
            <w:tcW w:w="544" w:type="dxa"/>
            <w:vMerge w:val="continue"/>
            <w:tcBorders>
              <w:top w:val="single" w:color="auto" w:sz="8" w:space="0"/>
              <w:left w:val="nil"/>
              <w:bottom w:val="single" w:color="auto" w:sz="8" w:space="0"/>
              <w:right w:val="single" w:color="auto" w:sz="8" w:space="0"/>
            </w:tcBorders>
            <w:tcMar>
              <w:top w:w="15" w:type="dxa"/>
              <w:left w:w="15" w:type="dxa"/>
              <w:right w:w="15" w:type="dxa"/>
            </w:tcMar>
            <w:vAlign w:val="center"/>
          </w:tcPr>
          <w:p w14:paraId="3F242F98">
            <w:pPr>
              <w:rPr>
                <w:color w:val="000000"/>
                <w:sz w:val="24"/>
              </w:rPr>
            </w:pPr>
          </w:p>
        </w:tc>
      </w:tr>
    </w:tbl>
    <w:p w14:paraId="3045A221">
      <w:pPr>
        <w:widowControl/>
        <w:jc w:val="center"/>
        <w:textAlignment w:val="center"/>
        <w:outlineLvl w:val="2"/>
        <w:rPr>
          <w:b/>
          <w:bCs/>
          <w:color w:val="000000"/>
          <w:kern w:val="0"/>
          <w:sz w:val="32"/>
          <w:szCs w:val="32"/>
        </w:rPr>
      </w:pPr>
      <w:r>
        <w:rPr>
          <w:rFonts w:eastAsia="黑体"/>
          <w:color w:val="000000"/>
          <w:kern w:val="0"/>
          <w:sz w:val="24"/>
        </w:rPr>
        <w:br w:type="page"/>
      </w:r>
      <w:bookmarkStart w:id="762" w:name="_Toc28935"/>
      <w:bookmarkStart w:id="763" w:name="_Toc2619"/>
      <w:bookmarkStart w:id="764" w:name="_Toc2840"/>
      <w:bookmarkStart w:id="765" w:name="_Toc2366"/>
      <w:bookmarkStart w:id="766" w:name="_Toc23220"/>
      <w:bookmarkStart w:id="767" w:name="_Toc31812"/>
      <w:bookmarkStart w:id="768" w:name="_Toc19730"/>
      <w:bookmarkStart w:id="769" w:name="_Toc20072"/>
      <w:bookmarkStart w:id="770" w:name="_Toc23004"/>
      <w:bookmarkStart w:id="771" w:name="_Toc5678"/>
      <w:bookmarkStart w:id="772" w:name="_Toc8590"/>
      <w:bookmarkStart w:id="773" w:name="_Toc13833"/>
      <w:bookmarkStart w:id="774" w:name="_Toc27676"/>
      <w:bookmarkStart w:id="775" w:name="_Toc27613"/>
      <w:r>
        <w:rPr>
          <w:rFonts w:eastAsia="黑体"/>
          <w:color w:val="000000"/>
          <w:kern w:val="0"/>
          <w:sz w:val="24"/>
        </w:rPr>
        <w:t>续表D.0.1</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4389CE35">
      <w:pPr>
        <w:widowControl/>
        <w:spacing w:before="156" w:beforeLines="50" w:after="156" w:afterLines="50"/>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W w:w="94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1"/>
        <w:gridCol w:w="630"/>
        <w:gridCol w:w="4020"/>
        <w:gridCol w:w="3135"/>
        <w:gridCol w:w="544"/>
        <w:gridCol w:w="544"/>
      </w:tblGrid>
      <w:tr w14:paraId="60239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495F4BC">
            <w:pPr>
              <w:widowControl/>
              <w:jc w:val="center"/>
              <w:textAlignment w:val="center"/>
              <w:rPr>
                <w:color w:val="000000"/>
                <w:sz w:val="24"/>
              </w:rPr>
            </w:pPr>
            <w:r>
              <w:rPr>
                <w:color w:val="000000"/>
                <w:kern w:val="0"/>
                <w:sz w:val="24"/>
              </w:rPr>
              <w:t>序号</w:t>
            </w:r>
          </w:p>
        </w:tc>
        <w:tc>
          <w:tcPr>
            <w:tcW w:w="4650" w:type="dxa"/>
            <w:gridSpan w:val="2"/>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FD808FB">
            <w:pPr>
              <w:widowControl/>
              <w:jc w:val="center"/>
              <w:textAlignment w:val="center"/>
              <w:rPr>
                <w:color w:val="000000"/>
                <w:sz w:val="24"/>
              </w:rPr>
            </w:pPr>
            <w:r>
              <w:rPr>
                <w:color w:val="000000"/>
                <w:kern w:val="0"/>
                <w:sz w:val="24"/>
              </w:rPr>
              <w:t>检查项目</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4CD6F53">
            <w:pPr>
              <w:widowControl/>
              <w:jc w:val="center"/>
              <w:textAlignment w:val="center"/>
              <w:rPr>
                <w:color w:val="000000"/>
                <w:sz w:val="24"/>
              </w:rPr>
            </w:pPr>
            <w:r>
              <w:rPr>
                <w:color w:val="000000"/>
                <w:kern w:val="0"/>
                <w:sz w:val="24"/>
              </w:rPr>
              <w:t>检查情况</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D30CC17">
            <w:pPr>
              <w:widowControl/>
              <w:jc w:val="center"/>
              <w:textAlignment w:val="center"/>
              <w:rPr>
                <w:color w:val="000000"/>
                <w:kern w:val="0"/>
                <w:sz w:val="24"/>
              </w:rPr>
            </w:pPr>
            <w:r>
              <w:rPr>
                <w:color w:val="000000"/>
                <w:kern w:val="0"/>
                <w:szCs w:val="21"/>
              </w:rPr>
              <w:t>应得分</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9743E15">
            <w:pPr>
              <w:widowControl/>
              <w:jc w:val="center"/>
              <w:textAlignment w:val="center"/>
              <w:rPr>
                <w:color w:val="000000"/>
                <w:sz w:val="24"/>
              </w:rPr>
            </w:pPr>
            <w:r>
              <w:rPr>
                <w:color w:val="000000"/>
                <w:kern w:val="0"/>
                <w:szCs w:val="21"/>
              </w:rPr>
              <w:t>实得分</w:t>
            </w:r>
          </w:p>
        </w:tc>
      </w:tr>
      <w:tr w14:paraId="16C9E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2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B758D7F">
            <w:pPr>
              <w:widowControl/>
              <w:jc w:val="center"/>
              <w:textAlignment w:val="center"/>
              <w:rPr>
                <w:color w:val="000000"/>
                <w:szCs w:val="21"/>
              </w:rPr>
            </w:pPr>
            <w:r>
              <w:rPr>
                <w:color w:val="000000"/>
                <w:kern w:val="0"/>
                <w:szCs w:val="21"/>
              </w:rPr>
              <w:t>13</w:t>
            </w:r>
          </w:p>
        </w:tc>
        <w:tc>
          <w:tcPr>
            <w:tcW w:w="63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0000D89">
            <w:pPr>
              <w:widowControl/>
              <w:jc w:val="center"/>
              <w:textAlignment w:val="center"/>
              <w:rPr>
                <w:color w:val="000000"/>
                <w:kern w:val="0"/>
                <w:szCs w:val="21"/>
              </w:rPr>
            </w:pPr>
            <w:r>
              <w:rPr>
                <w:color w:val="000000"/>
                <w:kern w:val="0"/>
                <w:szCs w:val="21"/>
              </w:rPr>
              <w:t>过</w:t>
            </w:r>
          </w:p>
          <w:p w14:paraId="5CD6F3CC">
            <w:pPr>
              <w:widowControl/>
              <w:jc w:val="center"/>
              <w:textAlignment w:val="center"/>
              <w:rPr>
                <w:color w:val="000000"/>
                <w:kern w:val="0"/>
                <w:szCs w:val="21"/>
              </w:rPr>
            </w:pPr>
            <w:r>
              <w:rPr>
                <w:color w:val="000000"/>
                <w:kern w:val="0"/>
                <w:szCs w:val="21"/>
              </w:rPr>
              <w:t>程</w:t>
            </w:r>
          </w:p>
          <w:p w14:paraId="17EF81FA">
            <w:pPr>
              <w:widowControl/>
              <w:jc w:val="center"/>
              <w:textAlignment w:val="center"/>
              <w:rPr>
                <w:color w:val="000000"/>
                <w:kern w:val="0"/>
                <w:szCs w:val="21"/>
              </w:rPr>
            </w:pPr>
            <w:r>
              <w:rPr>
                <w:color w:val="000000"/>
                <w:kern w:val="0"/>
                <w:szCs w:val="21"/>
              </w:rPr>
              <w:t>验</w:t>
            </w:r>
          </w:p>
          <w:p w14:paraId="7F54D161">
            <w:pPr>
              <w:widowControl/>
              <w:jc w:val="center"/>
              <w:textAlignment w:val="center"/>
              <w:rPr>
                <w:color w:val="000000"/>
                <w:kern w:val="0"/>
                <w:szCs w:val="21"/>
              </w:rPr>
            </w:pPr>
            <w:r>
              <w:rPr>
                <w:color w:val="000000"/>
                <w:kern w:val="0"/>
                <w:szCs w:val="21"/>
              </w:rPr>
              <w:t>收</w:t>
            </w: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FDC4406">
            <w:pPr>
              <w:widowControl/>
              <w:jc w:val="left"/>
              <w:textAlignment w:val="center"/>
              <w:rPr>
                <w:color w:val="000000"/>
                <w:szCs w:val="21"/>
              </w:rPr>
            </w:pPr>
            <w:r>
              <w:rPr>
                <w:color w:val="000000"/>
                <w:kern w:val="0"/>
                <w:szCs w:val="21"/>
              </w:rPr>
              <w:t>检验批、分项、分部工程验收记录</w:t>
            </w:r>
            <w:r>
              <w:rPr>
                <w:rFonts w:hint="eastAsia"/>
                <w:color w:val="000000"/>
                <w:kern w:val="0"/>
                <w:szCs w:val="21"/>
              </w:rPr>
              <w:t>。</w:t>
            </w:r>
            <w:r>
              <w:rPr>
                <w:color w:val="000000"/>
                <w:kern w:val="0"/>
                <w:szCs w:val="21"/>
              </w:rPr>
              <w:br w:type="textWrapping"/>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825D105">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C1A0568">
            <w:pPr>
              <w:jc w:val="center"/>
              <w:rPr>
                <w:color w:val="000000"/>
                <w:szCs w:val="21"/>
              </w:rPr>
            </w:pPr>
            <w:r>
              <w:rPr>
                <w:rFonts w:hint="eastAsia"/>
                <w:color w:val="000000"/>
                <w:szCs w:val="21"/>
              </w:rPr>
              <w:t>5</w:t>
            </w: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292E712">
            <w:pPr>
              <w:rPr>
                <w:color w:val="000000"/>
                <w:szCs w:val="21"/>
              </w:rPr>
            </w:pPr>
          </w:p>
        </w:tc>
      </w:tr>
      <w:tr w14:paraId="26A37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6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D26677C">
            <w:pPr>
              <w:widowControl/>
              <w:jc w:val="center"/>
              <w:textAlignment w:val="center"/>
              <w:rPr>
                <w:color w:val="000000"/>
                <w:szCs w:val="21"/>
              </w:rPr>
            </w:pPr>
            <w:r>
              <w:rPr>
                <w:color w:val="000000"/>
                <w:kern w:val="0"/>
                <w:szCs w:val="21"/>
              </w:rPr>
              <w:t>14</w:t>
            </w:r>
          </w:p>
        </w:tc>
        <w:tc>
          <w:tcPr>
            <w:tcW w:w="63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70791B3">
            <w:pPr>
              <w:widowControl/>
              <w:jc w:val="center"/>
              <w:textAlignment w:val="center"/>
              <w:rPr>
                <w:color w:val="000000"/>
                <w:kern w:val="0"/>
                <w:szCs w:val="21"/>
              </w:rPr>
            </w:pPr>
            <w:r>
              <w:rPr>
                <w:color w:val="000000"/>
                <w:kern w:val="0"/>
                <w:szCs w:val="21"/>
              </w:rPr>
              <w:t>竣</w:t>
            </w:r>
          </w:p>
          <w:p w14:paraId="4B889B13">
            <w:pPr>
              <w:widowControl/>
              <w:jc w:val="center"/>
              <w:textAlignment w:val="center"/>
              <w:rPr>
                <w:color w:val="000000"/>
                <w:kern w:val="0"/>
                <w:szCs w:val="21"/>
              </w:rPr>
            </w:pPr>
            <w:r>
              <w:rPr>
                <w:color w:val="000000"/>
                <w:kern w:val="0"/>
                <w:szCs w:val="21"/>
              </w:rPr>
              <w:t>工</w:t>
            </w:r>
          </w:p>
          <w:p w14:paraId="5867F2B1">
            <w:pPr>
              <w:widowControl/>
              <w:jc w:val="center"/>
              <w:textAlignment w:val="center"/>
              <w:rPr>
                <w:color w:val="000000"/>
                <w:kern w:val="0"/>
                <w:szCs w:val="21"/>
              </w:rPr>
            </w:pPr>
            <w:r>
              <w:rPr>
                <w:color w:val="000000"/>
                <w:kern w:val="0"/>
                <w:szCs w:val="21"/>
              </w:rPr>
              <w:t>验</w:t>
            </w:r>
          </w:p>
          <w:p w14:paraId="5293EECE">
            <w:pPr>
              <w:widowControl/>
              <w:jc w:val="center"/>
              <w:textAlignment w:val="center"/>
              <w:rPr>
                <w:color w:val="000000"/>
                <w:kern w:val="0"/>
                <w:szCs w:val="21"/>
              </w:rPr>
            </w:pPr>
            <w:r>
              <w:rPr>
                <w:color w:val="000000"/>
                <w:kern w:val="0"/>
                <w:szCs w:val="21"/>
              </w:rPr>
              <w:t>收</w:t>
            </w: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4FAE898">
            <w:pPr>
              <w:widowControl/>
              <w:jc w:val="left"/>
              <w:textAlignment w:val="center"/>
              <w:rPr>
                <w:color w:val="000000"/>
                <w:szCs w:val="21"/>
              </w:rPr>
            </w:pPr>
            <w:r>
              <w:rPr>
                <w:rFonts w:hint="eastAsia" w:ascii="宋体" w:hAnsi="宋体" w:cs="宋体"/>
                <w:bCs/>
                <w:color w:val="000000"/>
                <w:szCs w:val="21"/>
              </w:rPr>
              <w:t>单位工程质量竣工验收记录</w:t>
            </w:r>
            <w:r>
              <w:rPr>
                <w:color w:val="000000"/>
                <w:kern w:val="0"/>
                <w:szCs w:val="21"/>
              </w:rPr>
              <w:t>、综合验收结论，质量控制资料核查、安全和使用功能核（抽）查、观感验收、室内环境检测，竣工质量报告、竣工图</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E90B5B">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ABE2B96">
            <w:pPr>
              <w:jc w:val="center"/>
              <w:rPr>
                <w:color w:val="000000"/>
                <w:szCs w:val="21"/>
              </w:rPr>
            </w:pPr>
            <w:r>
              <w:rPr>
                <w:rFonts w:hint="eastAsia"/>
                <w:color w:val="000000"/>
                <w:szCs w:val="21"/>
              </w:rPr>
              <w:t>5</w:t>
            </w: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0CB43E5">
            <w:pPr>
              <w:rPr>
                <w:color w:val="000000"/>
                <w:szCs w:val="21"/>
              </w:rPr>
            </w:pPr>
          </w:p>
        </w:tc>
      </w:tr>
      <w:tr w14:paraId="49FBE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9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2745934">
            <w:pPr>
              <w:widowControl/>
              <w:jc w:val="center"/>
              <w:textAlignment w:val="center"/>
              <w:rPr>
                <w:color w:val="000000"/>
                <w:szCs w:val="21"/>
              </w:rPr>
            </w:pPr>
            <w:r>
              <w:rPr>
                <w:color w:val="000000"/>
                <w:kern w:val="0"/>
                <w:szCs w:val="21"/>
              </w:rPr>
              <w:t>15</w:t>
            </w:r>
          </w:p>
        </w:tc>
        <w:tc>
          <w:tcPr>
            <w:tcW w:w="63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376CD60">
            <w:pPr>
              <w:widowControl/>
              <w:jc w:val="center"/>
              <w:textAlignment w:val="center"/>
              <w:rPr>
                <w:color w:val="000000"/>
                <w:kern w:val="0"/>
                <w:szCs w:val="21"/>
              </w:rPr>
            </w:pPr>
            <w:r>
              <w:rPr>
                <w:color w:val="000000"/>
                <w:kern w:val="0"/>
                <w:szCs w:val="21"/>
              </w:rPr>
              <w:t>其</w:t>
            </w:r>
          </w:p>
          <w:p w14:paraId="4CAD89C4">
            <w:pPr>
              <w:widowControl/>
              <w:jc w:val="center"/>
              <w:textAlignment w:val="center"/>
              <w:rPr>
                <w:color w:val="000000"/>
                <w:kern w:val="0"/>
                <w:szCs w:val="21"/>
              </w:rPr>
            </w:pPr>
            <w:r>
              <w:rPr>
                <w:color w:val="000000"/>
                <w:kern w:val="0"/>
                <w:szCs w:val="21"/>
              </w:rPr>
              <w:t>它</w:t>
            </w: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0127DE1">
            <w:pPr>
              <w:widowControl/>
              <w:jc w:val="left"/>
              <w:textAlignment w:val="center"/>
              <w:rPr>
                <w:color w:val="000000"/>
                <w:szCs w:val="21"/>
              </w:rPr>
            </w:pPr>
            <w:r>
              <w:rPr>
                <w:color w:val="000000"/>
                <w:kern w:val="0"/>
                <w:szCs w:val="21"/>
              </w:rPr>
              <w:t>资料三级目录及组卷、施工日志、监理通知、监理不合格项处理记录等</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E402B51">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87D5A2F">
            <w:pPr>
              <w:jc w:val="center"/>
              <w:rPr>
                <w:color w:val="000000"/>
                <w:szCs w:val="21"/>
              </w:rPr>
            </w:pPr>
            <w:r>
              <w:rPr>
                <w:rFonts w:hint="eastAsia"/>
                <w:color w:val="000000"/>
                <w:szCs w:val="21"/>
              </w:rPr>
              <w:t>5</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DC23F7A">
            <w:pPr>
              <w:rPr>
                <w:color w:val="000000"/>
                <w:szCs w:val="21"/>
              </w:rPr>
            </w:pPr>
          </w:p>
        </w:tc>
      </w:tr>
      <w:tr w14:paraId="2F05C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8316" w:type="dxa"/>
            <w:gridSpan w:val="4"/>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9D56C31">
            <w:pPr>
              <w:jc w:val="center"/>
              <w:rPr>
                <w:color w:val="000000"/>
                <w:szCs w:val="21"/>
              </w:rPr>
            </w:pPr>
            <w:r>
              <w:rPr>
                <w:color w:val="000000"/>
                <w:kern w:val="0"/>
                <w:szCs w:val="21"/>
              </w:rPr>
              <w:t>合计</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6BC8FEC">
            <w:pPr>
              <w:jc w:val="center"/>
              <w:rPr>
                <w:color w:val="000000"/>
                <w:szCs w:val="21"/>
              </w:rPr>
            </w:pPr>
            <w:r>
              <w:rPr>
                <w:color w:val="000000"/>
                <w:szCs w:val="21"/>
              </w:rPr>
              <w:t>50</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A07A748">
            <w:pPr>
              <w:rPr>
                <w:color w:val="000000"/>
                <w:szCs w:val="21"/>
              </w:rPr>
            </w:pPr>
          </w:p>
        </w:tc>
      </w:tr>
      <w:tr w14:paraId="7953C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80" w:hRule="atLeast"/>
        </w:trPr>
        <w:tc>
          <w:tcPr>
            <w:tcW w:w="8860" w:type="dxa"/>
            <w:gridSpan w:val="5"/>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5A027E3">
            <w:pPr>
              <w:widowControl/>
              <w:jc w:val="left"/>
              <w:textAlignment w:val="center"/>
              <w:rPr>
                <w:color w:val="000000"/>
                <w:kern w:val="0"/>
                <w:szCs w:val="21"/>
              </w:rPr>
            </w:pPr>
            <w:r>
              <w:rPr>
                <w:color w:val="000000"/>
                <w:kern w:val="0"/>
                <w:szCs w:val="21"/>
              </w:rPr>
              <w:t>综合评价：意见和建议（工程亮点、存在问题、改正方法、提高方向）</w:t>
            </w:r>
          </w:p>
          <w:p w14:paraId="2BBF5BB2">
            <w:pPr>
              <w:widowControl/>
              <w:jc w:val="left"/>
              <w:textAlignment w:val="center"/>
              <w:rPr>
                <w:color w:val="000000"/>
                <w:kern w:val="0"/>
                <w:szCs w:val="21"/>
              </w:rPr>
            </w:pPr>
          </w:p>
          <w:p w14:paraId="4F21A12F">
            <w:pPr>
              <w:widowControl/>
              <w:jc w:val="left"/>
              <w:textAlignment w:val="center"/>
              <w:rPr>
                <w:color w:val="000000"/>
                <w:kern w:val="0"/>
                <w:szCs w:val="21"/>
              </w:rPr>
            </w:pPr>
          </w:p>
          <w:p w14:paraId="4B054222">
            <w:pPr>
              <w:widowControl/>
              <w:jc w:val="left"/>
              <w:textAlignment w:val="center"/>
              <w:rPr>
                <w:color w:val="000000"/>
                <w:kern w:val="0"/>
                <w:szCs w:val="21"/>
              </w:rPr>
            </w:pPr>
          </w:p>
          <w:p w14:paraId="41190C67">
            <w:pPr>
              <w:widowControl/>
              <w:jc w:val="left"/>
              <w:textAlignment w:val="center"/>
              <w:rPr>
                <w:color w:val="000000"/>
                <w:kern w:val="0"/>
                <w:szCs w:val="21"/>
              </w:rPr>
            </w:pPr>
          </w:p>
          <w:p w14:paraId="79BEC55F">
            <w:pPr>
              <w:widowControl/>
              <w:jc w:val="left"/>
              <w:textAlignment w:val="center"/>
              <w:rPr>
                <w:color w:val="000000"/>
                <w:kern w:val="0"/>
                <w:szCs w:val="21"/>
              </w:rPr>
            </w:pPr>
          </w:p>
          <w:p w14:paraId="46563E19">
            <w:pPr>
              <w:widowControl/>
              <w:jc w:val="left"/>
              <w:textAlignment w:val="center"/>
              <w:rPr>
                <w:color w:val="000000"/>
                <w:kern w:val="0"/>
                <w:szCs w:val="21"/>
              </w:rPr>
            </w:pPr>
          </w:p>
          <w:p w14:paraId="079A8003">
            <w:pPr>
              <w:widowControl/>
              <w:jc w:val="left"/>
              <w:textAlignment w:val="center"/>
              <w:rPr>
                <w:color w:val="000000"/>
                <w:kern w:val="0"/>
                <w:szCs w:val="21"/>
              </w:rPr>
            </w:pPr>
          </w:p>
          <w:p w14:paraId="75A3F97C">
            <w:pPr>
              <w:widowControl/>
              <w:jc w:val="left"/>
              <w:textAlignment w:val="center"/>
              <w:rPr>
                <w:color w:val="000000"/>
                <w:kern w:val="0"/>
                <w:szCs w:val="21"/>
              </w:rPr>
            </w:pPr>
          </w:p>
          <w:p w14:paraId="64DAB936">
            <w:pPr>
              <w:widowControl/>
              <w:jc w:val="left"/>
              <w:textAlignment w:val="center"/>
              <w:rPr>
                <w:color w:val="000000"/>
                <w:kern w:val="0"/>
                <w:szCs w:val="21"/>
              </w:rPr>
            </w:pPr>
          </w:p>
          <w:p w14:paraId="213C2CCA">
            <w:pPr>
              <w:widowControl/>
              <w:jc w:val="left"/>
              <w:textAlignment w:val="center"/>
              <w:rPr>
                <w:color w:val="000000"/>
                <w:kern w:val="0"/>
                <w:szCs w:val="21"/>
              </w:rPr>
            </w:pPr>
          </w:p>
          <w:p w14:paraId="06CC1ED9">
            <w:pPr>
              <w:widowControl/>
              <w:jc w:val="left"/>
              <w:textAlignment w:val="center"/>
              <w:rPr>
                <w:color w:val="000000"/>
                <w:kern w:val="0"/>
                <w:szCs w:val="21"/>
              </w:rPr>
            </w:pPr>
          </w:p>
          <w:p w14:paraId="45BC9E56">
            <w:pPr>
              <w:widowControl/>
              <w:jc w:val="left"/>
              <w:textAlignment w:val="center"/>
              <w:rPr>
                <w:color w:val="000000"/>
                <w:kern w:val="0"/>
                <w:szCs w:val="21"/>
              </w:rPr>
            </w:pPr>
            <w:r>
              <w:rPr>
                <w:color w:val="000000"/>
                <w:kern w:val="0"/>
                <w:szCs w:val="21"/>
              </w:rPr>
              <w:t xml:space="preserve">                                        检查人：</w:t>
            </w:r>
          </w:p>
          <w:p w14:paraId="1E89F4C7">
            <w:pPr>
              <w:widowControl/>
              <w:jc w:val="left"/>
              <w:textAlignment w:val="center"/>
              <w:rPr>
                <w:color w:val="000000"/>
                <w:kern w:val="0"/>
                <w:szCs w:val="21"/>
              </w:rPr>
            </w:pPr>
            <w:r>
              <w:rPr>
                <w:color w:val="000000"/>
                <w:kern w:val="0"/>
                <w:szCs w:val="21"/>
              </w:rPr>
              <w:t xml:space="preserve">                                                           年  月   日</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9FD558A">
            <w:pPr>
              <w:widowControl/>
              <w:jc w:val="left"/>
              <w:textAlignment w:val="center"/>
              <w:rPr>
                <w:color w:val="000000"/>
                <w:kern w:val="0"/>
                <w:szCs w:val="21"/>
              </w:rPr>
            </w:pPr>
          </w:p>
        </w:tc>
      </w:tr>
    </w:tbl>
    <w:p w14:paraId="1E4CFE6C">
      <w:pPr>
        <w:widowControl/>
        <w:suppressAutoHyphens w:val="0"/>
        <w:jc w:val="left"/>
        <w:rPr>
          <w:color w:val="000000"/>
        </w:rPr>
      </w:pPr>
      <w:r>
        <w:rPr>
          <w:color w:val="000000"/>
        </w:rPr>
        <w:t>注：本表评价打分采取扣分制，存在一项不符合扣1分</w:t>
      </w:r>
      <w:r>
        <w:rPr>
          <w:color w:val="000000"/>
        </w:rPr>
        <w:br w:type="page"/>
      </w:r>
      <w:bookmarkStart w:id="776" w:name="_Toc17819"/>
      <w:bookmarkStart w:id="777" w:name="_Toc21137"/>
      <w:bookmarkStart w:id="778" w:name="_Toc27931"/>
      <w:bookmarkStart w:id="779" w:name="_Toc10373"/>
      <w:bookmarkStart w:id="780" w:name="_Toc24901"/>
      <w:bookmarkStart w:id="781" w:name="_Toc16465"/>
      <w:bookmarkStart w:id="782" w:name="_Toc15981"/>
    </w:p>
    <w:p w14:paraId="1189A23B">
      <w:pPr>
        <w:jc w:val="center"/>
        <w:outlineLvl w:val="2"/>
        <w:rPr>
          <w:rFonts w:eastAsia="黑体"/>
          <w:color w:val="000000"/>
          <w:sz w:val="24"/>
          <w:szCs w:val="24"/>
          <w:lang w:val="zh-CN"/>
        </w:rPr>
      </w:pPr>
      <w:bookmarkStart w:id="783" w:name="_Toc24355"/>
      <w:bookmarkStart w:id="784" w:name="_Toc28876"/>
      <w:bookmarkStart w:id="785" w:name="_Toc15391"/>
      <w:bookmarkStart w:id="786" w:name="_Toc3491"/>
      <w:bookmarkStart w:id="787" w:name="_Toc16111"/>
      <w:bookmarkStart w:id="788" w:name="_Toc9646"/>
      <w:bookmarkStart w:id="789" w:name="_Toc14447"/>
      <w:bookmarkStart w:id="790" w:name="_Toc31809"/>
      <w:r>
        <w:rPr>
          <w:rFonts w:eastAsia="黑体"/>
          <w:color w:val="000000"/>
          <w:sz w:val="24"/>
          <w:szCs w:val="24"/>
          <w:lang w:val="zh-CN"/>
        </w:rPr>
        <w:t>表</w:t>
      </w:r>
      <w:r>
        <w:rPr>
          <w:rFonts w:eastAsia="黑体"/>
          <w:color w:val="000000"/>
          <w:sz w:val="24"/>
          <w:szCs w:val="24"/>
        </w:rPr>
        <w:t>D</w:t>
      </w:r>
      <w:r>
        <w:rPr>
          <w:rFonts w:eastAsia="黑体"/>
          <w:color w:val="000000"/>
          <w:sz w:val="24"/>
          <w:szCs w:val="24"/>
          <w:lang w:val="zh-CN"/>
        </w:rPr>
        <w:t xml:space="preserve">.0.2   </w:t>
      </w:r>
      <w:r>
        <w:rPr>
          <w:rFonts w:hint="eastAsia" w:eastAsia="黑体"/>
          <w:color w:val="000000"/>
          <w:sz w:val="24"/>
          <w:szCs w:val="24"/>
          <w:lang w:val="zh-CN"/>
        </w:rPr>
        <w:t>建筑</w:t>
      </w:r>
      <w:r>
        <w:rPr>
          <w:rFonts w:eastAsia="黑体"/>
          <w:color w:val="000000"/>
          <w:sz w:val="24"/>
          <w:szCs w:val="24"/>
          <w:lang w:val="zh-CN"/>
        </w:rPr>
        <w:t>电气设备安装工程资料</w:t>
      </w:r>
      <w:r>
        <w:rPr>
          <w:rFonts w:hint="eastAsia" w:ascii="黑体" w:hAnsi="黑体" w:eastAsia="黑体" w:cs="宋体"/>
          <w:color w:val="000000"/>
          <w:kern w:val="0"/>
          <w:sz w:val="24"/>
          <w:szCs w:val="24"/>
        </w:rPr>
        <w:t>现场检查</w:t>
      </w:r>
      <w:bookmarkEnd w:id="776"/>
      <w:bookmarkEnd w:id="777"/>
      <w:bookmarkEnd w:id="778"/>
      <w:bookmarkEnd w:id="779"/>
      <w:bookmarkEnd w:id="780"/>
      <w:bookmarkEnd w:id="781"/>
      <w:bookmarkEnd w:id="782"/>
      <w:bookmarkEnd w:id="783"/>
      <w:bookmarkEnd w:id="784"/>
      <w:r>
        <w:rPr>
          <w:rFonts w:hint="eastAsia" w:eastAsia="黑体"/>
          <w:color w:val="000000"/>
          <w:sz w:val="24"/>
          <w:szCs w:val="24"/>
          <w:lang w:val="zh-CN"/>
        </w:rPr>
        <w:t>表</w:t>
      </w:r>
      <w:bookmarkEnd w:id="785"/>
      <w:bookmarkEnd w:id="786"/>
      <w:bookmarkEnd w:id="787"/>
      <w:bookmarkEnd w:id="788"/>
      <w:bookmarkEnd w:id="789"/>
      <w:bookmarkEnd w:id="790"/>
    </w:p>
    <w:p w14:paraId="1E27C2A2">
      <w:pPr>
        <w:widowControl/>
        <w:spacing w:before="156" w:beforeLines="50" w:after="156" w:afterLines="50"/>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W w:w="94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1"/>
        <w:gridCol w:w="630"/>
        <w:gridCol w:w="4020"/>
        <w:gridCol w:w="3135"/>
        <w:gridCol w:w="544"/>
        <w:gridCol w:w="544"/>
      </w:tblGrid>
      <w:tr w14:paraId="5BE01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CCD11D5">
            <w:pPr>
              <w:widowControl/>
              <w:jc w:val="center"/>
              <w:textAlignment w:val="center"/>
              <w:rPr>
                <w:color w:val="000000"/>
                <w:sz w:val="24"/>
              </w:rPr>
            </w:pPr>
            <w:r>
              <w:rPr>
                <w:color w:val="000000"/>
                <w:kern w:val="0"/>
                <w:sz w:val="24"/>
              </w:rPr>
              <w:t>序号</w:t>
            </w:r>
          </w:p>
        </w:tc>
        <w:tc>
          <w:tcPr>
            <w:tcW w:w="4650" w:type="dxa"/>
            <w:gridSpan w:val="2"/>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42E743">
            <w:pPr>
              <w:widowControl/>
              <w:jc w:val="center"/>
              <w:textAlignment w:val="center"/>
              <w:rPr>
                <w:color w:val="000000"/>
                <w:sz w:val="24"/>
              </w:rPr>
            </w:pPr>
            <w:r>
              <w:rPr>
                <w:color w:val="000000"/>
                <w:kern w:val="0"/>
                <w:sz w:val="24"/>
              </w:rPr>
              <w:t>检查项目</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8164410">
            <w:pPr>
              <w:widowControl/>
              <w:jc w:val="center"/>
              <w:textAlignment w:val="center"/>
              <w:rPr>
                <w:color w:val="000000"/>
                <w:sz w:val="24"/>
              </w:rPr>
            </w:pPr>
            <w:r>
              <w:rPr>
                <w:color w:val="000000"/>
                <w:kern w:val="0"/>
                <w:sz w:val="24"/>
              </w:rPr>
              <w:t>检查情况</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2E2B4E8">
            <w:pPr>
              <w:widowControl/>
              <w:jc w:val="center"/>
              <w:textAlignment w:val="center"/>
              <w:rPr>
                <w:color w:val="000000"/>
                <w:kern w:val="0"/>
                <w:sz w:val="24"/>
              </w:rPr>
            </w:pPr>
            <w:r>
              <w:rPr>
                <w:color w:val="000000"/>
                <w:kern w:val="0"/>
                <w:szCs w:val="21"/>
              </w:rPr>
              <w:t>应得分</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E2D53DB">
            <w:pPr>
              <w:widowControl/>
              <w:jc w:val="center"/>
              <w:textAlignment w:val="center"/>
              <w:rPr>
                <w:color w:val="000000"/>
                <w:sz w:val="24"/>
              </w:rPr>
            </w:pPr>
            <w:r>
              <w:rPr>
                <w:color w:val="000000"/>
                <w:kern w:val="0"/>
                <w:szCs w:val="21"/>
              </w:rPr>
              <w:t>实得分</w:t>
            </w:r>
          </w:p>
        </w:tc>
      </w:tr>
      <w:tr w14:paraId="2B95C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90A0DB8">
            <w:pPr>
              <w:widowControl/>
              <w:jc w:val="center"/>
              <w:textAlignment w:val="center"/>
              <w:rPr>
                <w:color w:val="000000"/>
                <w:szCs w:val="21"/>
              </w:rPr>
            </w:pPr>
            <w:r>
              <w:rPr>
                <w:color w:val="000000"/>
                <w:kern w:val="0"/>
                <w:szCs w:val="21"/>
              </w:rPr>
              <w:t>1</w:t>
            </w:r>
          </w:p>
        </w:tc>
        <w:tc>
          <w:tcPr>
            <w:tcW w:w="630"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9D92080">
            <w:pPr>
              <w:widowControl/>
              <w:jc w:val="center"/>
              <w:textAlignment w:val="center"/>
              <w:rPr>
                <w:color w:val="000000"/>
                <w:szCs w:val="21"/>
              </w:rPr>
            </w:pPr>
            <w:r>
              <w:rPr>
                <w:color w:val="000000"/>
                <w:szCs w:val="21"/>
              </w:rPr>
              <w:t>建</w:t>
            </w:r>
          </w:p>
          <w:p w14:paraId="79C7AA9D">
            <w:pPr>
              <w:widowControl/>
              <w:jc w:val="center"/>
              <w:textAlignment w:val="center"/>
              <w:rPr>
                <w:color w:val="000000"/>
                <w:szCs w:val="21"/>
              </w:rPr>
            </w:pPr>
            <w:r>
              <w:rPr>
                <w:color w:val="000000"/>
                <w:szCs w:val="21"/>
              </w:rPr>
              <w:t>筑</w:t>
            </w:r>
          </w:p>
          <w:p w14:paraId="4DDC052A">
            <w:pPr>
              <w:widowControl/>
              <w:jc w:val="center"/>
              <w:textAlignment w:val="center"/>
              <w:rPr>
                <w:color w:val="000000"/>
                <w:szCs w:val="21"/>
              </w:rPr>
            </w:pPr>
            <w:r>
              <w:rPr>
                <w:color w:val="000000"/>
                <w:szCs w:val="21"/>
              </w:rPr>
              <w:t>电</w:t>
            </w:r>
          </w:p>
          <w:p w14:paraId="67E54B4F">
            <w:pPr>
              <w:widowControl/>
              <w:jc w:val="center"/>
              <w:textAlignment w:val="center"/>
              <w:rPr>
                <w:color w:val="000000"/>
                <w:szCs w:val="21"/>
              </w:rPr>
            </w:pPr>
            <w:r>
              <w:rPr>
                <w:color w:val="000000"/>
                <w:szCs w:val="21"/>
              </w:rPr>
              <w:t>气</w:t>
            </w: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49A364E">
            <w:pPr>
              <w:widowControl/>
              <w:jc w:val="left"/>
              <w:textAlignment w:val="center"/>
              <w:rPr>
                <w:color w:val="000000"/>
                <w:szCs w:val="21"/>
              </w:rPr>
            </w:pPr>
            <w:r>
              <w:rPr>
                <w:color w:val="000000"/>
                <w:kern w:val="0"/>
                <w:szCs w:val="21"/>
              </w:rPr>
              <w:t>主要施工方案编制及交底，测试仪器仪表校准证书</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AFCA2B2">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F4E1B42">
            <w:pPr>
              <w:jc w:val="center"/>
              <w:rPr>
                <w:color w:val="000000"/>
                <w:szCs w:val="21"/>
              </w:rPr>
            </w:pPr>
            <w:r>
              <w:rPr>
                <w:rFonts w:hint="eastAsia"/>
                <w:color w:val="000000"/>
                <w:szCs w:val="21"/>
              </w:rPr>
              <w:t>2</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44ADD92">
            <w:pPr>
              <w:rPr>
                <w:color w:val="000000"/>
                <w:szCs w:val="21"/>
              </w:rPr>
            </w:pPr>
          </w:p>
        </w:tc>
      </w:tr>
      <w:tr w14:paraId="5BD97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C0391CE">
            <w:pPr>
              <w:widowControl/>
              <w:jc w:val="center"/>
              <w:textAlignment w:val="center"/>
              <w:rPr>
                <w:color w:val="000000"/>
                <w:szCs w:val="21"/>
              </w:rPr>
            </w:pPr>
            <w:r>
              <w:rPr>
                <w:color w:val="000000"/>
                <w:kern w:val="0"/>
                <w:szCs w:val="21"/>
              </w:rPr>
              <w:t>2</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4CCABC">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5D162AA">
            <w:pPr>
              <w:widowControl/>
              <w:jc w:val="left"/>
              <w:textAlignment w:val="center"/>
              <w:rPr>
                <w:color w:val="000000"/>
                <w:szCs w:val="21"/>
              </w:rPr>
            </w:pPr>
            <w:r>
              <w:rPr>
                <w:color w:val="000000"/>
                <w:kern w:val="0"/>
                <w:szCs w:val="21"/>
              </w:rPr>
              <w:t>设备及材料合格证、性能检测报告、出厂检验报告、见证取样复试报告，进口设备的商检合格证明文件</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A43EA1C">
            <w:pPr>
              <w:jc w:val="center"/>
              <w:rPr>
                <w:color w:val="000000"/>
                <w:szCs w:val="21"/>
              </w:rPr>
            </w:pP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DB15C1D">
            <w:pPr>
              <w:jc w:val="center"/>
              <w:rPr>
                <w:color w:val="000000"/>
                <w:szCs w:val="21"/>
              </w:rPr>
            </w:pPr>
            <w:r>
              <w:rPr>
                <w:rFonts w:hint="eastAsia"/>
                <w:color w:val="000000"/>
                <w:szCs w:val="21"/>
              </w:rPr>
              <w:t>2</w:t>
            </w: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72A5862">
            <w:pPr>
              <w:rPr>
                <w:color w:val="000000"/>
                <w:szCs w:val="21"/>
              </w:rPr>
            </w:pPr>
          </w:p>
        </w:tc>
      </w:tr>
      <w:tr w14:paraId="1D676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39D07FE">
            <w:pPr>
              <w:widowControl/>
              <w:jc w:val="center"/>
              <w:textAlignment w:val="center"/>
              <w:rPr>
                <w:color w:val="000000"/>
                <w:szCs w:val="21"/>
              </w:rPr>
            </w:pPr>
            <w:r>
              <w:rPr>
                <w:color w:val="000000"/>
                <w:kern w:val="0"/>
                <w:szCs w:val="21"/>
              </w:rPr>
              <w:t>3</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623E6A3">
            <w:pPr>
              <w:widowControl/>
              <w:jc w:val="center"/>
              <w:textAlignment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5B35A04">
            <w:pPr>
              <w:widowControl/>
              <w:jc w:val="left"/>
              <w:textAlignment w:val="center"/>
              <w:rPr>
                <w:color w:val="000000"/>
                <w:szCs w:val="21"/>
              </w:rPr>
            </w:pPr>
            <w:r>
              <w:rPr>
                <w:color w:val="000000"/>
                <w:kern w:val="0"/>
                <w:szCs w:val="21"/>
              </w:rPr>
              <w:t>电线、电缆节能复试报告</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424343A">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012E3D3">
            <w:pP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F980D04">
            <w:pPr>
              <w:rPr>
                <w:color w:val="000000"/>
                <w:szCs w:val="21"/>
              </w:rPr>
            </w:pPr>
          </w:p>
        </w:tc>
      </w:tr>
      <w:tr w14:paraId="28861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3E48018">
            <w:pPr>
              <w:widowControl/>
              <w:jc w:val="center"/>
              <w:textAlignment w:val="center"/>
              <w:rPr>
                <w:color w:val="000000"/>
                <w:szCs w:val="21"/>
              </w:rPr>
            </w:pPr>
            <w:r>
              <w:rPr>
                <w:color w:val="000000"/>
                <w:kern w:val="0"/>
                <w:szCs w:val="21"/>
              </w:rPr>
              <w:t>4</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E17F39C">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33AB9EC">
            <w:pPr>
              <w:widowControl/>
              <w:jc w:val="left"/>
              <w:textAlignment w:val="center"/>
              <w:rPr>
                <w:color w:val="000000"/>
                <w:szCs w:val="21"/>
              </w:rPr>
            </w:pPr>
            <w:r>
              <w:rPr>
                <w:color w:val="000000"/>
                <w:kern w:val="0"/>
                <w:szCs w:val="21"/>
              </w:rPr>
              <w:t>防雷接地电阻测试记录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8322797">
            <w:pPr>
              <w:jc w:val="center"/>
              <w:rPr>
                <w:color w:val="000000"/>
                <w:szCs w:val="21"/>
              </w:rPr>
            </w:pPr>
          </w:p>
        </w:tc>
        <w:tc>
          <w:tcPr>
            <w:tcW w:w="544"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B8FC076">
            <w:pPr>
              <w:jc w:val="center"/>
              <w:rPr>
                <w:color w:val="000000"/>
                <w:szCs w:val="21"/>
              </w:rPr>
            </w:pPr>
            <w:r>
              <w:rPr>
                <w:rFonts w:hint="eastAsia"/>
                <w:color w:val="000000"/>
                <w:szCs w:val="21"/>
              </w:rPr>
              <w:t>8</w:t>
            </w:r>
          </w:p>
        </w:tc>
        <w:tc>
          <w:tcPr>
            <w:tcW w:w="544"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5D506A8">
            <w:pPr>
              <w:rPr>
                <w:color w:val="000000"/>
                <w:szCs w:val="21"/>
              </w:rPr>
            </w:pPr>
          </w:p>
        </w:tc>
      </w:tr>
      <w:tr w14:paraId="6E76A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D62805E">
            <w:pPr>
              <w:widowControl/>
              <w:jc w:val="center"/>
              <w:textAlignment w:val="center"/>
              <w:rPr>
                <w:color w:val="000000"/>
                <w:szCs w:val="21"/>
              </w:rPr>
            </w:pPr>
            <w:r>
              <w:rPr>
                <w:color w:val="000000"/>
                <w:kern w:val="0"/>
                <w:szCs w:val="21"/>
              </w:rPr>
              <w:t>5</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F0CC60A">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2CECA19">
            <w:pPr>
              <w:widowControl/>
              <w:jc w:val="left"/>
              <w:textAlignment w:val="center"/>
              <w:rPr>
                <w:color w:val="000000"/>
                <w:szCs w:val="21"/>
              </w:rPr>
            </w:pPr>
            <w:r>
              <w:rPr>
                <w:color w:val="000000"/>
                <w:kern w:val="0"/>
                <w:szCs w:val="21"/>
              </w:rPr>
              <w:t>绝缘电阻测试记录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686513D">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BCCE810">
            <w:pP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DEED0B9">
            <w:pPr>
              <w:rPr>
                <w:color w:val="000000"/>
                <w:szCs w:val="21"/>
              </w:rPr>
            </w:pPr>
          </w:p>
        </w:tc>
      </w:tr>
      <w:tr w14:paraId="70311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F4E1F97">
            <w:pPr>
              <w:widowControl/>
              <w:jc w:val="center"/>
              <w:textAlignment w:val="center"/>
              <w:rPr>
                <w:color w:val="000000"/>
                <w:szCs w:val="21"/>
              </w:rPr>
            </w:pPr>
            <w:r>
              <w:rPr>
                <w:color w:val="000000"/>
                <w:kern w:val="0"/>
                <w:szCs w:val="21"/>
              </w:rPr>
              <w:t>6</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9119224">
            <w:pPr>
              <w:widowControl/>
              <w:jc w:val="center"/>
              <w:textAlignment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8B4CDB6">
            <w:pPr>
              <w:widowControl/>
              <w:jc w:val="left"/>
              <w:textAlignment w:val="center"/>
              <w:rPr>
                <w:color w:val="000000"/>
                <w:szCs w:val="21"/>
              </w:rPr>
            </w:pPr>
            <w:r>
              <w:rPr>
                <w:color w:val="000000"/>
                <w:kern w:val="0"/>
                <w:szCs w:val="21"/>
              </w:rPr>
              <w:t>接闪带支架拉力测试记录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ACCDFB5">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1B0BF19">
            <w:pP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68607FB">
            <w:pPr>
              <w:rPr>
                <w:color w:val="000000"/>
                <w:szCs w:val="21"/>
              </w:rPr>
            </w:pPr>
          </w:p>
        </w:tc>
      </w:tr>
      <w:tr w14:paraId="492AB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A8101E4">
            <w:pPr>
              <w:widowControl/>
              <w:jc w:val="center"/>
              <w:textAlignment w:val="center"/>
              <w:rPr>
                <w:color w:val="000000"/>
                <w:szCs w:val="21"/>
              </w:rPr>
            </w:pPr>
            <w:r>
              <w:rPr>
                <w:color w:val="000000"/>
                <w:kern w:val="0"/>
                <w:szCs w:val="21"/>
              </w:rPr>
              <w:t>7</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F8C61C2">
            <w:pPr>
              <w:widowControl/>
              <w:jc w:val="center"/>
              <w:textAlignment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36FD854">
            <w:pPr>
              <w:widowControl/>
              <w:jc w:val="left"/>
              <w:textAlignment w:val="center"/>
              <w:rPr>
                <w:color w:val="000000"/>
                <w:szCs w:val="21"/>
              </w:rPr>
            </w:pPr>
            <w:r>
              <w:rPr>
                <w:color w:val="000000"/>
                <w:kern w:val="0"/>
                <w:szCs w:val="21"/>
              </w:rPr>
              <w:t>疏散指示灯转换时间记录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49EB3F9">
            <w:pPr>
              <w:jc w:val="center"/>
              <w:rPr>
                <w:rFonts w:eastAsia="仿宋_GB2312"/>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A50ACCB">
            <w:pP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6046899">
            <w:pPr>
              <w:rPr>
                <w:color w:val="000000"/>
                <w:szCs w:val="21"/>
              </w:rPr>
            </w:pPr>
          </w:p>
        </w:tc>
      </w:tr>
      <w:tr w14:paraId="67898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1F1502B">
            <w:pPr>
              <w:widowControl/>
              <w:jc w:val="center"/>
              <w:textAlignment w:val="center"/>
              <w:rPr>
                <w:color w:val="000000"/>
                <w:szCs w:val="21"/>
              </w:rPr>
            </w:pPr>
            <w:r>
              <w:rPr>
                <w:color w:val="000000"/>
                <w:kern w:val="0"/>
                <w:szCs w:val="21"/>
              </w:rPr>
              <w:t>8</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B458219">
            <w:pPr>
              <w:widowControl/>
              <w:jc w:val="center"/>
              <w:textAlignment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B855D98">
            <w:pPr>
              <w:widowControl/>
              <w:jc w:val="left"/>
              <w:textAlignment w:val="center"/>
              <w:rPr>
                <w:color w:val="000000"/>
                <w:szCs w:val="21"/>
              </w:rPr>
            </w:pPr>
            <w:r>
              <w:rPr>
                <w:color w:val="000000"/>
                <w:kern w:val="0"/>
                <w:szCs w:val="21"/>
              </w:rPr>
              <w:t>电气设备空载试运行记录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6D7F8CA">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3F2A6FC">
            <w:pP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301DBE7">
            <w:pPr>
              <w:rPr>
                <w:color w:val="000000"/>
                <w:szCs w:val="21"/>
              </w:rPr>
            </w:pPr>
          </w:p>
        </w:tc>
      </w:tr>
      <w:tr w14:paraId="5DC62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7170ED3">
            <w:pPr>
              <w:widowControl/>
              <w:jc w:val="center"/>
              <w:textAlignment w:val="center"/>
              <w:rPr>
                <w:color w:val="000000"/>
                <w:szCs w:val="21"/>
              </w:rPr>
            </w:pPr>
            <w:r>
              <w:rPr>
                <w:color w:val="000000"/>
                <w:kern w:val="0"/>
                <w:szCs w:val="21"/>
              </w:rPr>
              <w:t>9</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C237F47">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4559F07">
            <w:pPr>
              <w:widowControl/>
              <w:jc w:val="left"/>
              <w:textAlignment w:val="center"/>
              <w:rPr>
                <w:color w:val="000000"/>
                <w:szCs w:val="21"/>
              </w:rPr>
            </w:pPr>
            <w:r>
              <w:rPr>
                <w:color w:val="000000"/>
                <w:kern w:val="0"/>
                <w:szCs w:val="21"/>
              </w:rPr>
              <w:t>建筑物照明通电试运行记录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77693D">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7739318">
            <w:pP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DFB2C35">
            <w:pPr>
              <w:rPr>
                <w:color w:val="000000"/>
                <w:szCs w:val="21"/>
              </w:rPr>
            </w:pPr>
          </w:p>
        </w:tc>
      </w:tr>
      <w:tr w14:paraId="2C900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EF78FFC">
            <w:pPr>
              <w:widowControl/>
              <w:jc w:val="center"/>
              <w:textAlignment w:val="center"/>
              <w:rPr>
                <w:color w:val="000000"/>
                <w:szCs w:val="21"/>
              </w:rPr>
            </w:pPr>
            <w:r>
              <w:rPr>
                <w:color w:val="000000"/>
                <w:kern w:val="0"/>
                <w:szCs w:val="21"/>
              </w:rPr>
              <w:t>10</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7E9B1F7">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9E53FD2">
            <w:pPr>
              <w:widowControl/>
              <w:jc w:val="left"/>
              <w:textAlignment w:val="center"/>
              <w:rPr>
                <w:color w:val="000000"/>
                <w:szCs w:val="21"/>
              </w:rPr>
            </w:pPr>
            <w:r>
              <w:rPr>
                <w:color w:val="000000"/>
                <w:kern w:val="0"/>
                <w:szCs w:val="21"/>
              </w:rPr>
              <w:t>大型灯具承载试验记录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566BB10">
            <w:pP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D4A2467">
            <w:pP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323B1BB">
            <w:pPr>
              <w:rPr>
                <w:color w:val="000000"/>
                <w:szCs w:val="21"/>
              </w:rPr>
            </w:pPr>
          </w:p>
        </w:tc>
      </w:tr>
      <w:tr w14:paraId="5217A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9DA180D">
            <w:pPr>
              <w:widowControl/>
              <w:jc w:val="center"/>
              <w:textAlignment w:val="center"/>
              <w:rPr>
                <w:color w:val="000000"/>
                <w:szCs w:val="21"/>
              </w:rPr>
            </w:pPr>
            <w:r>
              <w:rPr>
                <w:color w:val="000000"/>
                <w:kern w:val="0"/>
                <w:szCs w:val="21"/>
              </w:rPr>
              <w:t>11</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5B3FE4A">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B118D8A">
            <w:pPr>
              <w:widowControl/>
              <w:jc w:val="left"/>
              <w:textAlignment w:val="center"/>
              <w:rPr>
                <w:color w:val="000000"/>
                <w:szCs w:val="21"/>
              </w:rPr>
            </w:pPr>
            <w:r>
              <w:rPr>
                <w:color w:val="000000"/>
                <w:kern w:val="0"/>
                <w:szCs w:val="21"/>
              </w:rPr>
              <w:t>剩余电流动作</w:t>
            </w:r>
            <w:r>
              <w:rPr>
                <w:rFonts w:hint="eastAsia"/>
                <w:color w:val="000000"/>
                <w:kern w:val="0"/>
                <w:szCs w:val="21"/>
              </w:rPr>
              <w:t>保护</w:t>
            </w:r>
            <w:r>
              <w:rPr>
                <w:color w:val="000000"/>
                <w:kern w:val="0"/>
                <w:szCs w:val="21"/>
              </w:rPr>
              <w:t>器（RCD）模拟试验记录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E83FE3E">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5EF7CE0">
            <w:pP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765086D">
            <w:pPr>
              <w:rPr>
                <w:color w:val="000000"/>
                <w:szCs w:val="21"/>
              </w:rPr>
            </w:pPr>
          </w:p>
        </w:tc>
      </w:tr>
      <w:tr w14:paraId="5DDCD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98D4206">
            <w:pPr>
              <w:widowControl/>
              <w:jc w:val="center"/>
              <w:textAlignment w:val="center"/>
              <w:rPr>
                <w:color w:val="000000"/>
                <w:szCs w:val="21"/>
              </w:rPr>
            </w:pPr>
            <w:r>
              <w:rPr>
                <w:color w:val="000000"/>
                <w:kern w:val="0"/>
                <w:szCs w:val="21"/>
              </w:rPr>
              <w:t>12</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2DECB1E">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47DBD3E">
            <w:pPr>
              <w:widowControl/>
              <w:jc w:val="left"/>
              <w:textAlignment w:val="center"/>
              <w:rPr>
                <w:color w:val="000000"/>
                <w:szCs w:val="21"/>
              </w:rPr>
            </w:pPr>
            <w:r>
              <w:rPr>
                <w:color w:val="000000"/>
                <w:kern w:val="0"/>
                <w:szCs w:val="21"/>
              </w:rPr>
              <w:t>泵类设备单机试运转记录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6BBDCC5">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D19C18D">
            <w:pP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A1F5BB3">
            <w:pPr>
              <w:rPr>
                <w:color w:val="000000"/>
                <w:szCs w:val="21"/>
              </w:rPr>
            </w:pPr>
          </w:p>
        </w:tc>
      </w:tr>
      <w:tr w14:paraId="301F8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3018F64">
            <w:pPr>
              <w:widowControl/>
              <w:jc w:val="center"/>
              <w:textAlignment w:val="center"/>
              <w:rPr>
                <w:color w:val="000000"/>
                <w:kern w:val="0"/>
                <w:szCs w:val="21"/>
              </w:rPr>
            </w:pPr>
            <w:r>
              <w:rPr>
                <w:color w:val="000000"/>
                <w:kern w:val="0"/>
                <w:szCs w:val="21"/>
              </w:rPr>
              <w:t>13</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3400EC">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77B0A87">
            <w:pPr>
              <w:widowControl/>
              <w:jc w:val="left"/>
              <w:textAlignment w:val="center"/>
              <w:rPr>
                <w:color w:val="000000"/>
                <w:szCs w:val="21"/>
              </w:rPr>
            </w:pPr>
            <w:r>
              <w:rPr>
                <w:color w:val="000000"/>
                <w:kern w:val="0"/>
                <w:szCs w:val="21"/>
              </w:rPr>
              <w:t>双电源互投试验记录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AC47C69">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3379E15">
            <w:pP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163B0F7">
            <w:pPr>
              <w:rPr>
                <w:color w:val="000000"/>
                <w:szCs w:val="21"/>
              </w:rPr>
            </w:pPr>
          </w:p>
        </w:tc>
      </w:tr>
      <w:tr w14:paraId="4661F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A81C305">
            <w:pPr>
              <w:widowControl/>
              <w:jc w:val="center"/>
              <w:textAlignment w:val="center"/>
              <w:rPr>
                <w:color w:val="000000"/>
                <w:kern w:val="0"/>
                <w:szCs w:val="21"/>
              </w:rPr>
            </w:pPr>
            <w:r>
              <w:rPr>
                <w:color w:val="000000"/>
                <w:kern w:val="0"/>
                <w:szCs w:val="21"/>
              </w:rPr>
              <w:t>14</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18CEB00">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9D553FE">
            <w:pPr>
              <w:widowControl/>
              <w:jc w:val="left"/>
              <w:textAlignment w:val="center"/>
              <w:rPr>
                <w:color w:val="000000"/>
                <w:szCs w:val="21"/>
              </w:rPr>
            </w:pPr>
            <w:r>
              <w:rPr>
                <w:color w:val="000000"/>
                <w:kern w:val="0"/>
                <w:szCs w:val="21"/>
              </w:rPr>
              <w:t>主要部位隐蔽验收记录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58593F5">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291193C">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1364359">
            <w:pPr>
              <w:rPr>
                <w:color w:val="000000"/>
                <w:szCs w:val="21"/>
              </w:rPr>
            </w:pPr>
          </w:p>
        </w:tc>
      </w:tr>
      <w:tr w14:paraId="67980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24CE712">
            <w:pPr>
              <w:widowControl/>
              <w:jc w:val="center"/>
              <w:textAlignment w:val="center"/>
              <w:rPr>
                <w:color w:val="000000"/>
                <w:kern w:val="0"/>
                <w:szCs w:val="21"/>
              </w:rPr>
            </w:pPr>
            <w:r>
              <w:rPr>
                <w:color w:val="000000"/>
                <w:kern w:val="0"/>
                <w:szCs w:val="21"/>
              </w:rPr>
              <w:t>15</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F47A849">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B696C3C">
            <w:pPr>
              <w:widowControl/>
              <w:jc w:val="left"/>
              <w:textAlignment w:val="center"/>
              <w:rPr>
                <w:color w:val="000000"/>
                <w:szCs w:val="21"/>
              </w:rPr>
            </w:pPr>
            <w:r>
              <w:rPr>
                <w:color w:val="000000"/>
                <w:kern w:val="0"/>
                <w:szCs w:val="21"/>
              </w:rPr>
              <w:t>检验批、分项、分部工程验收记录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3679977">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EC72FF1">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704E0BA">
            <w:pPr>
              <w:rPr>
                <w:color w:val="000000"/>
                <w:szCs w:val="21"/>
              </w:rPr>
            </w:pPr>
          </w:p>
        </w:tc>
      </w:tr>
      <w:tr w14:paraId="130A4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0B315AB">
            <w:pPr>
              <w:widowControl/>
              <w:jc w:val="center"/>
              <w:textAlignment w:val="center"/>
              <w:rPr>
                <w:color w:val="000000"/>
                <w:kern w:val="0"/>
                <w:szCs w:val="21"/>
              </w:rPr>
            </w:pPr>
            <w:r>
              <w:rPr>
                <w:color w:val="000000"/>
                <w:kern w:val="0"/>
                <w:szCs w:val="21"/>
              </w:rPr>
              <w:t>16</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0125284">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4C0EF04">
            <w:pPr>
              <w:widowControl/>
              <w:jc w:val="left"/>
              <w:textAlignment w:val="center"/>
              <w:rPr>
                <w:color w:val="000000"/>
                <w:szCs w:val="21"/>
              </w:rPr>
            </w:pPr>
            <w:r>
              <w:rPr>
                <w:color w:val="000000"/>
                <w:kern w:val="0"/>
                <w:szCs w:val="21"/>
              </w:rPr>
              <w:t>竣工图、施工日志</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689DAD1">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37A479E">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86A9C8C">
            <w:pPr>
              <w:rPr>
                <w:color w:val="000000"/>
                <w:szCs w:val="21"/>
              </w:rPr>
            </w:pPr>
          </w:p>
        </w:tc>
      </w:tr>
    </w:tbl>
    <w:p w14:paraId="00A88284">
      <w:pPr>
        <w:widowControl/>
        <w:jc w:val="center"/>
        <w:textAlignment w:val="center"/>
        <w:outlineLvl w:val="2"/>
        <w:rPr>
          <w:b/>
          <w:bCs/>
          <w:color w:val="000000"/>
          <w:kern w:val="0"/>
          <w:sz w:val="32"/>
          <w:szCs w:val="32"/>
        </w:rPr>
      </w:pPr>
      <w:r>
        <w:rPr>
          <w:rFonts w:eastAsia="黑体"/>
          <w:color w:val="000000"/>
          <w:kern w:val="0"/>
          <w:sz w:val="24"/>
        </w:rPr>
        <w:br w:type="page"/>
      </w:r>
      <w:bookmarkStart w:id="791" w:name="_Toc24617"/>
      <w:bookmarkStart w:id="792" w:name="_Toc29630"/>
      <w:bookmarkStart w:id="793" w:name="_Toc1955"/>
      <w:bookmarkStart w:id="794" w:name="_Toc9009"/>
      <w:bookmarkStart w:id="795" w:name="_Toc21737"/>
      <w:bookmarkStart w:id="796" w:name="_Toc15508"/>
      <w:bookmarkStart w:id="797" w:name="_Toc26870"/>
      <w:bookmarkStart w:id="798" w:name="_Toc4593"/>
      <w:bookmarkStart w:id="799" w:name="_Toc29114"/>
      <w:bookmarkStart w:id="800" w:name="_Toc1279"/>
      <w:bookmarkStart w:id="801" w:name="_Toc24485"/>
      <w:bookmarkStart w:id="802" w:name="_Toc30316"/>
      <w:bookmarkStart w:id="803" w:name="_Toc23213"/>
      <w:bookmarkStart w:id="804" w:name="_Toc5911"/>
      <w:r>
        <w:rPr>
          <w:rFonts w:eastAsia="黑体"/>
          <w:color w:val="000000"/>
          <w:kern w:val="0"/>
          <w:sz w:val="24"/>
        </w:rPr>
        <w:t>续表</w:t>
      </w:r>
      <w:bookmarkEnd w:id="791"/>
      <w:bookmarkEnd w:id="792"/>
      <w:bookmarkEnd w:id="793"/>
      <w:bookmarkEnd w:id="794"/>
      <w:bookmarkEnd w:id="795"/>
      <w:bookmarkEnd w:id="796"/>
      <w:bookmarkEnd w:id="797"/>
      <w:bookmarkEnd w:id="798"/>
      <w:bookmarkEnd w:id="799"/>
      <w:r>
        <w:rPr>
          <w:rFonts w:eastAsia="黑体"/>
          <w:color w:val="000000"/>
          <w:sz w:val="24"/>
          <w:szCs w:val="24"/>
        </w:rPr>
        <w:t>D</w:t>
      </w:r>
      <w:r>
        <w:rPr>
          <w:rFonts w:eastAsia="黑体"/>
          <w:color w:val="000000"/>
          <w:sz w:val="24"/>
          <w:szCs w:val="24"/>
          <w:lang w:val="zh-CN"/>
        </w:rPr>
        <w:t>.0.2</w:t>
      </w:r>
      <w:bookmarkEnd w:id="800"/>
      <w:bookmarkEnd w:id="801"/>
      <w:bookmarkEnd w:id="802"/>
      <w:bookmarkEnd w:id="803"/>
      <w:bookmarkEnd w:id="804"/>
    </w:p>
    <w:p w14:paraId="5BE391D8">
      <w:pPr>
        <w:widowControl/>
        <w:spacing w:after="156" w:afterLines="50"/>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W w:w="94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1"/>
        <w:gridCol w:w="13"/>
        <w:gridCol w:w="617"/>
        <w:gridCol w:w="4020"/>
        <w:gridCol w:w="3135"/>
        <w:gridCol w:w="544"/>
        <w:gridCol w:w="544"/>
      </w:tblGrid>
      <w:tr w14:paraId="6B9FD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3214702">
            <w:pPr>
              <w:widowControl/>
              <w:jc w:val="center"/>
              <w:textAlignment w:val="center"/>
              <w:rPr>
                <w:color w:val="000000"/>
                <w:szCs w:val="21"/>
              </w:rPr>
            </w:pPr>
            <w:r>
              <w:rPr>
                <w:color w:val="000000"/>
                <w:kern w:val="0"/>
                <w:szCs w:val="21"/>
              </w:rPr>
              <w:t>序号</w:t>
            </w:r>
          </w:p>
        </w:tc>
        <w:tc>
          <w:tcPr>
            <w:tcW w:w="4650" w:type="dxa"/>
            <w:gridSpan w:val="3"/>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400F60E">
            <w:pPr>
              <w:widowControl/>
              <w:jc w:val="center"/>
              <w:textAlignment w:val="center"/>
              <w:rPr>
                <w:color w:val="000000"/>
                <w:szCs w:val="21"/>
              </w:rPr>
            </w:pPr>
            <w:r>
              <w:rPr>
                <w:color w:val="000000"/>
                <w:kern w:val="0"/>
                <w:szCs w:val="21"/>
              </w:rPr>
              <w:t>检查项目</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3B829A3">
            <w:pPr>
              <w:widowControl/>
              <w:jc w:val="center"/>
              <w:textAlignment w:val="center"/>
              <w:rPr>
                <w:color w:val="000000"/>
                <w:szCs w:val="21"/>
              </w:rPr>
            </w:pPr>
            <w:r>
              <w:rPr>
                <w:color w:val="000000"/>
                <w:kern w:val="0"/>
                <w:szCs w:val="21"/>
              </w:rPr>
              <w:t>检查情况</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F4E5925">
            <w:pPr>
              <w:widowControl/>
              <w:jc w:val="center"/>
              <w:textAlignment w:val="center"/>
              <w:rPr>
                <w:color w:val="000000"/>
                <w:kern w:val="0"/>
                <w:szCs w:val="21"/>
              </w:rPr>
            </w:pPr>
            <w:r>
              <w:rPr>
                <w:color w:val="000000"/>
                <w:kern w:val="0"/>
                <w:szCs w:val="21"/>
              </w:rPr>
              <w:t>应得分</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2010BAB">
            <w:pPr>
              <w:widowControl/>
              <w:jc w:val="center"/>
              <w:textAlignment w:val="center"/>
              <w:rPr>
                <w:color w:val="000000"/>
                <w:szCs w:val="21"/>
              </w:rPr>
            </w:pPr>
            <w:r>
              <w:rPr>
                <w:color w:val="000000"/>
                <w:kern w:val="0"/>
                <w:szCs w:val="21"/>
              </w:rPr>
              <w:t>实得分</w:t>
            </w:r>
          </w:p>
        </w:tc>
      </w:tr>
      <w:tr w14:paraId="324B7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CA60BF8">
            <w:pPr>
              <w:widowControl/>
              <w:jc w:val="center"/>
              <w:textAlignment w:val="center"/>
              <w:rPr>
                <w:color w:val="000000"/>
                <w:szCs w:val="21"/>
              </w:rPr>
            </w:pPr>
            <w:r>
              <w:rPr>
                <w:color w:val="000000"/>
                <w:kern w:val="0"/>
                <w:szCs w:val="21"/>
              </w:rPr>
              <w:t>17</w:t>
            </w:r>
          </w:p>
        </w:tc>
        <w:tc>
          <w:tcPr>
            <w:tcW w:w="630" w:type="dxa"/>
            <w:gridSpan w:val="2"/>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46F7D84">
            <w:pPr>
              <w:widowControl/>
              <w:jc w:val="center"/>
              <w:textAlignment w:val="center"/>
              <w:rPr>
                <w:color w:val="000000"/>
                <w:kern w:val="0"/>
                <w:szCs w:val="21"/>
              </w:rPr>
            </w:pPr>
            <w:r>
              <w:rPr>
                <w:color w:val="000000"/>
                <w:kern w:val="0"/>
                <w:szCs w:val="21"/>
              </w:rPr>
              <w:t>智</w:t>
            </w:r>
            <w:r>
              <w:rPr>
                <w:color w:val="000000"/>
                <w:kern w:val="0"/>
                <w:szCs w:val="21"/>
              </w:rPr>
              <w:br w:type="textWrapping"/>
            </w:r>
            <w:r>
              <w:rPr>
                <w:color w:val="000000"/>
                <w:kern w:val="0"/>
                <w:szCs w:val="21"/>
              </w:rPr>
              <w:t>能</w:t>
            </w:r>
            <w:r>
              <w:rPr>
                <w:color w:val="000000"/>
                <w:kern w:val="0"/>
                <w:szCs w:val="21"/>
              </w:rPr>
              <w:br w:type="textWrapping"/>
            </w:r>
            <w:r>
              <w:rPr>
                <w:color w:val="000000"/>
                <w:kern w:val="0"/>
                <w:szCs w:val="21"/>
              </w:rPr>
              <w:t>建</w:t>
            </w:r>
            <w:r>
              <w:rPr>
                <w:color w:val="000000"/>
                <w:kern w:val="0"/>
                <w:szCs w:val="21"/>
              </w:rPr>
              <w:br w:type="textWrapping"/>
            </w:r>
            <w:r>
              <w:rPr>
                <w:color w:val="000000"/>
                <w:kern w:val="0"/>
                <w:szCs w:val="21"/>
              </w:rPr>
              <w:t>筑</w:t>
            </w: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B24453">
            <w:pPr>
              <w:widowControl/>
              <w:jc w:val="left"/>
              <w:textAlignment w:val="center"/>
              <w:rPr>
                <w:color w:val="000000"/>
                <w:szCs w:val="21"/>
              </w:rPr>
            </w:pPr>
            <w:r>
              <w:rPr>
                <w:color w:val="000000"/>
                <w:kern w:val="0"/>
                <w:szCs w:val="21"/>
              </w:rPr>
              <w:t>主要施工方案编制及交底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6C98F52">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C942940">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1D3F254">
            <w:pPr>
              <w:rPr>
                <w:color w:val="000000"/>
                <w:szCs w:val="21"/>
              </w:rPr>
            </w:pPr>
          </w:p>
        </w:tc>
      </w:tr>
      <w:tr w14:paraId="5313C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CC881C0">
            <w:pPr>
              <w:widowControl/>
              <w:jc w:val="center"/>
              <w:textAlignment w:val="center"/>
              <w:rPr>
                <w:color w:val="000000"/>
                <w:szCs w:val="21"/>
              </w:rPr>
            </w:pPr>
            <w:r>
              <w:rPr>
                <w:color w:val="000000"/>
                <w:kern w:val="0"/>
                <w:szCs w:val="21"/>
              </w:rPr>
              <w:t>18</w:t>
            </w:r>
          </w:p>
        </w:tc>
        <w:tc>
          <w:tcPr>
            <w:tcW w:w="630" w:type="dxa"/>
            <w:gridSpan w:val="2"/>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5B26F3C">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A9274AC">
            <w:pPr>
              <w:widowControl/>
              <w:jc w:val="left"/>
              <w:textAlignment w:val="center"/>
              <w:rPr>
                <w:color w:val="000000"/>
                <w:szCs w:val="21"/>
              </w:rPr>
            </w:pPr>
            <w:r>
              <w:rPr>
                <w:color w:val="000000"/>
                <w:kern w:val="0"/>
                <w:szCs w:val="21"/>
              </w:rPr>
              <w:t>设备及材料合格证、性能检测报告、出厂检验报告、见证取样复试报告</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25B70D9">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835266F">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36AF4D6">
            <w:pPr>
              <w:rPr>
                <w:color w:val="000000"/>
                <w:szCs w:val="21"/>
              </w:rPr>
            </w:pPr>
          </w:p>
        </w:tc>
      </w:tr>
      <w:tr w14:paraId="29691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E55292D">
            <w:pPr>
              <w:widowControl/>
              <w:jc w:val="center"/>
              <w:textAlignment w:val="center"/>
              <w:rPr>
                <w:color w:val="000000"/>
                <w:szCs w:val="21"/>
              </w:rPr>
            </w:pPr>
            <w:r>
              <w:rPr>
                <w:color w:val="000000"/>
                <w:kern w:val="0"/>
                <w:szCs w:val="21"/>
              </w:rPr>
              <w:t>19</w:t>
            </w:r>
          </w:p>
        </w:tc>
        <w:tc>
          <w:tcPr>
            <w:tcW w:w="630" w:type="dxa"/>
            <w:gridSpan w:val="2"/>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E03CF10">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783206B">
            <w:pPr>
              <w:widowControl/>
              <w:jc w:val="left"/>
              <w:textAlignment w:val="center"/>
              <w:rPr>
                <w:color w:val="000000"/>
                <w:szCs w:val="21"/>
              </w:rPr>
            </w:pPr>
            <w:r>
              <w:rPr>
                <w:color w:val="000000"/>
                <w:kern w:val="0"/>
                <w:szCs w:val="21"/>
              </w:rPr>
              <w:t>绝缘电阻测试记录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2ABD3D3">
            <w:pPr>
              <w:jc w:val="center"/>
              <w:rPr>
                <w:color w:val="000000"/>
                <w:szCs w:val="21"/>
              </w:rPr>
            </w:pP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5059FA3">
            <w:pPr>
              <w:jc w:val="center"/>
              <w:rPr>
                <w:color w:val="000000"/>
                <w:szCs w:val="21"/>
              </w:rPr>
            </w:pPr>
            <w:r>
              <w:rPr>
                <w:rFonts w:hint="eastAsia"/>
                <w:color w:val="000000"/>
                <w:szCs w:val="21"/>
              </w:rPr>
              <w:t>2</w:t>
            </w: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ABB222C">
            <w:pPr>
              <w:rPr>
                <w:color w:val="000000"/>
                <w:szCs w:val="21"/>
              </w:rPr>
            </w:pPr>
          </w:p>
        </w:tc>
      </w:tr>
      <w:tr w14:paraId="33CF1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3F4CC58">
            <w:pPr>
              <w:widowControl/>
              <w:jc w:val="center"/>
              <w:textAlignment w:val="center"/>
              <w:rPr>
                <w:color w:val="000000"/>
                <w:szCs w:val="21"/>
              </w:rPr>
            </w:pPr>
            <w:r>
              <w:rPr>
                <w:color w:val="000000"/>
                <w:kern w:val="0"/>
                <w:szCs w:val="21"/>
              </w:rPr>
              <w:t>20</w:t>
            </w:r>
          </w:p>
        </w:tc>
        <w:tc>
          <w:tcPr>
            <w:tcW w:w="630" w:type="dxa"/>
            <w:gridSpan w:val="2"/>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1B95AE7">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06E3633">
            <w:pPr>
              <w:widowControl/>
              <w:jc w:val="left"/>
              <w:textAlignment w:val="center"/>
              <w:rPr>
                <w:color w:val="000000"/>
                <w:szCs w:val="21"/>
              </w:rPr>
            </w:pPr>
            <w:r>
              <w:rPr>
                <w:color w:val="000000"/>
                <w:kern w:val="0"/>
                <w:szCs w:val="21"/>
              </w:rPr>
              <w:t>信息网络、有线电视及卫星电视接收、公共广播、会议系统试运行记录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951E4A3">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08A78D4">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B5C1DF2">
            <w:pPr>
              <w:rPr>
                <w:color w:val="000000"/>
                <w:szCs w:val="21"/>
              </w:rPr>
            </w:pPr>
          </w:p>
        </w:tc>
      </w:tr>
      <w:tr w14:paraId="79642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9E4AEFB">
            <w:pPr>
              <w:widowControl/>
              <w:jc w:val="center"/>
              <w:textAlignment w:val="center"/>
              <w:rPr>
                <w:color w:val="000000"/>
                <w:szCs w:val="21"/>
              </w:rPr>
            </w:pPr>
            <w:r>
              <w:rPr>
                <w:color w:val="000000"/>
                <w:kern w:val="0"/>
                <w:szCs w:val="21"/>
              </w:rPr>
              <w:t>21</w:t>
            </w:r>
          </w:p>
        </w:tc>
        <w:tc>
          <w:tcPr>
            <w:tcW w:w="630" w:type="dxa"/>
            <w:gridSpan w:val="2"/>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6B58C0B">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9B93D96">
            <w:pPr>
              <w:widowControl/>
              <w:jc w:val="left"/>
              <w:textAlignment w:val="center"/>
              <w:rPr>
                <w:color w:val="000000"/>
                <w:szCs w:val="21"/>
              </w:rPr>
            </w:pPr>
            <w:r>
              <w:rPr>
                <w:color w:val="000000"/>
                <w:kern w:val="0"/>
                <w:szCs w:val="21"/>
              </w:rPr>
              <w:t>建筑设备监控、安全技术防范、火灾自动报警系统试运行记录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845A0C3">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7C98938">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5E71175">
            <w:pPr>
              <w:rPr>
                <w:color w:val="000000"/>
                <w:szCs w:val="21"/>
              </w:rPr>
            </w:pPr>
          </w:p>
        </w:tc>
      </w:tr>
      <w:tr w14:paraId="48F5B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6325CFC">
            <w:pPr>
              <w:widowControl/>
              <w:jc w:val="center"/>
              <w:textAlignment w:val="center"/>
              <w:rPr>
                <w:color w:val="000000"/>
                <w:szCs w:val="21"/>
              </w:rPr>
            </w:pPr>
            <w:r>
              <w:rPr>
                <w:color w:val="000000"/>
                <w:kern w:val="0"/>
                <w:szCs w:val="21"/>
              </w:rPr>
              <w:t>22</w:t>
            </w:r>
          </w:p>
        </w:tc>
        <w:tc>
          <w:tcPr>
            <w:tcW w:w="630" w:type="dxa"/>
            <w:gridSpan w:val="2"/>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B07740C">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F90909B">
            <w:pPr>
              <w:widowControl/>
              <w:jc w:val="left"/>
              <w:textAlignment w:val="center"/>
              <w:rPr>
                <w:color w:val="000000"/>
                <w:szCs w:val="21"/>
              </w:rPr>
            </w:pPr>
            <w:r>
              <w:rPr>
                <w:color w:val="000000"/>
                <w:kern w:val="0"/>
                <w:szCs w:val="21"/>
              </w:rPr>
              <w:t>综合布线试运行记录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6FB01FF">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15A7748">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83C8A74">
            <w:pPr>
              <w:rPr>
                <w:color w:val="000000"/>
                <w:szCs w:val="21"/>
              </w:rPr>
            </w:pPr>
          </w:p>
        </w:tc>
      </w:tr>
      <w:tr w14:paraId="49952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0A7A284">
            <w:pPr>
              <w:widowControl/>
              <w:jc w:val="center"/>
              <w:textAlignment w:val="center"/>
              <w:rPr>
                <w:color w:val="000000"/>
                <w:szCs w:val="21"/>
              </w:rPr>
            </w:pPr>
            <w:r>
              <w:rPr>
                <w:color w:val="000000"/>
                <w:kern w:val="0"/>
                <w:szCs w:val="21"/>
              </w:rPr>
              <w:t>23</w:t>
            </w:r>
          </w:p>
        </w:tc>
        <w:tc>
          <w:tcPr>
            <w:tcW w:w="630" w:type="dxa"/>
            <w:gridSpan w:val="2"/>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929F83B">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8D87B0C">
            <w:pPr>
              <w:widowControl/>
              <w:jc w:val="left"/>
              <w:textAlignment w:val="center"/>
              <w:rPr>
                <w:color w:val="000000"/>
                <w:szCs w:val="21"/>
              </w:rPr>
            </w:pPr>
            <w:r>
              <w:rPr>
                <w:color w:val="000000"/>
                <w:kern w:val="0"/>
                <w:szCs w:val="21"/>
              </w:rPr>
              <w:t>分部验收记录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F9FF64C">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0C905EA">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69E1A8D">
            <w:pPr>
              <w:rPr>
                <w:color w:val="000000"/>
                <w:szCs w:val="21"/>
              </w:rPr>
            </w:pPr>
          </w:p>
        </w:tc>
      </w:tr>
      <w:tr w14:paraId="42AE3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162D962">
            <w:pPr>
              <w:widowControl/>
              <w:jc w:val="center"/>
              <w:textAlignment w:val="center"/>
              <w:rPr>
                <w:color w:val="000000"/>
                <w:szCs w:val="21"/>
              </w:rPr>
            </w:pPr>
            <w:r>
              <w:rPr>
                <w:color w:val="000000"/>
                <w:kern w:val="0"/>
                <w:szCs w:val="21"/>
              </w:rPr>
              <w:t>24</w:t>
            </w:r>
          </w:p>
        </w:tc>
        <w:tc>
          <w:tcPr>
            <w:tcW w:w="630" w:type="dxa"/>
            <w:gridSpan w:val="2"/>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B35B069">
            <w:pPr>
              <w:widowControl/>
              <w:jc w:val="center"/>
              <w:textAlignment w:val="center"/>
              <w:rPr>
                <w:color w:val="000000"/>
                <w:kern w:val="0"/>
                <w:szCs w:val="21"/>
              </w:rPr>
            </w:pPr>
            <w:r>
              <w:rPr>
                <w:color w:val="000000"/>
                <w:kern w:val="0"/>
                <w:szCs w:val="21"/>
              </w:rPr>
              <w:t>电</w:t>
            </w:r>
            <w:r>
              <w:rPr>
                <w:color w:val="000000"/>
                <w:kern w:val="0"/>
                <w:szCs w:val="21"/>
              </w:rPr>
              <w:br w:type="textWrapping"/>
            </w:r>
            <w:r>
              <w:rPr>
                <w:color w:val="000000"/>
                <w:kern w:val="0"/>
                <w:szCs w:val="21"/>
              </w:rPr>
              <w:t>梯</w:t>
            </w:r>
            <w:r>
              <w:rPr>
                <w:color w:val="000000"/>
                <w:kern w:val="0"/>
                <w:szCs w:val="21"/>
              </w:rPr>
              <w:br w:type="textWrapping"/>
            </w:r>
            <w:r>
              <w:rPr>
                <w:color w:val="000000"/>
                <w:kern w:val="0"/>
                <w:szCs w:val="21"/>
              </w:rPr>
              <w:t>工</w:t>
            </w:r>
            <w:r>
              <w:rPr>
                <w:color w:val="000000"/>
                <w:kern w:val="0"/>
                <w:szCs w:val="21"/>
              </w:rPr>
              <w:br w:type="textWrapping"/>
            </w:r>
            <w:r>
              <w:rPr>
                <w:color w:val="000000"/>
                <w:kern w:val="0"/>
                <w:szCs w:val="21"/>
              </w:rPr>
              <w:t>程</w:t>
            </w: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CC4AC00">
            <w:pPr>
              <w:widowControl/>
              <w:jc w:val="left"/>
              <w:textAlignment w:val="center"/>
              <w:rPr>
                <w:color w:val="000000"/>
                <w:szCs w:val="21"/>
              </w:rPr>
            </w:pPr>
            <w:r>
              <w:rPr>
                <w:color w:val="000000"/>
                <w:kern w:val="0"/>
                <w:szCs w:val="21"/>
              </w:rPr>
              <w:t>施工方案及设备生产厂家给设备安装单位的交底、委托</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7B8A026">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5FE0C0C">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F5A101B">
            <w:pPr>
              <w:rPr>
                <w:color w:val="000000"/>
                <w:szCs w:val="21"/>
              </w:rPr>
            </w:pPr>
          </w:p>
        </w:tc>
      </w:tr>
      <w:tr w14:paraId="759B8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A33E4D1">
            <w:pPr>
              <w:widowControl/>
              <w:jc w:val="center"/>
              <w:textAlignment w:val="center"/>
              <w:rPr>
                <w:color w:val="000000"/>
                <w:szCs w:val="21"/>
              </w:rPr>
            </w:pPr>
            <w:r>
              <w:rPr>
                <w:color w:val="000000"/>
                <w:kern w:val="0"/>
                <w:szCs w:val="21"/>
              </w:rPr>
              <w:t>25</w:t>
            </w:r>
          </w:p>
        </w:tc>
        <w:tc>
          <w:tcPr>
            <w:tcW w:w="630" w:type="dxa"/>
            <w:gridSpan w:val="2"/>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55373F3">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6B2E4DE">
            <w:pPr>
              <w:widowControl/>
              <w:jc w:val="left"/>
              <w:textAlignment w:val="center"/>
              <w:rPr>
                <w:color w:val="000000"/>
                <w:szCs w:val="21"/>
              </w:rPr>
            </w:pPr>
            <w:r>
              <w:rPr>
                <w:color w:val="000000"/>
                <w:kern w:val="0"/>
                <w:szCs w:val="21"/>
              </w:rPr>
              <w:t>设备及主要材料进场检验记录、设备开箱检验记录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9CE1A7B">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1BD49D5">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EA30573">
            <w:pPr>
              <w:rPr>
                <w:color w:val="000000"/>
                <w:szCs w:val="21"/>
              </w:rPr>
            </w:pPr>
          </w:p>
        </w:tc>
      </w:tr>
      <w:tr w14:paraId="3002B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A015DC2">
            <w:pPr>
              <w:widowControl/>
              <w:jc w:val="center"/>
              <w:textAlignment w:val="center"/>
              <w:rPr>
                <w:color w:val="000000"/>
                <w:szCs w:val="21"/>
              </w:rPr>
            </w:pPr>
            <w:r>
              <w:rPr>
                <w:color w:val="000000"/>
                <w:kern w:val="0"/>
                <w:szCs w:val="21"/>
              </w:rPr>
              <w:t>26</w:t>
            </w:r>
          </w:p>
        </w:tc>
        <w:tc>
          <w:tcPr>
            <w:tcW w:w="630" w:type="dxa"/>
            <w:gridSpan w:val="2"/>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1ADD963">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08FF7F">
            <w:pPr>
              <w:widowControl/>
              <w:jc w:val="left"/>
              <w:textAlignment w:val="center"/>
              <w:rPr>
                <w:color w:val="000000"/>
                <w:szCs w:val="21"/>
              </w:rPr>
            </w:pPr>
            <w:r>
              <w:rPr>
                <w:color w:val="000000"/>
                <w:kern w:val="0"/>
                <w:szCs w:val="21"/>
              </w:rPr>
              <w:t>接地、绝缘电阻测试 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8DD8A83">
            <w:pPr>
              <w:jc w:val="center"/>
              <w:rPr>
                <w:color w:val="000000"/>
                <w:szCs w:val="21"/>
              </w:rPr>
            </w:pPr>
          </w:p>
        </w:tc>
        <w:tc>
          <w:tcPr>
            <w:tcW w:w="544"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8D51D93">
            <w:pPr>
              <w:jc w:val="center"/>
              <w:rPr>
                <w:color w:val="000000"/>
                <w:szCs w:val="21"/>
              </w:rPr>
            </w:pPr>
            <w:r>
              <w:rPr>
                <w:rFonts w:hint="eastAsia"/>
                <w:color w:val="000000"/>
                <w:szCs w:val="21"/>
              </w:rPr>
              <w:t>2</w:t>
            </w:r>
          </w:p>
        </w:tc>
        <w:tc>
          <w:tcPr>
            <w:tcW w:w="544"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3BAD388">
            <w:pPr>
              <w:rPr>
                <w:color w:val="000000"/>
                <w:szCs w:val="21"/>
              </w:rPr>
            </w:pPr>
          </w:p>
        </w:tc>
      </w:tr>
      <w:tr w14:paraId="5DA95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9811F17">
            <w:pPr>
              <w:widowControl/>
              <w:jc w:val="center"/>
              <w:textAlignment w:val="center"/>
              <w:rPr>
                <w:color w:val="000000"/>
                <w:szCs w:val="21"/>
              </w:rPr>
            </w:pPr>
            <w:r>
              <w:rPr>
                <w:color w:val="000000"/>
                <w:kern w:val="0"/>
                <w:szCs w:val="21"/>
              </w:rPr>
              <w:t>27</w:t>
            </w:r>
          </w:p>
        </w:tc>
        <w:tc>
          <w:tcPr>
            <w:tcW w:w="630" w:type="dxa"/>
            <w:gridSpan w:val="2"/>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7EC8036">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BD28290">
            <w:pPr>
              <w:widowControl/>
              <w:jc w:val="left"/>
              <w:textAlignment w:val="center"/>
              <w:rPr>
                <w:color w:val="000000"/>
                <w:szCs w:val="21"/>
              </w:rPr>
            </w:pPr>
            <w:r>
              <w:rPr>
                <w:color w:val="000000"/>
                <w:kern w:val="0"/>
                <w:szCs w:val="21"/>
              </w:rPr>
              <w:t>安装前备案告知书、安装后检测报告</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0C63B24">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9566238">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BB0C11C">
            <w:pPr>
              <w:rPr>
                <w:color w:val="000000"/>
                <w:szCs w:val="21"/>
              </w:rPr>
            </w:pPr>
          </w:p>
        </w:tc>
      </w:tr>
      <w:tr w14:paraId="40215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AE2F49E">
            <w:pPr>
              <w:widowControl/>
              <w:jc w:val="center"/>
              <w:textAlignment w:val="center"/>
              <w:rPr>
                <w:color w:val="000000"/>
                <w:szCs w:val="21"/>
              </w:rPr>
            </w:pPr>
            <w:r>
              <w:rPr>
                <w:color w:val="000000"/>
                <w:kern w:val="0"/>
                <w:szCs w:val="21"/>
              </w:rPr>
              <w:t>28</w:t>
            </w:r>
          </w:p>
        </w:tc>
        <w:tc>
          <w:tcPr>
            <w:tcW w:w="630" w:type="dxa"/>
            <w:gridSpan w:val="2"/>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47ED0D5">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E8B90E2">
            <w:pPr>
              <w:widowControl/>
              <w:jc w:val="left"/>
              <w:textAlignment w:val="center"/>
              <w:rPr>
                <w:color w:val="000000"/>
                <w:szCs w:val="21"/>
              </w:rPr>
            </w:pPr>
            <w:r>
              <w:rPr>
                <w:color w:val="000000"/>
                <w:kern w:val="0"/>
                <w:szCs w:val="21"/>
              </w:rPr>
              <w:t>电梯监督检验报告、使用标识、注册登记表</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50E0B0A">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F4A6E7C">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5027AB4">
            <w:pPr>
              <w:rPr>
                <w:color w:val="000000"/>
                <w:szCs w:val="21"/>
              </w:rPr>
            </w:pPr>
          </w:p>
        </w:tc>
      </w:tr>
      <w:tr w14:paraId="661E4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E337552">
            <w:pPr>
              <w:widowControl/>
              <w:jc w:val="center"/>
              <w:textAlignment w:val="center"/>
              <w:rPr>
                <w:color w:val="000000"/>
                <w:szCs w:val="21"/>
              </w:rPr>
            </w:pPr>
            <w:r>
              <w:rPr>
                <w:color w:val="000000"/>
                <w:kern w:val="0"/>
                <w:szCs w:val="21"/>
              </w:rPr>
              <w:t>29</w:t>
            </w:r>
          </w:p>
        </w:tc>
        <w:tc>
          <w:tcPr>
            <w:tcW w:w="630" w:type="dxa"/>
            <w:gridSpan w:val="2"/>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8448DD8">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D2EB431">
            <w:pPr>
              <w:widowControl/>
              <w:jc w:val="left"/>
              <w:textAlignment w:val="center"/>
              <w:rPr>
                <w:color w:val="000000"/>
                <w:szCs w:val="21"/>
              </w:rPr>
            </w:pPr>
            <w:r>
              <w:rPr>
                <w:color w:val="000000"/>
                <w:kern w:val="0"/>
                <w:szCs w:val="21"/>
              </w:rPr>
              <w:t>主要部位隐蔽验收记录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31B1CEB">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DE8DC84">
            <w:pPr>
              <w:jc w:val="center"/>
              <w:rPr>
                <w:color w:val="000000"/>
                <w:szCs w:val="21"/>
              </w:rPr>
            </w:pPr>
            <w:r>
              <w:rPr>
                <w:rFonts w:hint="eastAsia"/>
                <w:color w:val="000000"/>
                <w:szCs w:val="21"/>
              </w:rPr>
              <w:t>0.5</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9E86C4C">
            <w:pPr>
              <w:rPr>
                <w:color w:val="000000"/>
                <w:szCs w:val="21"/>
              </w:rPr>
            </w:pPr>
          </w:p>
        </w:tc>
      </w:tr>
      <w:tr w14:paraId="4EB9D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A6DDBBF">
            <w:pPr>
              <w:widowControl/>
              <w:jc w:val="center"/>
              <w:textAlignment w:val="center"/>
              <w:rPr>
                <w:color w:val="000000"/>
                <w:szCs w:val="21"/>
              </w:rPr>
            </w:pPr>
            <w:r>
              <w:rPr>
                <w:color w:val="000000"/>
                <w:kern w:val="0"/>
                <w:szCs w:val="21"/>
              </w:rPr>
              <w:t>30</w:t>
            </w:r>
          </w:p>
        </w:tc>
        <w:tc>
          <w:tcPr>
            <w:tcW w:w="630" w:type="dxa"/>
            <w:gridSpan w:val="2"/>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296635C">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6181088">
            <w:pPr>
              <w:widowControl/>
              <w:jc w:val="left"/>
              <w:textAlignment w:val="center"/>
              <w:rPr>
                <w:color w:val="000000"/>
                <w:szCs w:val="21"/>
              </w:rPr>
            </w:pPr>
            <w:r>
              <w:rPr>
                <w:color w:val="000000"/>
                <w:kern w:val="0"/>
                <w:szCs w:val="21"/>
              </w:rPr>
              <w:t>检验批、分项、分部工程验收记录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98DCBB9">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3DDAB23">
            <w:pPr>
              <w:jc w:val="center"/>
              <w:rPr>
                <w:color w:val="000000"/>
                <w:szCs w:val="21"/>
              </w:rPr>
            </w:pPr>
            <w:r>
              <w:rPr>
                <w:rFonts w:hint="eastAsia"/>
                <w:color w:val="000000"/>
                <w:szCs w:val="21"/>
              </w:rPr>
              <w:t>0.5</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369CE90">
            <w:pPr>
              <w:rPr>
                <w:color w:val="000000"/>
                <w:szCs w:val="21"/>
              </w:rPr>
            </w:pPr>
          </w:p>
        </w:tc>
      </w:tr>
      <w:tr w14:paraId="6BBDD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5181" w:type="dxa"/>
            <w:gridSpan w:val="4"/>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0871523">
            <w:pPr>
              <w:widowControl/>
              <w:jc w:val="center"/>
              <w:textAlignment w:val="center"/>
              <w:rPr>
                <w:color w:val="000000"/>
                <w:kern w:val="0"/>
                <w:szCs w:val="21"/>
              </w:rPr>
            </w:pPr>
            <w:r>
              <w:rPr>
                <w:rFonts w:hint="eastAsia"/>
                <w:color w:val="000000"/>
                <w:kern w:val="0"/>
                <w:szCs w:val="21"/>
              </w:rPr>
              <w:t>小</w:t>
            </w:r>
            <w:r>
              <w:rPr>
                <w:color w:val="000000"/>
                <w:kern w:val="0"/>
                <w:szCs w:val="21"/>
              </w:rPr>
              <w:t>计</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494A985">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0E1E358">
            <w:pPr>
              <w:jc w:val="center"/>
              <w:rPr>
                <w:color w:val="000000"/>
                <w:szCs w:val="21"/>
              </w:rPr>
            </w:pPr>
            <w:r>
              <w:rPr>
                <w:rFonts w:hint="eastAsia"/>
                <w:color w:val="000000"/>
                <w:szCs w:val="21"/>
              </w:rPr>
              <w:t>25</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2073090">
            <w:pPr>
              <w:rPr>
                <w:color w:val="000000"/>
                <w:szCs w:val="21"/>
              </w:rPr>
            </w:pPr>
          </w:p>
        </w:tc>
      </w:tr>
      <w:tr w14:paraId="7648C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90" w:hRule="atLeast"/>
        </w:trPr>
        <w:tc>
          <w:tcPr>
            <w:tcW w:w="544"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8289014">
            <w:pPr>
              <w:widowControl/>
              <w:jc w:val="left"/>
              <w:textAlignment w:val="center"/>
              <w:rPr>
                <w:color w:val="000000"/>
                <w:kern w:val="0"/>
                <w:szCs w:val="21"/>
              </w:rPr>
            </w:pPr>
          </w:p>
        </w:tc>
        <w:tc>
          <w:tcPr>
            <w:tcW w:w="8860" w:type="dxa"/>
            <w:gridSpan w:val="5"/>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1B97EB5">
            <w:pPr>
              <w:widowControl/>
              <w:textAlignment w:val="center"/>
              <w:rPr>
                <w:color w:val="000000"/>
                <w:kern w:val="0"/>
                <w:szCs w:val="21"/>
              </w:rPr>
            </w:pPr>
            <w:r>
              <w:rPr>
                <w:color w:val="000000"/>
                <w:kern w:val="0"/>
                <w:szCs w:val="21"/>
              </w:rPr>
              <w:t>综合评价：意见和建议（工程亮点、存在问题、改正方法、提高方向）</w:t>
            </w:r>
          </w:p>
          <w:p w14:paraId="39B9B2F4">
            <w:pPr>
              <w:widowControl/>
              <w:jc w:val="center"/>
              <w:textAlignment w:val="center"/>
              <w:rPr>
                <w:color w:val="000000"/>
                <w:kern w:val="0"/>
                <w:szCs w:val="21"/>
              </w:rPr>
            </w:pPr>
          </w:p>
          <w:p w14:paraId="7CDA2AB7">
            <w:pPr>
              <w:widowControl/>
              <w:jc w:val="center"/>
              <w:textAlignment w:val="center"/>
              <w:rPr>
                <w:color w:val="000000"/>
                <w:kern w:val="0"/>
                <w:szCs w:val="21"/>
              </w:rPr>
            </w:pPr>
          </w:p>
          <w:p w14:paraId="405D77FE">
            <w:pPr>
              <w:widowControl/>
              <w:jc w:val="center"/>
              <w:textAlignment w:val="center"/>
              <w:rPr>
                <w:color w:val="000000"/>
                <w:kern w:val="0"/>
                <w:szCs w:val="21"/>
              </w:rPr>
            </w:pPr>
          </w:p>
          <w:p w14:paraId="14011F67">
            <w:pPr>
              <w:widowControl/>
              <w:jc w:val="center"/>
              <w:textAlignment w:val="center"/>
              <w:rPr>
                <w:color w:val="000000"/>
                <w:kern w:val="0"/>
                <w:szCs w:val="21"/>
              </w:rPr>
            </w:pPr>
          </w:p>
          <w:p w14:paraId="12906DEE">
            <w:pPr>
              <w:widowControl/>
              <w:jc w:val="center"/>
              <w:textAlignment w:val="center"/>
              <w:rPr>
                <w:color w:val="000000"/>
                <w:kern w:val="0"/>
                <w:szCs w:val="21"/>
              </w:rPr>
            </w:pPr>
            <w:r>
              <w:rPr>
                <w:color w:val="000000"/>
                <w:kern w:val="0"/>
                <w:szCs w:val="21"/>
              </w:rPr>
              <w:t>检查人：</w:t>
            </w:r>
          </w:p>
          <w:p w14:paraId="00C25CDF">
            <w:pPr>
              <w:widowControl/>
              <w:jc w:val="center"/>
              <w:textAlignment w:val="center"/>
              <w:rPr>
                <w:color w:val="000000"/>
                <w:kern w:val="0"/>
                <w:szCs w:val="21"/>
              </w:rPr>
            </w:pPr>
            <w:r>
              <w:rPr>
                <w:color w:val="000000"/>
                <w:kern w:val="0"/>
                <w:szCs w:val="21"/>
              </w:rPr>
              <w:t>年  月   日</w:t>
            </w:r>
          </w:p>
        </w:tc>
      </w:tr>
    </w:tbl>
    <w:p w14:paraId="60009E94">
      <w:pPr>
        <w:widowControl/>
        <w:textAlignment w:val="center"/>
        <w:rPr>
          <w:color w:val="000000"/>
        </w:rPr>
      </w:pPr>
      <w:r>
        <w:rPr>
          <w:color w:val="000000"/>
        </w:rPr>
        <w:t>注：本表评价打分采取扣分制，存在一项不符合扣</w:t>
      </w:r>
      <w:r>
        <w:rPr>
          <w:rFonts w:hint="eastAsia"/>
          <w:color w:val="000000"/>
        </w:rPr>
        <w:t>0.5-1</w:t>
      </w:r>
      <w:r>
        <w:rPr>
          <w:color w:val="000000"/>
        </w:rPr>
        <w:t>分</w:t>
      </w:r>
    </w:p>
    <w:p w14:paraId="38C1509A">
      <w:pPr>
        <w:jc w:val="center"/>
        <w:outlineLvl w:val="2"/>
        <w:rPr>
          <w:rFonts w:eastAsia="黑体"/>
          <w:color w:val="000000"/>
          <w:sz w:val="24"/>
          <w:szCs w:val="24"/>
          <w:lang w:val="zh-CN"/>
        </w:rPr>
      </w:pPr>
      <w:bookmarkStart w:id="805" w:name="_Toc16490"/>
      <w:bookmarkStart w:id="806" w:name="_Toc1349"/>
      <w:bookmarkStart w:id="807" w:name="_Toc32753"/>
      <w:bookmarkStart w:id="808" w:name="_Toc25622"/>
      <w:bookmarkStart w:id="809" w:name="_Toc23552"/>
      <w:bookmarkStart w:id="810" w:name="_Toc14415"/>
      <w:bookmarkStart w:id="811" w:name="_Toc25917"/>
      <w:bookmarkStart w:id="812" w:name="_Toc26653"/>
      <w:bookmarkStart w:id="813" w:name="_Toc25542"/>
      <w:bookmarkStart w:id="814" w:name="_Toc10817"/>
      <w:bookmarkStart w:id="815" w:name="_Toc11196"/>
      <w:bookmarkStart w:id="816" w:name="_Toc23348"/>
      <w:bookmarkStart w:id="817" w:name="_Toc12996"/>
      <w:bookmarkStart w:id="818" w:name="_Toc26716"/>
      <w:bookmarkStart w:id="819" w:name="_Toc21861"/>
      <w:r>
        <w:rPr>
          <w:rFonts w:eastAsia="黑体"/>
          <w:color w:val="000000"/>
          <w:sz w:val="24"/>
          <w:szCs w:val="24"/>
          <w:lang w:val="zh-CN"/>
        </w:rPr>
        <w:t>表</w:t>
      </w:r>
      <w:r>
        <w:rPr>
          <w:rFonts w:hint="eastAsia" w:eastAsia="黑体"/>
          <w:color w:val="000000"/>
          <w:sz w:val="24"/>
          <w:szCs w:val="24"/>
        </w:rPr>
        <w:t>D</w:t>
      </w:r>
      <w:r>
        <w:rPr>
          <w:rFonts w:eastAsia="黑体"/>
          <w:color w:val="000000"/>
          <w:sz w:val="24"/>
          <w:szCs w:val="24"/>
          <w:lang w:val="zh-CN"/>
        </w:rPr>
        <w:t xml:space="preserve">.0.3   </w:t>
      </w:r>
      <w:r>
        <w:rPr>
          <w:rFonts w:hint="eastAsia" w:eastAsia="黑体"/>
          <w:color w:val="000000"/>
          <w:sz w:val="24"/>
          <w:szCs w:val="24"/>
          <w:lang w:val="zh-CN"/>
        </w:rPr>
        <w:t>建筑</w:t>
      </w:r>
      <w:r>
        <w:rPr>
          <w:rFonts w:eastAsia="黑体"/>
          <w:color w:val="000000"/>
          <w:sz w:val="24"/>
          <w:szCs w:val="24"/>
          <w:lang w:val="zh-CN"/>
        </w:rPr>
        <w:t>设备安装工程资料</w:t>
      </w:r>
      <w:r>
        <w:rPr>
          <w:rFonts w:hint="eastAsia" w:ascii="黑体" w:hAnsi="黑体" w:eastAsia="黑体" w:cs="宋体"/>
          <w:color w:val="000000"/>
          <w:kern w:val="0"/>
          <w:sz w:val="24"/>
          <w:szCs w:val="24"/>
        </w:rPr>
        <w:t>现场检查</w:t>
      </w:r>
      <w:bookmarkEnd w:id="805"/>
      <w:bookmarkEnd w:id="806"/>
      <w:bookmarkEnd w:id="807"/>
      <w:bookmarkEnd w:id="808"/>
      <w:bookmarkEnd w:id="809"/>
      <w:bookmarkEnd w:id="810"/>
      <w:bookmarkEnd w:id="811"/>
      <w:bookmarkEnd w:id="812"/>
      <w:bookmarkEnd w:id="813"/>
      <w:r>
        <w:rPr>
          <w:rFonts w:hint="eastAsia" w:eastAsia="黑体"/>
          <w:color w:val="000000"/>
          <w:sz w:val="24"/>
          <w:szCs w:val="24"/>
          <w:lang w:val="zh-CN"/>
        </w:rPr>
        <w:t>表</w:t>
      </w:r>
      <w:bookmarkEnd w:id="814"/>
      <w:bookmarkEnd w:id="815"/>
      <w:bookmarkEnd w:id="816"/>
      <w:bookmarkEnd w:id="817"/>
      <w:bookmarkEnd w:id="818"/>
      <w:bookmarkEnd w:id="819"/>
    </w:p>
    <w:p w14:paraId="0BCDE95B">
      <w:pPr>
        <w:widowControl/>
        <w:spacing w:before="156" w:beforeLines="50" w:after="156" w:afterLines="50"/>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W w:w="94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1"/>
        <w:gridCol w:w="630"/>
        <w:gridCol w:w="4020"/>
        <w:gridCol w:w="3135"/>
        <w:gridCol w:w="544"/>
        <w:gridCol w:w="544"/>
      </w:tblGrid>
      <w:tr w14:paraId="40823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C8EBC39">
            <w:pPr>
              <w:widowControl/>
              <w:jc w:val="center"/>
              <w:textAlignment w:val="center"/>
              <w:rPr>
                <w:color w:val="000000"/>
                <w:szCs w:val="21"/>
              </w:rPr>
            </w:pPr>
            <w:r>
              <w:rPr>
                <w:color w:val="000000"/>
                <w:kern w:val="0"/>
                <w:szCs w:val="21"/>
              </w:rPr>
              <w:t>序号</w:t>
            </w:r>
          </w:p>
        </w:tc>
        <w:tc>
          <w:tcPr>
            <w:tcW w:w="4650" w:type="dxa"/>
            <w:gridSpan w:val="2"/>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657E16F">
            <w:pPr>
              <w:widowControl/>
              <w:jc w:val="center"/>
              <w:textAlignment w:val="center"/>
              <w:rPr>
                <w:color w:val="000000"/>
                <w:szCs w:val="21"/>
              </w:rPr>
            </w:pPr>
            <w:r>
              <w:rPr>
                <w:color w:val="000000"/>
                <w:kern w:val="0"/>
                <w:szCs w:val="21"/>
              </w:rPr>
              <w:t>检查项目</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E8D99B0">
            <w:pPr>
              <w:widowControl/>
              <w:jc w:val="center"/>
              <w:textAlignment w:val="center"/>
              <w:rPr>
                <w:color w:val="000000"/>
                <w:szCs w:val="21"/>
              </w:rPr>
            </w:pPr>
            <w:r>
              <w:rPr>
                <w:color w:val="000000"/>
                <w:kern w:val="0"/>
                <w:szCs w:val="21"/>
              </w:rPr>
              <w:t>检查情况</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C4D2C2E">
            <w:pPr>
              <w:widowControl/>
              <w:jc w:val="center"/>
              <w:textAlignment w:val="center"/>
              <w:rPr>
                <w:color w:val="000000"/>
                <w:kern w:val="0"/>
                <w:szCs w:val="21"/>
              </w:rPr>
            </w:pPr>
            <w:r>
              <w:rPr>
                <w:color w:val="000000"/>
                <w:kern w:val="0"/>
                <w:szCs w:val="21"/>
              </w:rPr>
              <w:t>应得分</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5237D44">
            <w:pPr>
              <w:widowControl/>
              <w:jc w:val="center"/>
              <w:textAlignment w:val="center"/>
              <w:rPr>
                <w:color w:val="000000"/>
                <w:szCs w:val="21"/>
              </w:rPr>
            </w:pPr>
            <w:r>
              <w:rPr>
                <w:color w:val="000000"/>
                <w:kern w:val="0"/>
                <w:szCs w:val="21"/>
              </w:rPr>
              <w:t>实得分</w:t>
            </w:r>
          </w:p>
        </w:tc>
      </w:tr>
      <w:tr w14:paraId="25975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F5070BF">
            <w:pPr>
              <w:widowControl/>
              <w:jc w:val="center"/>
              <w:textAlignment w:val="center"/>
              <w:rPr>
                <w:color w:val="000000"/>
                <w:szCs w:val="21"/>
              </w:rPr>
            </w:pPr>
            <w:r>
              <w:rPr>
                <w:color w:val="000000"/>
                <w:kern w:val="0"/>
                <w:szCs w:val="21"/>
              </w:rPr>
              <w:t>1</w:t>
            </w:r>
          </w:p>
        </w:tc>
        <w:tc>
          <w:tcPr>
            <w:tcW w:w="630"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7A14AFC">
            <w:pPr>
              <w:widowControl/>
              <w:jc w:val="center"/>
              <w:textAlignment w:val="center"/>
              <w:rPr>
                <w:color w:val="000000"/>
                <w:szCs w:val="21"/>
              </w:rPr>
            </w:pPr>
            <w:r>
              <w:rPr>
                <w:color w:val="000000"/>
                <w:szCs w:val="21"/>
              </w:rPr>
              <w:t>给</w:t>
            </w:r>
          </w:p>
          <w:p w14:paraId="11EBC17E">
            <w:pPr>
              <w:widowControl/>
              <w:jc w:val="center"/>
              <w:textAlignment w:val="center"/>
              <w:rPr>
                <w:color w:val="000000"/>
                <w:szCs w:val="21"/>
              </w:rPr>
            </w:pPr>
            <w:r>
              <w:rPr>
                <w:color w:val="000000"/>
                <w:szCs w:val="21"/>
              </w:rPr>
              <w:t>排</w:t>
            </w:r>
          </w:p>
          <w:p w14:paraId="7410D733">
            <w:pPr>
              <w:widowControl/>
              <w:jc w:val="center"/>
              <w:textAlignment w:val="center"/>
              <w:rPr>
                <w:color w:val="000000"/>
                <w:szCs w:val="21"/>
              </w:rPr>
            </w:pPr>
            <w:r>
              <w:rPr>
                <w:color w:val="000000"/>
                <w:szCs w:val="21"/>
              </w:rPr>
              <w:t>水</w:t>
            </w:r>
          </w:p>
          <w:p w14:paraId="45569E44">
            <w:pPr>
              <w:widowControl/>
              <w:jc w:val="center"/>
              <w:textAlignment w:val="center"/>
              <w:rPr>
                <w:color w:val="000000"/>
                <w:szCs w:val="21"/>
              </w:rPr>
            </w:pPr>
            <w:r>
              <w:rPr>
                <w:color w:val="000000"/>
                <w:szCs w:val="21"/>
              </w:rPr>
              <w:t>及</w:t>
            </w:r>
          </w:p>
          <w:p w14:paraId="58A14936">
            <w:pPr>
              <w:pStyle w:val="2"/>
              <w:ind w:left="0" w:leftChars="0" w:firstLine="210" w:firstLineChars="100"/>
              <w:rPr>
                <w:color w:val="000000"/>
              </w:rPr>
            </w:pPr>
            <w:r>
              <w:rPr>
                <w:rFonts w:hint="eastAsia"/>
                <w:color w:val="000000"/>
              </w:rPr>
              <w:t>供</w:t>
            </w:r>
          </w:p>
          <w:p w14:paraId="14F20701">
            <w:pPr>
              <w:widowControl/>
              <w:jc w:val="center"/>
              <w:textAlignment w:val="center"/>
              <w:rPr>
                <w:color w:val="000000"/>
                <w:szCs w:val="21"/>
              </w:rPr>
            </w:pPr>
            <w:r>
              <w:rPr>
                <w:color w:val="000000"/>
                <w:szCs w:val="21"/>
              </w:rPr>
              <w:t>暖</w:t>
            </w: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F5FA81F">
            <w:pPr>
              <w:widowControl/>
              <w:jc w:val="left"/>
              <w:textAlignment w:val="center"/>
              <w:rPr>
                <w:color w:val="000000"/>
                <w:szCs w:val="21"/>
              </w:rPr>
            </w:pPr>
            <w:r>
              <w:rPr>
                <w:color w:val="000000"/>
                <w:kern w:val="0"/>
                <w:szCs w:val="21"/>
              </w:rPr>
              <w:t>主要施工方案编制及交底，测试仪器仪表校准证书</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D25CCEC">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29C72D1">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B1BB5CC">
            <w:pPr>
              <w:rPr>
                <w:color w:val="000000"/>
                <w:szCs w:val="21"/>
              </w:rPr>
            </w:pPr>
          </w:p>
        </w:tc>
      </w:tr>
      <w:tr w14:paraId="17D12D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E555993">
            <w:pPr>
              <w:widowControl/>
              <w:jc w:val="center"/>
              <w:textAlignment w:val="center"/>
              <w:rPr>
                <w:color w:val="000000"/>
                <w:szCs w:val="21"/>
              </w:rPr>
            </w:pPr>
            <w:r>
              <w:rPr>
                <w:color w:val="000000"/>
                <w:kern w:val="0"/>
                <w:szCs w:val="21"/>
              </w:rPr>
              <w:t>2</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093A4E6">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887EE73">
            <w:pPr>
              <w:widowControl/>
              <w:jc w:val="left"/>
              <w:textAlignment w:val="center"/>
              <w:rPr>
                <w:color w:val="000000"/>
                <w:szCs w:val="21"/>
              </w:rPr>
            </w:pPr>
            <w:r>
              <w:rPr>
                <w:color w:val="000000"/>
                <w:kern w:val="0"/>
                <w:szCs w:val="21"/>
              </w:rPr>
              <w:t>设备及主要</w:t>
            </w:r>
            <w:r>
              <w:rPr>
                <w:rFonts w:hint="eastAsia"/>
                <w:color w:val="000000"/>
                <w:kern w:val="0"/>
                <w:szCs w:val="21"/>
              </w:rPr>
              <w:t>材料</w:t>
            </w:r>
            <w:r>
              <w:rPr>
                <w:color w:val="000000"/>
                <w:kern w:val="0"/>
                <w:szCs w:val="21"/>
              </w:rPr>
              <w:t>合格证、性能检测报告、出厂检验报告，见证取样复试报告。进口设备的商检合格证明文件</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783FEBB">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C862EE4">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118AA70">
            <w:pPr>
              <w:rPr>
                <w:color w:val="000000"/>
                <w:szCs w:val="21"/>
              </w:rPr>
            </w:pPr>
          </w:p>
        </w:tc>
      </w:tr>
      <w:tr w14:paraId="63BFD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401FD0B">
            <w:pPr>
              <w:widowControl/>
              <w:jc w:val="center"/>
              <w:textAlignment w:val="center"/>
              <w:rPr>
                <w:color w:val="000000"/>
                <w:szCs w:val="21"/>
              </w:rPr>
            </w:pPr>
            <w:r>
              <w:rPr>
                <w:color w:val="000000"/>
                <w:kern w:val="0"/>
                <w:szCs w:val="21"/>
              </w:rPr>
              <w:t>3</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0FBD1C9">
            <w:pPr>
              <w:widowControl/>
              <w:jc w:val="center"/>
              <w:textAlignment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4AA9823">
            <w:pPr>
              <w:widowControl/>
              <w:jc w:val="left"/>
              <w:textAlignment w:val="center"/>
              <w:rPr>
                <w:color w:val="000000"/>
                <w:szCs w:val="21"/>
              </w:rPr>
            </w:pPr>
            <w:r>
              <w:rPr>
                <w:color w:val="000000"/>
                <w:kern w:val="0"/>
                <w:szCs w:val="21"/>
              </w:rPr>
              <w:t>管道补偿器</w:t>
            </w:r>
            <w:r>
              <w:rPr>
                <w:rFonts w:hint="eastAsia"/>
                <w:color w:val="000000"/>
                <w:kern w:val="0"/>
                <w:szCs w:val="21"/>
              </w:rPr>
              <w:t>安装、预拉伸记录。</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25508D7">
            <w:pPr>
              <w:jc w:val="center"/>
              <w:rPr>
                <w:color w:val="000000"/>
                <w:szCs w:val="21"/>
              </w:rPr>
            </w:pPr>
          </w:p>
        </w:tc>
        <w:tc>
          <w:tcPr>
            <w:tcW w:w="544"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92BFFCE">
            <w:pPr>
              <w:jc w:val="center"/>
              <w:rPr>
                <w:color w:val="000000"/>
                <w:szCs w:val="21"/>
              </w:rPr>
            </w:pPr>
            <w:r>
              <w:rPr>
                <w:rFonts w:hint="eastAsia"/>
                <w:color w:val="000000"/>
                <w:szCs w:val="21"/>
              </w:rPr>
              <w:t>3</w:t>
            </w:r>
          </w:p>
        </w:tc>
        <w:tc>
          <w:tcPr>
            <w:tcW w:w="544"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875EA3C">
            <w:pPr>
              <w:rPr>
                <w:color w:val="000000"/>
                <w:szCs w:val="21"/>
              </w:rPr>
            </w:pPr>
          </w:p>
        </w:tc>
      </w:tr>
      <w:tr w14:paraId="1B26C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65E5116">
            <w:pPr>
              <w:widowControl/>
              <w:jc w:val="center"/>
              <w:textAlignment w:val="center"/>
              <w:rPr>
                <w:color w:val="000000"/>
                <w:szCs w:val="21"/>
              </w:rPr>
            </w:pPr>
            <w:r>
              <w:rPr>
                <w:color w:val="000000"/>
                <w:kern w:val="0"/>
                <w:szCs w:val="21"/>
              </w:rPr>
              <w:t>4</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170D591">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25087BA">
            <w:pPr>
              <w:widowControl/>
              <w:jc w:val="left"/>
              <w:textAlignment w:val="center"/>
              <w:rPr>
                <w:color w:val="000000"/>
                <w:szCs w:val="21"/>
              </w:rPr>
            </w:pPr>
            <w:r>
              <w:rPr>
                <w:color w:val="000000"/>
                <w:kern w:val="0"/>
                <w:szCs w:val="21"/>
              </w:rPr>
              <w:t>承压管道、设备强度及严密性试验</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DFF0665">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09F7722">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C4312D6">
            <w:pPr>
              <w:rPr>
                <w:color w:val="000000"/>
                <w:szCs w:val="21"/>
              </w:rPr>
            </w:pPr>
          </w:p>
        </w:tc>
      </w:tr>
      <w:tr w14:paraId="58DB2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552AEA2">
            <w:pPr>
              <w:widowControl/>
              <w:jc w:val="center"/>
              <w:textAlignment w:val="center"/>
              <w:rPr>
                <w:color w:val="000000"/>
                <w:szCs w:val="21"/>
              </w:rPr>
            </w:pPr>
            <w:r>
              <w:rPr>
                <w:color w:val="000000"/>
                <w:kern w:val="0"/>
                <w:szCs w:val="21"/>
              </w:rPr>
              <w:t>5</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721CBCF">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32CBB67">
            <w:pPr>
              <w:widowControl/>
              <w:jc w:val="left"/>
              <w:textAlignment w:val="center"/>
              <w:rPr>
                <w:color w:val="000000"/>
                <w:szCs w:val="21"/>
              </w:rPr>
            </w:pPr>
            <w:r>
              <w:rPr>
                <w:color w:val="000000"/>
                <w:kern w:val="0"/>
                <w:szCs w:val="21"/>
              </w:rPr>
              <w:t>生活给水管道冲洗消毒记录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190510D">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38FDB5A">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338DD37">
            <w:pPr>
              <w:rPr>
                <w:color w:val="000000"/>
                <w:szCs w:val="21"/>
              </w:rPr>
            </w:pPr>
          </w:p>
        </w:tc>
      </w:tr>
      <w:tr w14:paraId="4B52E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791B107">
            <w:pPr>
              <w:widowControl/>
              <w:jc w:val="center"/>
              <w:textAlignment w:val="center"/>
              <w:rPr>
                <w:color w:val="000000"/>
                <w:szCs w:val="21"/>
              </w:rPr>
            </w:pPr>
            <w:r>
              <w:rPr>
                <w:color w:val="000000"/>
                <w:kern w:val="0"/>
                <w:szCs w:val="21"/>
              </w:rPr>
              <w:t>6</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EA600D6">
            <w:pPr>
              <w:widowControl/>
              <w:jc w:val="center"/>
              <w:textAlignment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D4562C3">
            <w:pPr>
              <w:widowControl/>
              <w:jc w:val="left"/>
              <w:textAlignment w:val="center"/>
              <w:rPr>
                <w:color w:val="000000"/>
                <w:szCs w:val="21"/>
              </w:rPr>
            </w:pPr>
            <w:r>
              <w:rPr>
                <w:color w:val="000000"/>
                <w:kern w:val="0"/>
                <w:szCs w:val="21"/>
              </w:rPr>
              <w:t>阀门、散热器</w:t>
            </w:r>
            <w:r>
              <w:rPr>
                <w:rFonts w:hint="eastAsia"/>
                <w:color w:val="000000"/>
                <w:kern w:val="0"/>
                <w:szCs w:val="21"/>
              </w:rPr>
              <w:t>、集分水器等</w:t>
            </w:r>
            <w:r>
              <w:rPr>
                <w:color w:val="000000"/>
                <w:kern w:val="0"/>
                <w:szCs w:val="21"/>
              </w:rPr>
              <w:t>安装前强度及严密性试验</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643358D">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BCD14F9">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7CE5588">
            <w:pPr>
              <w:rPr>
                <w:color w:val="000000"/>
                <w:szCs w:val="21"/>
              </w:rPr>
            </w:pPr>
          </w:p>
        </w:tc>
      </w:tr>
      <w:tr w14:paraId="4A73C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36DBEA4">
            <w:pPr>
              <w:widowControl/>
              <w:jc w:val="center"/>
              <w:textAlignment w:val="center"/>
              <w:rPr>
                <w:color w:val="000000"/>
                <w:szCs w:val="21"/>
              </w:rPr>
            </w:pPr>
            <w:r>
              <w:rPr>
                <w:color w:val="000000"/>
                <w:kern w:val="0"/>
                <w:szCs w:val="21"/>
              </w:rPr>
              <w:t>7</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D0554D3">
            <w:pPr>
              <w:widowControl/>
              <w:jc w:val="center"/>
              <w:textAlignment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7B10616">
            <w:pPr>
              <w:widowControl/>
              <w:jc w:val="left"/>
              <w:textAlignment w:val="center"/>
              <w:rPr>
                <w:color w:val="000000"/>
                <w:szCs w:val="21"/>
              </w:rPr>
            </w:pPr>
            <w:r>
              <w:rPr>
                <w:color w:val="000000"/>
                <w:kern w:val="0"/>
                <w:szCs w:val="21"/>
              </w:rPr>
              <w:t>系统通水试验</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A6BDC3B">
            <w:pPr>
              <w:jc w:val="center"/>
              <w:rPr>
                <w:rFonts w:eastAsia="仿宋_GB2312"/>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1CEB834">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459E7E7">
            <w:pPr>
              <w:rPr>
                <w:color w:val="000000"/>
                <w:szCs w:val="21"/>
              </w:rPr>
            </w:pPr>
          </w:p>
        </w:tc>
      </w:tr>
      <w:tr w14:paraId="0F76D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2A5C28A">
            <w:pPr>
              <w:widowControl/>
              <w:jc w:val="center"/>
              <w:textAlignment w:val="center"/>
              <w:rPr>
                <w:color w:val="000000"/>
                <w:szCs w:val="21"/>
              </w:rPr>
            </w:pPr>
            <w:r>
              <w:rPr>
                <w:color w:val="000000"/>
                <w:kern w:val="0"/>
                <w:szCs w:val="21"/>
              </w:rPr>
              <w:t>8</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F2C2392">
            <w:pPr>
              <w:widowControl/>
              <w:jc w:val="center"/>
              <w:textAlignment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4F9EE03">
            <w:pPr>
              <w:widowControl/>
              <w:jc w:val="left"/>
              <w:textAlignment w:val="center"/>
              <w:rPr>
                <w:color w:val="000000"/>
                <w:szCs w:val="21"/>
              </w:rPr>
            </w:pPr>
            <w:r>
              <w:rPr>
                <w:color w:val="000000"/>
                <w:kern w:val="0"/>
                <w:szCs w:val="21"/>
              </w:rPr>
              <w:t>生活用水水质检测报告、游泳池水质检测报告</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C5C145C">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1968544">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150819A">
            <w:pPr>
              <w:rPr>
                <w:color w:val="000000"/>
                <w:szCs w:val="21"/>
              </w:rPr>
            </w:pPr>
          </w:p>
        </w:tc>
      </w:tr>
      <w:tr w14:paraId="23D35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50E9DE4">
            <w:pPr>
              <w:widowControl/>
              <w:jc w:val="center"/>
              <w:textAlignment w:val="center"/>
              <w:rPr>
                <w:color w:val="000000"/>
                <w:szCs w:val="21"/>
              </w:rPr>
            </w:pPr>
            <w:r>
              <w:rPr>
                <w:color w:val="000000"/>
                <w:kern w:val="0"/>
                <w:szCs w:val="21"/>
              </w:rPr>
              <w:t>9</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CE6AB8C">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E3CCAE2">
            <w:pPr>
              <w:widowControl/>
              <w:jc w:val="left"/>
              <w:textAlignment w:val="center"/>
              <w:rPr>
                <w:color w:val="000000"/>
                <w:szCs w:val="21"/>
              </w:rPr>
            </w:pPr>
            <w:r>
              <w:rPr>
                <w:color w:val="000000"/>
                <w:kern w:val="0"/>
                <w:szCs w:val="21"/>
              </w:rPr>
              <w:t>无压管道、设备灌水试验</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CD24F4F">
            <w:pPr>
              <w:jc w:val="center"/>
              <w:rPr>
                <w:color w:val="000000"/>
                <w:szCs w:val="21"/>
              </w:rPr>
            </w:pP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4759730">
            <w:pPr>
              <w:jc w:val="center"/>
              <w:rPr>
                <w:color w:val="000000"/>
                <w:szCs w:val="21"/>
              </w:rPr>
            </w:pPr>
            <w:r>
              <w:rPr>
                <w:rFonts w:hint="eastAsia"/>
                <w:color w:val="000000"/>
                <w:szCs w:val="21"/>
              </w:rPr>
              <w:t>3</w:t>
            </w: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BC98EB0">
            <w:pPr>
              <w:rPr>
                <w:color w:val="000000"/>
                <w:szCs w:val="21"/>
              </w:rPr>
            </w:pPr>
          </w:p>
        </w:tc>
      </w:tr>
      <w:tr w14:paraId="529C5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ED8648B">
            <w:pPr>
              <w:widowControl/>
              <w:jc w:val="center"/>
              <w:textAlignment w:val="center"/>
              <w:rPr>
                <w:color w:val="000000"/>
                <w:szCs w:val="21"/>
              </w:rPr>
            </w:pPr>
            <w:r>
              <w:rPr>
                <w:color w:val="000000"/>
                <w:kern w:val="0"/>
                <w:szCs w:val="21"/>
              </w:rPr>
              <w:t>10</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1CC69B8">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00B38D3">
            <w:pPr>
              <w:widowControl/>
              <w:jc w:val="left"/>
              <w:textAlignment w:val="center"/>
              <w:rPr>
                <w:color w:val="000000"/>
                <w:szCs w:val="21"/>
              </w:rPr>
            </w:pPr>
            <w:r>
              <w:rPr>
                <w:color w:val="000000"/>
                <w:kern w:val="0"/>
                <w:szCs w:val="21"/>
              </w:rPr>
              <w:t>排水管道通球试验</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84A2E33">
            <w:pP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A471444">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5F9C677">
            <w:pPr>
              <w:rPr>
                <w:color w:val="000000"/>
                <w:szCs w:val="21"/>
              </w:rPr>
            </w:pPr>
          </w:p>
        </w:tc>
      </w:tr>
      <w:tr w14:paraId="5BA4B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F795FE3">
            <w:pPr>
              <w:widowControl/>
              <w:jc w:val="center"/>
              <w:textAlignment w:val="center"/>
              <w:rPr>
                <w:color w:val="000000"/>
                <w:szCs w:val="21"/>
              </w:rPr>
            </w:pPr>
            <w:r>
              <w:rPr>
                <w:color w:val="000000"/>
                <w:kern w:val="0"/>
                <w:szCs w:val="21"/>
              </w:rPr>
              <w:t>11</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EA5F22">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F5F1CA6">
            <w:pPr>
              <w:widowControl/>
              <w:jc w:val="left"/>
              <w:textAlignment w:val="center"/>
              <w:rPr>
                <w:color w:val="000000"/>
                <w:szCs w:val="21"/>
              </w:rPr>
            </w:pPr>
            <w:r>
              <w:rPr>
                <w:color w:val="000000"/>
                <w:kern w:val="0"/>
                <w:szCs w:val="21"/>
              </w:rPr>
              <w:t>卫生器具满水、通水试验</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A0D46EF">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B4D6CDA">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A792BCC">
            <w:pPr>
              <w:rPr>
                <w:color w:val="000000"/>
                <w:szCs w:val="21"/>
              </w:rPr>
            </w:pPr>
          </w:p>
        </w:tc>
      </w:tr>
      <w:tr w14:paraId="54342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672DA45">
            <w:pPr>
              <w:widowControl/>
              <w:jc w:val="center"/>
              <w:textAlignment w:val="center"/>
              <w:rPr>
                <w:color w:val="000000"/>
                <w:szCs w:val="21"/>
              </w:rPr>
            </w:pPr>
            <w:r>
              <w:rPr>
                <w:color w:val="000000"/>
                <w:kern w:val="0"/>
                <w:szCs w:val="21"/>
              </w:rPr>
              <w:t>12</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48C3D7">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773A6A">
            <w:pPr>
              <w:widowControl/>
              <w:jc w:val="left"/>
              <w:textAlignment w:val="center"/>
              <w:rPr>
                <w:color w:val="000000"/>
                <w:szCs w:val="21"/>
              </w:rPr>
            </w:pPr>
            <w:r>
              <w:rPr>
                <w:color w:val="000000"/>
                <w:kern w:val="0"/>
                <w:szCs w:val="21"/>
              </w:rPr>
              <w:t>闭式喷头</w:t>
            </w:r>
            <w:r>
              <w:rPr>
                <w:rFonts w:hint="eastAsia"/>
                <w:color w:val="000000"/>
                <w:kern w:val="0"/>
                <w:szCs w:val="21"/>
              </w:rPr>
              <w:t>密封性能试验</w:t>
            </w:r>
            <w:r>
              <w:rPr>
                <w:color w:val="000000"/>
                <w:kern w:val="0"/>
                <w:szCs w:val="21"/>
              </w:rPr>
              <w:t>、报警阀</w:t>
            </w:r>
            <w:r>
              <w:rPr>
                <w:rFonts w:hint="eastAsia"/>
                <w:color w:val="000000"/>
                <w:kern w:val="0"/>
                <w:szCs w:val="21"/>
              </w:rPr>
              <w:t>渗漏</w:t>
            </w:r>
            <w:r>
              <w:rPr>
                <w:color w:val="000000"/>
                <w:kern w:val="0"/>
                <w:szCs w:val="21"/>
              </w:rPr>
              <w:t>试验</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A0413CB">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A398193">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6B731EE">
            <w:pPr>
              <w:rPr>
                <w:color w:val="000000"/>
                <w:szCs w:val="21"/>
              </w:rPr>
            </w:pPr>
          </w:p>
        </w:tc>
      </w:tr>
      <w:tr w14:paraId="2BFE1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C25F87A">
            <w:pPr>
              <w:widowControl/>
              <w:jc w:val="center"/>
              <w:textAlignment w:val="center"/>
              <w:rPr>
                <w:color w:val="000000"/>
                <w:kern w:val="0"/>
                <w:szCs w:val="21"/>
              </w:rPr>
            </w:pPr>
            <w:r>
              <w:rPr>
                <w:color w:val="000000"/>
                <w:kern w:val="0"/>
                <w:szCs w:val="21"/>
              </w:rPr>
              <w:t>13</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B73723D">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D94D445">
            <w:pPr>
              <w:widowControl/>
              <w:jc w:val="left"/>
              <w:textAlignment w:val="center"/>
              <w:rPr>
                <w:color w:val="000000"/>
                <w:szCs w:val="21"/>
              </w:rPr>
            </w:pPr>
            <w:r>
              <w:rPr>
                <w:color w:val="000000"/>
                <w:kern w:val="0"/>
                <w:szCs w:val="21"/>
              </w:rPr>
              <w:t>安全阀、减压阀调试定压记录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03D42AA">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D08A910">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6DC8584">
            <w:pPr>
              <w:rPr>
                <w:color w:val="000000"/>
                <w:szCs w:val="21"/>
              </w:rPr>
            </w:pPr>
          </w:p>
        </w:tc>
      </w:tr>
      <w:tr w14:paraId="64C4E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F734555">
            <w:pPr>
              <w:widowControl/>
              <w:jc w:val="center"/>
              <w:textAlignment w:val="center"/>
              <w:rPr>
                <w:color w:val="000000"/>
                <w:kern w:val="0"/>
                <w:szCs w:val="21"/>
              </w:rPr>
            </w:pPr>
            <w:r>
              <w:rPr>
                <w:color w:val="000000"/>
                <w:kern w:val="0"/>
                <w:szCs w:val="21"/>
              </w:rPr>
              <w:t>14</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79C04CD">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3EB3E5C">
            <w:pPr>
              <w:widowControl/>
              <w:jc w:val="left"/>
              <w:textAlignment w:val="center"/>
              <w:rPr>
                <w:color w:val="000000"/>
                <w:szCs w:val="21"/>
              </w:rPr>
            </w:pPr>
            <w:r>
              <w:rPr>
                <w:color w:val="000000"/>
                <w:kern w:val="0"/>
                <w:szCs w:val="21"/>
              </w:rPr>
              <w:t>消火栓试射记录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782491D">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427604A">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4EADE36">
            <w:pPr>
              <w:rPr>
                <w:color w:val="000000"/>
                <w:szCs w:val="21"/>
              </w:rPr>
            </w:pPr>
          </w:p>
        </w:tc>
      </w:tr>
      <w:tr w14:paraId="2EEB4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71E615B">
            <w:pPr>
              <w:widowControl/>
              <w:jc w:val="center"/>
              <w:textAlignment w:val="center"/>
              <w:rPr>
                <w:color w:val="000000"/>
                <w:kern w:val="0"/>
                <w:szCs w:val="21"/>
              </w:rPr>
            </w:pPr>
            <w:r>
              <w:rPr>
                <w:color w:val="000000"/>
                <w:kern w:val="0"/>
                <w:szCs w:val="21"/>
              </w:rPr>
              <w:t>15</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72E48A8">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8C0CB28">
            <w:pPr>
              <w:widowControl/>
              <w:jc w:val="left"/>
              <w:textAlignment w:val="center"/>
              <w:rPr>
                <w:color w:val="000000"/>
                <w:szCs w:val="21"/>
              </w:rPr>
            </w:pPr>
            <w:r>
              <w:rPr>
                <w:color w:val="000000"/>
                <w:kern w:val="0"/>
                <w:szCs w:val="21"/>
              </w:rPr>
              <w:t>各类设备单机试运转记录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61923FF">
            <w:pPr>
              <w:jc w:val="center"/>
              <w:rPr>
                <w:color w:val="000000"/>
                <w:szCs w:val="21"/>
              </w:rPr>
            </w:pP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4863D0B">
            <w:pPr>
              <w:jc w:val="center"/>
              <w:rPr>
                <w:color w:val="000000"/>
                <w:szCs w:val="21"/>
              </w:rPr>
            </w:pPr>
            <w:r>
              <w:rPr>
                <w:rFonts w:hint="eastAsia"/>
                <w:color w:val="000000"/>
                <w:szCs w:val="21"/>
              </w:rPr>
              <w:t>3</w:t>
            </w: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889065E">
            <w:pPr>
              <w:rPr>
                <w:color w:val="000000"/>
                <w:szCs w:val="21"/>
              </w:rPr>
            </w:pPr>
          </w:p>
        </w:tc>
      </w:tr>
      <w:tr w14:paraId="0D933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BACBFE9">
            <w:pPr>
              <w:widowControl/>
              <w:jc w:val="center"/>
              <w:textAlignment w:val="center"/>
              <w:rPr>
                <w:color w:val="000000"/>
                <w:kern w:val="0"/>
                <w:szCs w:val="21"/>
              </w:rPr>
            </w:pPr>
            <w:r>
              <w:rPr>
                <w:color w:val="000000"/>
                <w:kern w:val="0"/>
                <w:szCs w:val="21"/>
              </w:rPr>
              <w:t>16</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7FF3399">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B15C5A4">
            <w:pPr>
              <w:widowControl/>
              <w:jc w:val="left"/>
              <w:textAlignment w:val="center"/>
              <w:rPr>
                <w:color w:val="000000"/>
                <w:szCs w:val="21"/>
              </w:rPr>
            </w:pPr>
            <w:r>
              <w:rPr>
                <w:rFonts w:hint="eastAsia"/>
                <w:color w:val="000000"/>
                <w:kern w:val="0"/>
                <w:szCs w:val="21"/>
              </w:rPr>
              <w:t>供</w:t>
            </w:r>
            <w:r>
              <w:rPr>
                <w:color w:val="000000"/>
                <w:kern w:val="0"/>
                <w:szCs w:val="21"/>
              </w:rPr>
              <w:t>暖系统、消防系统调试方案</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30C4FB6">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38A978F">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A80B9BA">
            <w:pPr>
              <w:rPr>
                <w:color w:val="000000"/>
                <w:szCs w:val="21"/>
              </w:rPr>
            </w:pPr>
          </w:p>
        </w:tc>
      </w:tr>
      <w:tr w14:paraId="66E0C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BA81897">
            <w:pPr>
              <w:widowControl/>
              <w:jc w:val="center"/>
              <w:textAlignment w:val="center"/>
              <w:rPr>
                <w:color w:val="000000"/>
                <w:kern w:val="0"/>
                <w:szCs w:val="21"/>
              </w:rPr>
            </w:pPr>
            <w:r>
              <w:rPr>
                <w:color w:val="000000"/>
                <w:kern w:val="0"/>
                <w:szCs w:val="21"/>
              </w:rPr>
              <w:t>17</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C66703B">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1AD068D">
            <w:pPr>
              <w:widowControl/>
              <w:jc w:val="left"/>
              <w:textAlignment w:val="center"/>
              <w:rPr>
                <w:color w:val="000000"/>
                <w:kern w:val="0"/>
                <w:szCs w:val="21"/>
              </w:rPr>
            </w:pPr>
            <w:r>
              <w:rPr>
                <w:rFonts w:hint="eastAsia"/>
                <w:color w:val="000000"/>
                <w:kern w:val="0"/>
                <w:szCs w:val="21"/>
              </w:rPr>
              <w:t>供</w:t>
            </w:r>
            <w:r>
              <w:rPr>
                <w:color w:val="000000"/>
                <w:kern w:val="0"/>
                <w:szCs w:val="21"/>
              </w:rPr>
              <w:t>暖系统、消防系统试运转记录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D6FB496">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2CC6664">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91F8756">
            <w:pPr>
              <w:rPr>
                <w:color w:val="000000"/>
                <w:szCs w:val="21"/>
              </w:rPr>
            </w:pPr>
          </w:p>
        </w:tc>
      </w:tr>
      <w:tr w14:paraId="11D34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7E32284">
            <w:pPr>
              <w:widowControl/>
              <w:jc w:val="center"/>
              <w:textAlignment w:val="center"/>
              <w:rPr>
                <w:color w:val="000000"/>
                <w:kern w:val="0"/>
                <w:szCs w:val="21"/>
              </w:rPr>
            </w:pPr>
            <w:r>
              <w:rPr>
                <w:color w:val="000000"/>
                <w:kern w:val="0"/>
                <w:szCs w:val="21"/>
              </w:rPr>
              <w:t>18</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3060581">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7CF1D81">
            <w:pPr>
              <w:widowControl/>
              <w:jc w:val="left"/>
              <w:textAlignment w:val="center"/>
              <w:rPr>
                <w:color w:val="000000"/>
                <w:kern w:val="0"/>
                <w:szCs w:val="21"/>
              </w:rPr>
            </w:pPr>
            <w:r>
              <w:rPr>
                <w:color w:val="000000"/>
                <w:kern w:val="0"/>
                <w:szCs w:val="21"/>
              </w:rPr>
              <w:t>主要部位隐蔽验收记录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7B4DA59">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CCCB70A">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F3B812B">
            <w:pPr>
              <w:rPr>
                <w:color w:val="000000"/>
                <w:szCs w:val="21"/>
              </w:rPr>
            </w:pPr>
          </w:p>
        </w:tc>
      </w:tr>
      <w:tr w14:paraId="51003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FC1346B">
            <w:pPr>
              <w:widowControl/>
              <w:jc w:val="center"/>
              <w:textAlignment w:val="center"/>
              <w:rPr>
                <w:color w:val="000000"/>
                <w:kern w:val="0"/>
                <w:szCs w:val="21"/>
              </w:rPr>
            </w:pPr>
            <w:r>
              <w:rPr>
                <w:color w:val="000000"/>
                <w:kern w:val="0"/>
                <w:szCs w:val="21"/>
              </w:rPr>
              <w:t>19</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07C38F5">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6169A34">
            <w:pPr>
              <w:widowControl/>
              <w:jc w:val="left"/>
              <w:textAlignment w:val="center"/>
              <w:rPr>
                <w:color w:val="000000"/>
                <w:kern w:val="0"/>
                <w:szCs w:val="21"/>
              </w:rPr>
            </w:pPr>
            <w:r>
              <w:rPr>
                <w:color w:val="000000"/>
                <w:kern w:val="0"/>
                <w:szCs w:val="21"/>
              </w:rPr>
              <w:t>检验批、分项、分部工程验收记录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AA8827E">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2626740">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5521235">
            <w:pPr>
              <w:rPr>
                <w:color w:val="000000"/>
                <w:szCs w:val="21"/>
              </w:rPr>
            </w:pPr>
          </w:p>
        </w:tc>
      </w:tr>
      <w:tr w14:paraId="0A032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DB7DC2F">
            <w:pPr>
              <w:widowControl/>
              <w:jc w:val="center"/>
              <w:textAlignment w:val="center"/>
              <w:rPr>
                <w:color w:val="000000"/>
                <w:kern w:val="0"/>
                <w:szCs w:val="21"/>
              </w:rPr>
            </w:pPr>
            <w:r>
              <w:rPr>
                <w:color w:val="000000"/>
                <w:kern w:val="0"/>
                <w:szCs w:val="21"/>
              </w:rPr>
              <w:t>20</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62D56C5">
            <w:pPr>
              <w:jc w:val="center"/>
              <w:rPr>
                <w:color w:val="00000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A6A07E2">
            <w:pPr>
              <w:widowControl/>
              <w:jc w:val="left"/>
              <w:textAlignment w:val="center"/>
              <w:rPr>
                <w:color w:val="000000"/>
                <w:kern w:val="0"/>
                <w:szCs w:val="21"/>
              </w:rPr>
            </w:pPr>
            <w:r>
              <w:rPr>
                <w:color w:val="000000"/>
                <w:kern w:val="0"/>
                <w:szCs w:val="21"/>
              </w:rPr>
              <w:t>竣工图、施工日志</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7F12435">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0D57235">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D4AE438">
            <w:pPr>
              <w:rPr>
                <w:color w:val="000000"/>
                <w:szCs w:val="21"/>
              </w:rPr>
            </w:pPr>
          </w:p>
        </w:tc>
      </w:tr>
    </w:tbl>
    <w:p w14:paraId="6C22255C">
      <w:pPr>
        <w:widowControl/>
        <w:jc w:val="center"/>
        <w:textAlignment w:val="center"/>
        <w:outlineLvl w:val="2"/>
        <w:rPr>
          <w:rFonts w:eastAsia="黑体"/>
          <w:color w:val="000000"/>
          <w:sz w:val="24"/>
          <w:szCs w:val="24"/>
          <w:lang w:val="zh-CN"/>
        </w:rPr>
      </w:pPr>
      <w:r>
        <w:rPr>
          <w:rFonts w:eastAsia="黑体"/>
          <w:color w:val="000000"/>
          <w:kern w:val="0"/>
          <w:sz w:val="24"/>
        </w:rPr>
        <w:br w:type="page"/>
      </w:r>
      <w:bookmarkStart w:id="820" w:name="_Toc7967"/>
      <w:bookmarkStart w:id="821" w:name="_Toc19596"/>
      <w:bookmarkStart w:id="822" w:name="_Toc3688"/>
      <w:bookmarkStart w:id="823" w:name="_Toc22490"/>
      <w:bookmarkStart w:id="824" w:name="_Toc19095"/>
      <w:bookmarkStart w:id="825" w:name="_Toc6765"/>
      <w:bookmarkStart w:id="826" w:name="_Toc27565"/>
      <w:bookmarkStart w:id="827" w:name="_Toc26597"/>
      <w:bookmarkStart w:id="828" w:name="_Toc25469"/>
      <w:bookmarkStart w:id="829" w:name="_Toc24542"/>
      <w:bookmarkStart w:id="830" w:name="_Toc7270"/>
      <w:bookmarkStart w:id="831" w:name="_Toc7363"/>
      <w:bookmarkStart w:id="832" w:name="_Toc10745"/>
      <w:bookmarkStart w:id="833" w:name="_Toc1578"/>
      <w:r>
        <w:rPr>
          <w:rFonts w:eastAsia="黑体"/>
          <w:color w:val="000000"/>
          <w:sz w:val="24"/>
          <w:szCs w:val="24"/>
          <w:lang w:val="zh-CN"/>
        </w:rPr>
        <w:t>续表</w:t>
      </w:r>
      <w:bookmarkEnd w:id="820"/>
      <w:bookmarkEnd w:id="821"/>
      <w:bookmarkEnd w:id="822"/>
      <w:bookmarkEnd w:id="823"/>
      <w:bookmarkEnd w:id="824"/>
      <w:bookmarkEnd w:id="825"/>
      <w:bookmarkEnd w:id="826"/>
      <w:bookmarkEnd w:id="827"/>
      <w:bookmarkEnd w:id="828"/>
      <w:r>
        <w:rPr>
          <w:rFonts w:eastAsia="黑体"/>
          <w:color w:val="000000"/>
          <w:sz w:val="24"/>
          <w:szCs w:val="24"/>
        </w:rPr>
        <w:t>D</w:t>
      </w:r>
      <w:r>
        <w:rPr>
          <w:rFonts w:eastAsia="黑体"/>
          <w:color w:val="000000"/>
          <w:sz w:val="24"/>
          <w:szCs w:val="24"/>
          <w:lang w:val="zh-CN"/>
        </w:rPr>
        <w:t>.0.</w:t>
      </w:r>
      <w:r>
        <w:rPr>
          <w:rFonts w:hint="eastAsia" w:eastAsia="黑体"/>
          <w:color w:val="000000"/>
          <w:sz w:val="24"/>
          <w:szCs w:val="24"/>
        </w:rPr>
        <w:t>3</w:t>
      </w:r>
      <w:bookmarkEnd w:id="829"/>
      <w:bookmarkEnd w:id="830"/>
      <w:bookmarkEnd w:id="831"/>
      <w:bookmarkEnd w:id="832"/>
      <w:bookmarkEnd w:id="833"/>
    </w:p>
    <w:p w14:paraId="5011FEBE">
      <w:pPr>
        <w:widowControl/>
        <w:spacing w:before="156" w:beforeLines="50" w:after="156" w:afterLines="50"/>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W w:w="94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1"/>
        <w:gridCol w:w="630"/>
        <w:gridCol w:w="4020"/>
        <w:gridCol w:w="3135"/>
        <w:gridCol w:w="544"/>
        <w:gridCol w:w="544"/>
      </w:tblGrid>
      <w:tr w14:paraId="3F7EC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4F9B2D6">
            <w:pPr>
              <w:widowControl/>
              <w:jc w:val="center"/>
              <w:textAlignment w:val="center"/>
              <w:rPr>
                <w:color w:val="000000"/>
                <w:szCs w:val="21"/>
              </w:rPr>
            </w:pPr>
            <w:r>
              <w:rPr>
                <w:color w:val="000000"/>
                <w:kern w:val="0"/>
                <w:szCs w:val="21"/>
              </w:rPr>
              <w:t>序号</w:t>
            </w:r>
          </w:p>
        </w:tc>
        <w:tc>
          <w:tcPr>
            <w:tcW w:w="4650" w:type="dxa"/>
            <w:gridSpan w:val="2"/>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7A31302">
            <w:pPr>
              <w:widowControl/>
              <w:jc w:val="center"/>
              <w:textAlignment w:val="center"/>
              <w:rPr>
                <w:color w:val="000000"/>
                <w:szCs w:val="21"/>
              </w:rPr>
            </w:pPr>
            <w:r>
              <w:rPr>
                <w:color w:val="000000"/>
                <w:kern w:val="0"/>
                <w:szCs w:val="21"/>
              </w:rPr>
              <w:t>检查项目</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CD567A3">
            <w:pPr>
              <w:widowControl/>
              <w:jc w:val="center"/>
              <w:textAlignment w:val="center"/>
              <w:rPr>
                <w:color w:val="000000"/>
                <w:szCs w:val="21"/>
              </w:rPr>
            </w:pPr>
            <w:r>
              <w:rPr>
                <w:color w:val="000000"/>
                <w:kern w:val="0"/>
                <w:szCs w:val="21"/>
              </w:rPr>
              <w:t>检查情况</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FA4F223">
            <w:pPr>
              <w:widowControl/>
              <w:jc w:val="center"/>
              <w:textAlignment w:val="center"/>
              <w:rPr>
                <w:color w:val="000000"/>
                <w:kern w:val="0"/>
                <w:szCs w:val="21"/>
              </w:rPr>
            </w:pPr>
            <w:r>
              <w:rPr>
                <w:color w:val="000000"/>
                <w:kern w:val="0"/>
                <w:szCs w:val="21"/>
              </w:rPr>
              <w:t>应得分</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DCA3646">
            <w:pPr>
              <w:widowControl/>
              <w:jc w:val="center"/>
              <w:textAlignment w:val="center"/>
              <w:rPr>
                <w:color w:val="000000"/>
                <w:szCs w:val="21"/>
              </w:rPr>
            </w:pPr>
            <w:r>
              <w:rPr>
                <w:color w:val="000000"/>
                <w:kern w:val="0"/>
                <w:szCs w:val="21"/>
              </w:rPr>
              <w:t>实得分</w:t>
            </w:r>
          </w:p>
        </w:tc>
      </w:tr>
      <w:tr w14:paraId="7692F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FC8D8F7">
            <w:pPr>
              <w:widowControl/>
              <w:jc w:val="center"/>
              <w:textAlignment w:val="center"/>
              <w:rPr>
                <w:color w:val="000000"/>
                <w:szCs w:val="21"/>
              </w:rPr>
            </w:pPr>
            <w:r>
              <w:rPr>
                <w:color w:val="000000"/>
                <w:kern w:val="0"/>
                <w:szCs w:val="21"/>
              </w:rPr>
              <w:t>21</w:t>
            </w:r>
          </w:p>
        </w:tc>
        <w:tc>
          <w:tcPr>
            <w:tcW w:w="630"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4B3542B">
            <w:pPr>
              <w:widowControl/>
              <w:jc w:val="center"/>
              <w:textAlignment w:val="center"/>
              <w:rPr>
                <w:color w:val="000000"/>
                <w:kern w:val="0"/>
                <w:szCs w:val="21"/>
              </w:rPr>
            </w:pPr>
            <w:r>
              <w:rPr>
                <w:color w:val="000000"/>
                <w:kern w:val="0"/>
                <w:szCs w:val="21"/>
              </w:rPr>
              <w:t>通</w:t>
            </w:r>
          </w:p>
          <w:p w14:paraId="61682BC2">
            <w:pPr>
              <w:widowControl/>
              <w:jc w:val="center"/>
              <w:textAlignment w:val="center"/>
              <w:rPr>
                <w:color w:val="000000"/>
                <w:kern w:val="0"/>
                <w:szCs w:val="21"/>
              </w:rPr>
            </w:pPr>
            <w:r>
              <w:rPr>
                <w:color w:val="000000"/>
                <w:kern w:val="0"/>
                <w:szCs w:val="21"/>
              </w:rPr>
              <w:t>风</w:t>
            </w:r>
          </w:p>
          <w:p w14:paraId="5448F5AB">
            <w:pPr>
              <w:widowControl/>
              <w:jc w:val="center"/>
              <w:textAlignment w:val="center"/>
              <w:rPr>
                <w:color w:val="000000"/>
                <w:kern w:val="0"/>
                <w:szCs w:val="21"/>
              </w:rPr>
            </w:pPr>
            <w:r>
              <w:rPr>
                <w:color w:val="000000"/>
                <w:kern w:val="0"/>
                <w:szCs w:val="21"/>
              </w:rPr>
              <w:t>与</w:t>
            </w:r>
          </w:p>
          <w:p w14:paraId="2C67E335">
            <w:pPr>
              <w:widowControl/>
              <w:jc w:val="center"/>
              <w:textAlignment w:val="center"/>
              <w:rPr>
                <w:color w:val="000000"/>
                <w:kern w:val="0"/>
                <w:szCs w:val="21"/>
              </w:rPr>
            </w:pPr>
            <w:r>
              <w:rPr>
                <w:color w:val="000000"/>
                <w:kern w:val="0"/>
                <w:szCs w:val="21"/>
              </w:rPr>
              <w:t>空</w:t>
            </w:r>
          </w:p>
          <w:p w14:paraId="35D5727B">
            <w:pPr>
              <w:widowControl/>
              <w:jc w:val="center"/>
              <w:textAlignment w:val="center"/>
              <w:rPr>
                <w:color w:val="000000"/>
                <w:kern w:val="0"/>
                <w:szCs w:val="21"/>
              </w:rPr>
            </w:pPr>
            <w:r>
              <w:rPr>
                <w:color w:val="000000"/>
                <w:kern w:val="0"/>
                <w:szCs w:val="21"/>
              </w:rPr>
              <w:t>调</w:t>
            </w: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0CE4E19">
            <w:pPr>
              <w:widowControl/>
              <w:jc w:val="left"/>
              <w:textAlignment w:val="center"/>
              <w:rPr>
                <w:color w:val="000000"/>
                <w:szCs w:val="21"/>
              </w:rPr>
            </w:pPr>
            <w:r>
              <w:rPr>
                <w:color w:val="000000"/>
                <w:kern w:val="0"/>
                <w:sz w:val="22"/>
                <w:szCs w:val="22"/>
              </w:rPr>
              <w:t>主要施工方案及交底，测试仪器仪表校准证书</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62BA8B6">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3E0DC54">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E1C960">
            <w:pPr>
              <w:rPr>
                <w:color w:val="000000"/>
                <w:szCs w:val="21"/>
              </w:rPr>
            </w:pPr>
          </w:p>
        </w:tc>
      </w:tr>
      <w:tr w14:paraId="60BD3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540B2BD">
            <w:pPr>
              <w:widowControl/>
              <w:jc w:val="center"/>
              <w:textAlignment w:val="center"/>
              <w:rPr>
                <w:color w:val="000000"/>
                <w:szCs w:val="21"/>
              </w:rPr>
            </w:pPr>
            <w:r>
              <w:rPr>
                <w:color w:val="000000"/>
                <w:kern w:val="0"/>
                <w:szCs w:val="21"/>
              </w:rPr>
              <w:t>22</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4BB65DF">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70FC759">
            <w:pPr>
              <w:widowControl/>
              <w:jc w:val="left"/>
              <w:textAlignment w:val="center"/>
              <w:rPr>
                <w:color w:val="000000"/>
                <w:szCs w:val="21"/>
              </w:rPr>
            </w:pPr>
            <w:r>
              <w:rPr>
                <w:color w:val="000000"/>
                <w:kern w:val="0"/>
                <w:sz w:val="22"/>
                <w:szCs w:val="22"/>
              </w:rPr>
              <w:t>设备及主要管材合格证、性能检测报告、出厂检验报告，见证取样复试报告。进口设备的商检合格证明文件</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2648E79">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846CE12">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DAB817A">
            <w:pPr>
              <w:rPr>
                <w:color w:val="000000"/>
                <w:szCs w:val="21"/>
              </w:rPr>
            </w:pPr>
          </w:p>
        </w:tc>
      </w:tr>
      <w:tr w14:paraId="76BF7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E64F3CE">
            <w:pPr>
              <w:widowControl/>
              <w:jc w:val="center"/>
              <w:textAlignment w:val="center"/>
              <w:rPr>
                <w:color w:val="000000"/>
                <w:szCs w:val="21"/>
              </w:rPr>
            </w:pPr>
            <w:r>
              <w:rPr>
                <w:color w:val="000000"/>
                <w:kern w:val="0"/>
                <w:szCs w:val="21"/>
              </w:rPr>
              <w:t>23</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22AA38A">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486DA50">
            <w:pPr>
              <w:widowControl/>
              <w:jc w:val="left"/>
              <w:textAlignment w:val="center"/>
              <w:rPr>
                <w:color w:val="000000"/>
                <w:szCs w:val="21"/>
              </w:rPr>
            </w:pPr>
            <w:r>
              <w:rPr>
                <w:color w:val="000000"/>
                <w:kern w:val="0"/>
                <w:sz w:val="22"/>
                <w:szCs w:val="22"/>
              </w:rPr>
              <w:t>管道补偿器</w:t>
            </w:r>
            <w:r>
              <w:rPr>
                <w:rFonts w:hint="eastAsia"/>
                <w:color w:val="000000"/>
                <w:kern w:val="0"/>
                <w:sz w:val="22"/>
                <w:szCs w:val="22"/>
              </w:rPr>
              <w:t>安装、</w:t>
            </w:r>
            <w:r>
              <w:rPr>
                <w:color w:val="000000"/>
                <w:kern w:val="0"/>
                <w:sz w:val="22"/>
                <w:szCs w:val="22"/>
              </w:rPr>
              <w:t>预拉伸（预压缩）记录</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5D3385D">
            <w:pPr>
              <w:jc w:val="center"/>
              <w:rPr>
                <w:color w:val="000000"/>
                <w:szCs w:val="21"/>
              </w:rPr>
            </w:pP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ADF2980">
            <w:pPr>
              <w:jc w:val="center"/>
              <w:rPr>
                <w:color w:val="000000"/>
                <w:szCs w:val="21"/>
              </w:rPr>
            </w:pPr>
            <w:r>
              <w:rPr>
                <w:rFonts w:hint="eastAsia"/>
                <w:color w:val="000000"/>
                <w:szCs w:val="21"/>
              </w:rPr>
              <w:t>3</w:t>
            </w: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55EAC7F">
            <w:pPr>
              <w:rPr>
                <w:color w:val="000000"/>
                <w:szCs w:val="21"/>
              </w:rPr>
            </w:pPr>
          </w:p>
        </w:tc>
      </w:tr>
      <w:tr w14:paraId="51C37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8A37FEB">
            <w:pPr>
              <w:widowControl/>
              <w:jc w:val="center"/>
              <w:textAlignment w:val="center"/>
              <w:rPr>
                <w:color w:val="000000"/>
                <w:szCs w:val="21"/>
              </w:rPr>
            </w:pPr>
            <w:r>
              <w:rPr>
                <w:color w:val="000000"/>
                <w:kern w:val="0"/>
                <w:szCs w:val="21"/>
              </w:rPr>
              <w:t>24</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01ED2BB">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8DA6AB5">
            <w:pPr>
              <w:widowControl/>
              <w:jc w:val="left"/>
              <w:textAlignment w:val="center"/>
              <w:rPr>
                <w:color w:val="000000"/>
                <w:szCs w:val="21"/>
              </w:rPr>
            </w:pPr>
            <w:r>
              <w:rPr>
                <w:color w:val="000000"/>
                <w:kern w:val="0"/>
                <w:sz w:val="22"/>
                <w:szCs w:val="22"/>
              </w:rPr>
              <w:t>风管及部件制作记录</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35A933B">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786F030">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CBC5BC1">
            <w:pPr>
              <w:rPr>
                <w:color w:val="000000"/>
                <w:szCs w:val="21"/>
              </w:rPr>
            </w:pPr>
          </w:p>
        </w:tc>
      </w:tr>
      <w:tr w14:paraId="63C7B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366CE55">
            <w:pPr>
              <w:widowControl/>
              <w:jc w:val="center"/>
              <w:textAlignment w:val="center"/>
              <w:rPr>
                <w:color w:val="000000"/>
                <w:szCs w:val="21"/>
              </w:rPr>
            </w:pPr>
            <w:r>
              <w:rPr>
                <w:color w:val="000000"/>
                <w:kern w:val="0"/>
                <w:szCs w:val="21"/>
              </w:rPr>
              <w:t>25</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599C12E">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2C755A3">
            <w:pPr>
              <w:widowControl/>
              <w:jc w:val="left"/>
              <w:textAlignment w:val="center"/>
              <w:rPr>
                <w:color w:val="000000"/>
                <w:szCs w:val="21"/>
              </w:rPr>
            </w:pPr>
            <w:r>
              <w:rPr>
                <w:color w:val="000000"/>
                <w:kern w:val="0"/>
                <w:sz w:val="22"/>
                <w:szCs w:val="22"/>
              </w:rPr>
              <w:t>承压管道、设备强度及严密性试验记录</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0900158">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F68F139">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91E20D5">
            <w:pPr>
              <w:rPr>
                <w:color w:val="000000"/>
                <w:szCs w:val="21"/>
              </w:rPr>
            </w:pPr>
          </w:p>
        </w:tc>
      </w:tr>
      <w:tr w14:paraId="1B1A5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8C937AE">
            <w:pPr>
              <w:widowControl/>
              <w:jc w:val="center"/>
              <w:textAlignment w:val="center"/>
              <w:rPr>
                <w:color w:val="000000"/>
                <w:szCs w:val="21"/>
              </w:rPr>
            </w:pPr>
            <w:r>
              <w:rPr>
                <w:color w:val="000000"/>
                <w:kern w:val="0"/>
                <w:szCs w:val="21"/>
              </w:rPr>
              <w:t>26</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4851F64">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6DE6ED4">
            <w:pPr>
              <w:widowControl/>
              <w:jc w:val="left"/>
              <w:textAlignment w:val="center"/>
              <w:rPr>
                <w:color w:val="000000"/>
                <w:szCs w:val="21"/>
              </w:rPr>
            </w:pPr>
            <w:r>
              <w:rPr>
                <w:color w:val="000000"/>
                <w:kern w:val="0"/>
                <w:sz w:val="22"/>
                <w:szCs w:val="22"/>
              </w:rPr>
              <w:t>管道冲洗记录、真空试验记录</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EF77463">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CDF5634">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B2D43BA">
            <w:pPr>
              <w:rPr>
                <w:color w:val="000000"/>
                <w:szCs w:val="21"/>
              </w:rPr>
            </w:pPr>
          </w:p>
        </w:tc>
      </w:tr>
      <w:tr w14:paraId="68375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39E04B1">
            <w:pPr>
              <w:widowControl/>
              <w:jc w:val="center"/>
              <w:textAlignment w:val="center"/>
              <w:rPr>
                <w:color w:val="000000"/>
                <w:szCs w:val="21"/>
              </w:rPr>
            </w:pPr>
            <w:r>
              <w:rPr>
                <w:color w:val="000000"/>
                <w:kern w:val="0"/>
                <w:szCs w:val="21"/>
              </w:rPr>
              <w:t>27</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D233AE0">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DA6CA01">
            <w:pPr>
              <w:widowControl/>
              <w:jc w:val="left"/>
              <w:textAlignment w:val="center"/>
              <w:rPr>
                <w:color w:val="000000"/>
                <w:szCs w:val="21"/>
              </w:rPr>
            </w:pPr>
            <w:r>
              <w:rPr>
                <w:color w:val="000000"/>
                <w:kern w:val="0"/>
                <w:sz w:val="22"/>
                <w:szCs w:val="22"/>
              </w:rPr>
              <w:t>冷凝水管道灌水试验、安全阀测试记录</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EA6F1C9">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CB40BD0">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B61E711">
            <w:pPr>
              <w:rPr>
                <w:color w:val="000000"/>
                <w:szCs w:val="21"/>
              </w:rPr>
            </w:pPr>
          </w:p>
        </w:tc>
      </w:tr>
      <w:tr w14:paraId="0B553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539834F">
            <w:pPr>
              <w:widowControl/>
              <w:jc w:val="center"/>
              <w:textAlignment w:val="center"/>
              <w:rPr>
                <w:color w:val="000000"/>
                <w:szCs w:val="21"/>
              </w:rPr>
            </w:pPr>
            <w:r>
              <w:rPr>
                <w:color w:val="000000"/>
                <w:kern w:val="0"/>
                <w:szCs w:val="21"/>
              </w:rPr>
              <w:t>28</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837037">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0DD177C">
            <w:pPr>
              <w:widowControl/>
              <w:jc w:val="left"/>
              <w:textAlignment w:val="center"/>
              <w:rPr>
                <w:color w:val="000000"/>
                <w:szCs w:val="21"/>
              </w:rPr>
            </w:pPr>
            <w:r>
              <w:rPr>
                <w:color w:val="000000"/>
                <w:kern w:val="0"/>
                <w:sz w:val="22"/>
                <w:szCs w:val="22"/>
              </w:rPr>
              <w:t>阀门</w:t>
            </w:r>
            <w:r>
              <w:rPr>
                <w:rFonts w:hint="eastAsia"/>
                <w:color w:val="000000"/>
                <w:kern w:val="0"/>
                <w:sz w:val="22"/>
                <w:szCs w:val="22"/>
              </w:rPr>
              <w:t>、风机盘管</w:t>
            </w:r>
            <w:r>
              <w:rPr>
                <w:color w:val="000000"/>
                <w:kern w:val="0"/>
                <w:sz w:val="22"/>
                <w:szCs w:val="22"/>
              </w:rPr>
              <w:t>安装前强度及严密性试验记录</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3859A70">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43DC473">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6FF9634">
            <w:pPr>
              <w:rPr>
                <w:color w:val="000000"/>
                <w:szCs w:val="21"/>
              </w:rPr>
            </w:pPr>
          </w:p>
        </w:tc>
      </w:tr>
      <w:tr w14:paraId="2D027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6032108">
            <w:pPr>
              <w:widowControl/>
              <w:jc w:val="center"/>
              <w:textAlignment w:val="center"/>
              <w:rPr>
                <w:color w:val="000000"/>
                <w:szCs w:val="21"/>
              </w:rPr>
            </w:pPr>
            <w:r>
              <w:rPr>
                <w:color w:val="000000"/>
                <w:kern w:val="0"/>
                <w:szCs w:val="21"/>
              </w:rPr>
              <w:t>29</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AEBA791">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24B30C2">
            <w:pPr>
              <w:widowControl/>
              <w:jc w:val="left"/>
              <w:textAlignment w:val="center"/>
              <w:rPr>
                <w:color w:val="000000"/>
                <w:szCs w:val="21"/>
              </w:rPr>
            </w:pPr>
            <w:r>
              <w:rPr>
                <w:color w:val="000000"/>
                <w:kern w:val="0"/>
                <w:sz w:val="22"/>
                <w:szCs w:val="22"/>
              </w:rPr>
              <w:t>风管强度试验、风管系统严密性试验记录</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07AEB50">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14BC915">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5132602">
            <w:pPr>
              <w:rPr>
                <w:color w:val="000000"/>
                <w:szCs w:val="21"/>
              </w:rPr>
            </w:pPr>
          </w:p>
        </w:tc>
      </w:tr>
      <w:tr w14:paraId="72401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A08E5CC">
            <w:pPr>
              <w:widowControl/>
              <w:jc w:val="center"/>
              <w:textAlignment w:val="center"/>
              <w:rPr>
                <w:color w:val="000000"/>
                <w:szCs w:val="21"/>
              </w:rPr>
            </w:pPr>
            <w:r>
              <w:rPr>
                <w:color w:val="000000"/>
                <w:kern w:val="0"/>
                <w:szCs w:val="21"/>
              </w:rPr>
              <w:t>30</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24A905B">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E8DE19E">
            <w:pPr>
              <w:widowControl/>
              <w:jc w:val="left"/>
              <w:textAlignment w:val="center"/>
              <w:rPr>
                <w:color w:val="000000"/>
                <w:szCs w:val="21"/>
              </w:rPr>
            </w:pPr>
            <w:r>
              <w:rPr>
                <w:color w:val="000000"/>
                <w:kern w:val="0"/>
                <w:sz w:val="22"/>
                <w:szCs w:val="22"/>
              </w:rPr>
              <w:t>各类设备单机试运转记录</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9A626A2">
            <w:pPr>
              <w:jc w:val="center"/>
              <w:rPr>
                <w:color w:val="000000"/>
                <w:szCs w:val="21"/>
              </w:rPr>
            </w:pPr>
          </w:p>
        </w:tc>
        <w:tc>
          <w:tcPr>
            <w:tcW w:w="544"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CAF13D3">
            <w:pPr>
              <w:jc w:val="center"/>
              <w:rPr>
                <w:color w:val="000000"/>
                <w:szCs w:val="21"/>
              </w:rPr>
            </w:pPr>
            <w:r>
              <w:rPr>
                <w:rFonts w:hint="eastAsia"/>
                <w:color w:val="000000"/>
                <w:szCs w:val="21"/>
              </w:rPr>
              <w:t>3</w:t>
            </w:r>
          </w:p>
        </w:tc>
        <w:tc>
          <w:tcPr>
            <w:tcW w:w="544"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6D7B0F5">
            <w:pPr>
              <w:rPr>
                <w:color w:val="000000"/>
                <w:szCs w:val="21"/>
              </w:rPr>
            </w:pPr>
          </w:p>
        </w:tc>
      </w:tr>
      <w:tr w14:paraId="31262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8F89F8D">
            <w:pPr>
              <w:widowControl/>
              <w:jc w:val="center"/>
              <w:textAlignment w:val="center"/>
              <w:rPr>
                <w:color w:val="000000"/>
                <w:szCs w:val="21"/>
              </w:rPr>
            </w:pPr>
            <w:r>
              <w:rPr>
                <w:color w:val="000000"/>
                <w:szCs w:val="21"/>
              </w:rPr>
              <w:t>31</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4E8E9EE">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59CF162">
            <w:pPr>
              <w:widowControl/>
              <w:jc w:val="left"/>
              <w:textAlignment w:val="center"/>
              <w:rPr>
                <w:color w:val="000000"/>
                <w:szCs w:val="21"/>
              </w:rPr>
            </w:pPr>
            <w:r>
              <w:rPr>
                <w:color w:val="000000"/>
                <w:kern w:val="0"/>
                <w:sz w:val="22"/>
                <w:szCs w:val="22"/>
              </w:rPr>
              <w:t>房间风量、温度等参数测量记录，洁净度检测</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616317C">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8AD01E0">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679DDE3">
            <w:pPr>
              <w:rPr>
                <w:color w:val="000000"/>
                <w:szCs w:val="21"/>
              </w:rPr>
            </w:pPr>
          </w:p>
        </w:tc>
      </w:tr>
      <w:tr w14:paraId="53DE8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A75C9CA">
            <w:pPr>
              <w:widowControl/>
              <w:jc w:val="center"/>
              <w:textAlignment w:val="center"/>
              <w:rPr>
                <w:color w:val="000000"/>
                <w:szCs w:val="21"/>
              </w:rPr>
            </w:pPr>
            <w:r>
              <w:rPr>
                <w:color w:val="000000"/>
                <w:szCs w:val="21"/>
              </w:rPr>
              <w:t>32</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5E89BF1">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69B25FF">
            <w:pPr>
              <w:widowControl/>
              <w:jc w:val="left"/>
              <w:textAlignment w:val="center"/>
              <w:rPr>
                <w:color w:val="000000"/>
                <w:szCs w:val="21"/>
              </w:rPr>
            </w:pPr>
            <w:r>
              <w:rPr>
                <w:color w:val="000000"/>
                <w:kern w:val="0"/>
                <w:sz w:val="22"/>
                <w:szCs w:val="22"/>
              </w:rPr>
              <w:t>空调系统联合试运转记录与调试方案</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5114373">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B81FB79">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28A1DC5">
            <w:pPr>
              <w:rPr>
                <w:color w:val="000000"/>
                <w:szCs w:val="21"/>
              </w:rPr>
            </w:pPr>
          </w:p>
        </w:tc>
      </w:tr>
      <w:tr w14:paraId="0D8C5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283E22C">
            <w:pPr>
              <w:widowControl/>
              <w:jc w:val="center"/>
              <w:textAlignment w:val="center"/>
              <w:rPr>
                <w:color w:val="000000"/>
                <w:szCs w:val="21"/>
              </w:rPr>
            </w:pPr>
            <w:r>
              <w:rPr>
                <w:color w:val="000000"/>
                <w:szCs w:val="21"/>
              </w:rPr>
              <w:t>33</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AFA7260">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539F9D4">
            <w:pPr>
              <w:widowControl/>
              <w:jc w:val="left"/>
              <w:textAlignment w:val="center"/>
              <w:rPr>
                <w:color w:val="000000"/>
                <w:szCs w:val="21"/>
              </w:rPr>
            </w:pPr>
            <w:r>
              <w:rPr>
                <w:color w:val="000000"/>
                <w:kern w:val="0"/>
                <w:sz w:val="22"/>
                <w:szCs w:val="22"/>
              </w:rPr>
              <w:t>制冷系统联合试运转记录与调试方案</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126BA34">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4C462CB">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F6BCBA5">
            <w:pPr>
              <w:rPr>
                <w:color w:val="000000"/>
                <w:szCs w:val="21"/>
              </w:rPr>
            </w:pPr>
          </w:p>
        </w:tc>
      </w:tr>
      <w:tr w14:paraId="4B8CC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35FD3DF">
            <w:pPr>
              <w:widowControl/>
              <w:jc w:val="center"/>
              <w:textAlignment w:val="center"/>
              <w:rPr>
                <w:color w:val="000000"/>
                <w:szCs w:val="21"/>
              </w:rPr>
            </w:pPr>
            <w:r>
              <w:rPr>
                <w:color w:val="000000"/>
                <w:szCs w:val="21"/>
              </w:rPr>
              <w:t>34</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CE3E194">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BBD7EF6">
            <w:pPr>
              <w:widowControl/>
              <w:jc w:val="left"/>
              <w:textAlignment w:val="center"/>
              <w:rPr>
                <w:color w:val="000000"/>
                <w:szCs w:val="21"/>
              </w:rPr>
            </w:pPr>
            <w:r>
              <w:rPr>
                <w:color w:val="000000"/>
                <w:kern w:val="0"/>
                <w:sz w:val="22"/>
                <w:szCs w:val="22"/>
              </w:rPr>
              <w:t>精密空调、多联机系统、净化系统联合试运转与调试记录</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2E18ABC">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B870660">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614069C">
            <w:pPr>
              <w:rPr>
                <w:color w:val="000000"/>
                <w:szCs w:val="21"/>
              </w:rPr>
            </w:pPr>
          </w:p>
        </w:tc>
      </w:tr>
      <w:tr w14:paraId="56DFC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65B842C">
            <w:pPr>
              <w:widowControl/>
              <w:jc w:val="center"/>
              <w:textAlignment w:val="center"/>
              <w:rPr>
                <w:color w:val="000000"/>
                <w:szCs w:val="21"/>
              </w:rPr>
            </w:pPr>
            <w:r>
              <w:rPr>
                <w:color w:val="000000"/>
                <w:szCs w:val="21"/>
              </w:rPr>
              <w:t>35</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FABDF94">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A819C3B">
            <w:pPr>
              <w:widowControl/>
              <w:jc w:val="left"/>
              <w:textAlignment w:val="center"/>
              <w:rPr>
                <w:color w:val="000000"/>
                <w:kern w:val="0"/>
                <w:szCs w:val="21"/>
              </w:rPr>
            </w:pPr>
            <w:r>
              <w:rPr>
                <w:color w:val="000000"/>
                <w:kern w:val="0"/>
                <w:sz w:val="22"/>
                <w:szCs w:val="22"/>
              </w:rPr>
              <w:t>排烟系统联合试运转与调试记录</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F9D3F1D">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ED170D0">
            <w:pPr>
              <w:jc w:val="center"/>
              <w:rPr>
                <w:color w:val="000000"/>
                <w:szCs w:val="21"/>
              </w:rPr>
            </w:pPr>
          </w:p>
        </w:tc>
        <w:tc>
          <w:tcPr>
            <w:tcW w:w="544"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C76FCEB">
            <w:pPr>
              <w:rPr>
                <w:color w:val="000000"/>
                <w:szCs w:val="21"/>
              </w:rPr>
            </w:pPr>
          </w:p>
        </w:tc>
      </w:tr>
      <w:tr w14:paraId="32A15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BA043DF">
            <w:pPr>
              <w:widowControl/>
              <w:jc w:val="center"/>
              <w:textAlignment w:val="center"/>
              <w:rPr>
                <w:color w:val="000000"/>
                <w:szCs w:val="21"/>
              </w:rPr>
            </w:pPr>
            <w:r>
              <w:rPr>
                <w:color w:val="000000"/>
                <w:szCs w:val="21"/>
              </w:rPr>
              <w:t>36</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EDA3685">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EB191EF">
            <w:pPr>
              <w:widowControl/>
              <w:jc w:val="left"/>
              <w:textAlignment w:val="center"/>
              <w:rPr>
                <w:color w:val="000000"/>
                <w:kern w:val="0"/>
                <w:szCs w:val="21"/>
              </w:rPr>
            </w:pPr>
            <w:r>
              <w:rPr>
                <w:color w:val="000000"/>
                <w:kern w:val="0"/>
                <w:sz w:val="22"/>
                <w:szCs w:val="22"/>
              </w:rPr>
              <w:t>主要部位隐蔽验收记录</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7157769">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0A4FB03">
            <w:pPr>
              <w:jc w:val="center"/>
              <w:rPr>
                <w:color w:val="000000"/>
                <w:szCs w:val="21"/>
              </w:rPr>
            </w:pPr>
            <w:r>
              <w:rPr>
                <w:rFonts w:hint="eastAsia"/>
                <w:color w:val="000000"/>
                <w:szCs w:val="21"/>
              </w:rPr>
              <w:t>1</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8434B21">
            <w:pPr>
              <w:rPr>
                <w:color w:val="000000"/>
                <w:szCs w:val="21"/>
              </w:rPr>
            </w:pPr>
          </w:p>
        </w:tc>
      </w:tr>
      <w:tr w14:paraId="33F4B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FB15AD2">
            <w:pPr>
              <w:widowControl/>
              <w:jc w:val="center"/>
              <w:textAlignment w:val="center"/>
              <w:rPr>
                <w:color w:val="000000"/>
                <w:szCs w:val="21"/>
              </w:rPr>
            </w:pPr>
            <w:r>
              <w:rPr>
                <w:color w:val="000000"/>
                <w:szCs w:val="21"/>
              </w:rPr>
              <w:t>37</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BB9F8F2">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92B999E">
            <w:pPr>
              <w:widowControl/>
              <w:jc w:val="left"/>
              <w:textAlignment w:val="center"/>
              <w:rPr>
                <w:color w:val="000000"/>
                <w:kern w:val="0"/>
                <w:szCs w:val="21"/>
              </w:rPr>
            </w:pPr>
            <w:r>
              <w:rPr>
                <w:color w:val="000000"/>
                <w:kern w:val="0"/>
                <w:szCs w:val="21"/>
              </w:rPr>
              <w:t>检验批、分项、分部工程验收记录</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8E8FD76">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2EBE476">
            <w:pPr>
              <w:jc w:val="center"/>
              <w:rPr>
                <w:color w:val="000000"/>
                <w:szCs w:val="21"/>
              </w:rPr>
            </w:pPr>
            <w:r>
              <w:rPr>
                <w:rFonts w:hint="eastAsia"/>
                <w:color w:val="000000"/>
                <w:szCs w:val="21"/>
              </w:rPr>
              <w:t>0.5</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F4D8BB6">
            <w:pPr>
              <w:rPr>
                <w:color w:val="000000"/>
                <w:szCs w:val="21"/>
              </w:rPr>
            </w:pPr>
          </w:p>
        </w:tc>
      </w:tr>
      <w:tr w14:paraId="4077C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4E7D0D5">
            <w:pPr>
              <w:widowControl/>
              <w:jc w:val="center"/>
              <w:textAlignment w:val="center"/>
              <w:rPr>
                <w:color w:val="000000"/>
                <w:szCs w:val="21"/>
              </w:rPr>
            </w:pPr>
            <w:r>
              <w:rPr>
                <w:color w:val="000000"/>
                <w:szCs w:val="21"/>
              </w:rPr>
              <w:t>38</w:t>
            </w:r>
          </w:p>
        </w:tc>
        <w:tc>
          <w:tcPr>
            <w:tcW w:w="630"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E04923D">
            <w:pPr>
              <w:widowControl/>
              <w:jc w:val="center"/>
              <w:textAlignment w:val="center"/>
              <w:rPr>
                <w:color w:val="000000"/>
                <w:kern w:val="0"/>
                <w:szCs w:val="21"/>
              </w:rPr>
            </w:pPr>
          </w:p>
        </w:tc>
        <w:tc>
          <w:tcPr>
            <w:tcW w:w="402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A64A432">
            <w:pPr>
              <w:widowControl/>
              <w:jc w:val="left"/>
              <w:textAlignment w:val="center"/>
              <w:rPr>
                <w:color w:val="000000"/>
                <w:kern w:val="0"/>
                <w:szCs w:val="21"/>
              </w:rPr>
            </w:pPr>
            <w:r>
              <w:rPr>
                <w:color w:val="000000"/>
                <w:kern w:val="0"/>
                <w:sz w:val="22"/>
                <w:szCs w:val="22"/>
              </w:rPr>
              <w:t>竣工图、施工日志</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B28A988">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28F3E91">
            <w:pPr>
              <w:jc w:val="center"/>
              <w:rPr>
                <w:color w:val="000000"/>
                <w:szCs w:val="21"/>
              </w:rPr>
            </w:pPr>
            <w:r>
              <w:rPr>
                <w:rFonts w:hint="eastAsia"/>
                <w:color w:val="000000"/>
                <w:szCs w:val="21"/>
              </w:rPr>
              <w:t>0.5</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A104957">
            <w:pPr>
              <w:rPr>
                <w:color w:val="000000"/>
                <w:szCs w:val="21"/>
              </w:rPr>
            </w:pPr>
          </w:p>
        </w:tc>
      </w:tr>
      <w:tr w14:paraId="34009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5181" w:type="dxa"/>
            <w:gridSpan w:val="3"/>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1FB1347">
            <w:pPr>
              <w:widowControl/>
              <w:jc w:val="center"/>
              <w:textAlignment w:val="center"/>
              <w:rPr>
                <w:color w:val="000000"/>
                <w:kern w:val="0"/>
                <w:sz w:val="22"/>
                <w:szCs w:val="22"/>
              </w:rPr>
            </w:pPr>
            <w:r>
              <w:rPr>
                <w:rFonts w:hint="eastAsia"/>
                <w:color w:val="000000"/>
                <w:kern w:val="0"/>
                <w:sz w:val="22"/>
                <w:szCs w:val="22"/>
              </w:rPr>
              <w:t>小</w:t>
            </w:r>
            <w:r>
              <w:rPr>
                <w:color w:val="000000"/>
                <w:kern w:val="0"/>
                <w:sz w:val="22"/>
                <w:szCs w:val="22"/>
              </w:rPr>
              <w:t>计</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4D567D7">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0B15A55">
            <w:pPr>
              <w:jc w:val="center"/>
              <w:rPr>
                <w:color w:val="000000"/>
                <w:szCs w:val="21"/>
              </w:rPr>
            </w:pPr>
            <w:r>
              <w:rPr>
                <w:rFonts w:hint="eastAsia"/>
                <w:color w:val="000000"/>
                <w:szCs w:val="21"/>
              </w:rPr>
              <w:t>25</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AC651D7">
            <w:pPr>
              <w:rPr>
                <w:color w:val="000000"/>
                <w:szCs w:val="21"/>
              </w:rPr>
            </w:pPr>
          </w:p>
        </w:tc>
      </w:tr>
      <w:tr w14:paraId="6DFBB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91" w:hRule="atLeast"/>
        </w:trPr>
        <w:tc>
          <w:tcPr>
            <w:tcW w:w="9404" w:type="dxa"/>
            <w:gridSpan w:val="6"/>
            <w:tcBorders>
              <w:top w:val="single" w:color="auto" w:sz="8" w:space="0"/>
              <w:left w:val="single" w:color="auto" w:sz="8" w:space="0"/>
              <w:bottom w:val="single" w:color="auto" w:sz="8" w:space="0"/>
              <w:right w:val="single" w:color="auto" w:sz="8" w:space="0"/>
            </w:tcBorders>
            <w:noWrap/>
            <w:tcMar>
              <w:top w:w="15" w:type="dxa"/>
              <w:left w:w="15" w:type="dxa"/>
              <w:right w:w="15" w:type="dxa"/>
            </w:tcMar>
          </w:tcPr>
          <w:p w14:paraId="48AE8BF4">
            <w:pPr>
              <w:widowControl/>
              <w:textAlignment w:val="center"/>
              <w:rPr>
                <w:color w:val="000000"/>
                <w:kern w:val="0"/>
                <w:szCs w:val="21"/>
              </w:rPr>
            </w:pPr>
            <w:r>
              <w:rPr>
                <w:color w:val="000000"/>
                <w:kern w:val="0"/>
                <w:szCs w:val="21"/>
              </w:rPr>
              <w:t>综合评价：意见和建议（工程亮点、存在问题、改正方法、提高方向）</w:t>
            </w:r>
          </w:p>
          <w:p w14:paraId="3DAB7B67">
            <w:pPr>
              <w:widowControl/>
              <w:jc w:val="center"/>
              <w:textAlignment w:val="center"/>
              <w:rPr>
                <w:color w:val="000000"/>
                <w:kern w:val="0"/>
                <w:szCs w:val="21"/>
              </w:rPr>
            </w:pPr>
          </w:p>
          <w:p w14:paraId="16D103AF">
            <w:pPr>
              <w:widowControl/>
              <w:jc w:val="center"/>
              <w:textAlignment w:val="center"/>
              <w:rPr>
                <w:color w:val="000000"/>
                <w:kern w:val="0"/>
                <w:szCs w:val="21"/>
              </w:rPr>
            </w:pPr>
            <w:r>
              <w:rPr>
                <w:color w:val="000000"/>
                <w:kern w:val="0"/>
                <w:szCs w:val="21"/>
              </w:rPr>
              <w:t>检查人：</w:t>
            </w:r>
          </w:p>
          <w:p w14:paraId="6B9A913E">
            <w:pPr>
              <w:widowControl/>
              <w:jc w:val="center"/>
              <w:textAlignment w:val="center"/>
              <w:rPr>
                <w:color w:val="000000"/>
                <w:kern w:val="0"/>
                <w:szCs w:val="21"/>
              </w:rPr>
            </w:pPr>
            <w:r>
              <w:rPr>
                <w:rFonts w:hint="eastAsia"/>
                <w:color w:val="000000"/>
                <w:kern w:val="0"/>
                <w:szCs w:val="21"/>
              </w:rPr>
              <w:t xml:space="preserve">                                            </w:t>
            </w:r>
            <w:r>
              <w:rPr>
                <w:color w:val="000000"/>
                <w:kern w:val="0"/>
                <w:szCs w:val="21"/>
              </w:rPr>
              <w:t>年  月   日</w:t>
            </w:r>
          </w:p>
        </w:tc>
      </w:tr>
    </w:tbl>
    <w:p w14:paraId="6A2EB15B">
      <w:pPr>
        <w:rPr>
          <w:color w:val="000000"/>
        </w:rPr>
      </w:pPr>
      <w:r>
        <w:rPr>
          <w:color w:val="000000"/>
        </w:rPr>
        <w:t>注：本表评价打分采取扣分制，存在一项不符合扣1分</w:t>
      </w:r>
    </w:p>
    <w:p w14:paraId="53894C9E">
      <w:pPr>
        <w:widowControl/>
        <w:jc w:val="center"/>
        <w:textAlignment w:val="center"/>
        <w:outlineLvl w:val="1"/>
        <w:rPr>
          <w:rStyle w:val="32"/>
          <w:rFonts w:ascii="Times New Roman" w:hAnsi="Times New Roman" w:eastAsia="黑体"/>
          <w:sz w:val="28"/>
          <w:szCs w:val="28"/>
          <w:lang w:val="en-US"/>
        </w:rPr>
      </w:pPr>
      <w:bookmarkStart w:id="834" w:name="_Toc17144"/>
      <w:bookmarkStart w:id="835" w:name="_Toc11154"/>
      <w:bookmarkStart w:id="836" w:name="_Toc32191"/>
      <w:bookmarkStart w:id="837" w:name="_Toc409"/>
      <w:bookmarkStart w:id="838" w:name="_Toc12550"/>
      <w:bookmarkStart w:id="839" w:name="_Toc1933"/>
      <w:bookmarkStart w:id="840" w:name="_Toc15399"/>
      <w:bookmarkStart w:id="841" w:name="_Toc17109"/>
      <w:r>
        <w:rPr>
          <w:rStyle w:val="32"/>
          <w:rFonts w:ascii="Times New Roman" w:hAnsi="Times New Roman" w:eastAsia="黑体"/>
          <w:sz w:val="28"/>
          <w:szCs w:val="28"/>
          <w:lang w:val="en-US"/>
        </w:rPr>
        <w:t>附录</w:t>
      </w:r>
      <w:r>
        <w:rPr>
          <w:rStyle w:val="32"/>
          <w:rFonts w:hint="eastAsia" w:ascii="Times New Roman" w:hAnsi="Times New Roman" w:eastAsia="黑体"/>
          <w:sz w:val="28"/>
          <w:szCs w:val="28"/>
          <w:lang w:val="en-US"/>
        </w:rPr>
        <w:t>E</w:t>
      </w:r>
      <w:r>
        <w:rPr>
          <w:rStyle w:val="32"/>
          <w:rFonts w:ascii="Times New Roman" w:hAnsi="Times New Roman" w:eastAsia="黑体"/>
          <w:sz w:val="28"/>
          <w:szCs w:val="28"/>
          <w:lang w:val="en-US"/>
        </w:rPr>
        <w:t xml:space="preserve">  施工项目管理</w:t>
      </w:r>
      <w:r>
        <w:rPr>
          <w:rStyle w:val="32"/>
          <w:rFonts w:ascii="Times New Roman" w:hAnsi="Times New Roman" w:eastAsia="黑体"/>
          <w:sz w:val="28"/>
          <w:szCs w:val="28"/>
        </w:rPr>
        <w:t>现场检查</w:t>
      </w:r>
      <w:bookmarkEnd w:id="834"/>
      <w:bookmarkEnd w:id="835"/>
      <w:bookmarkEnd w:id="836"/>
      <w:bookmarkEnd w:id="837"/>
      <w:bookmarkEnd w:id="838"/>
      <w:bookmarkEnd w:id="839"/>
      <w:bookmarkEnd w:id="840"/>
      <w:bookmarkEnd w:id="841"/>
    </w:p>
    <w:p w14:paraId="4714520D">
      <w:pPr>
        <w:jc w:val="center"/>
        <w:outlineLvl w:val="2"/>
        <w:rPr>
          <w:rFonts w:eastAsia="黑体"/>
          <w:color w:val="000000"/>
          <w:sz w:val="24"/>
          <w:szCs w:val="24"/>
          <w:lang w:val="zh-CN"/>
        </w:rPr>
      </w:pPr>
      <w:r>
        <w:rPr>
          <w:rFonts w:eastAsia="黑体"/>
          <w:color w:val="000000"/>
          <w:sz w:val="24"/>
          <w:szCs w:val="24"/>
          <w:lang w:val="zh-CN"/>
        </w:rPr>
        <w:t xml:space="preserve"> </w:t>
      </w:r>
      <w:bookmarkStart w:id="842" w:name="_Toc32303"/>
      <w:bookmarkStart w:id="843" w:name="_Toc21279"/>
      <w:bookmarkStart w:id="844" w:name="_Toc4651"/>
      <w:bookmarkStart w:id="845" w:name="_Toc28165"/>
      <w:bookmarkStart w:id="846" w:name="_Toc1619"/>
      <w:bookmarkStart w:id="847" w:name="_Toc27598"/>
      <w:bookmarkStart w:id="848" w:name="_Toc171"/>
      <w:bookmarkStart w:id="849" w:name="_Toc13647"/>
      <w:bookmarkStart w:id="850" w:name="_Toc21123"/>
      <w:bookmarkStart w:id="851" w:name="_Toc27399"/>
      <w:bookmarkStart w:id="852" w:name="_Toc12289"/>
      <w:bookmarkStart w:id="853" w:name="_Toc14242"/>
      <w:bookmarkStart w:id="854" w:name="_Toc32385"/>
      <w:bookmarkStart w:id="855" w:name="_Toc31509"/>
      <w:r>
        <w:rPr>
          <w:rFonts w:eastAsia="黑体"/>
          <w:color w:val="000000"/>
          <w:sz w:val="24"/>
          <w:szCs w:val="24"/>
          <w:lang w:val="zh-CN"/>
        </w:rPr>
        <w:t>表</w:t>
      </w:r>
      <w:r>
        <w:rPr>
          <w:rFonts w:hint="eastAsia" w:eastAsia="黑体"/>
          <w:color w:val="000000"/>
          <w:sz w:val="24"/>
          <w:szCs w:val="24"/>
        </w:rPr>
        <w:t>E</w:t>
      </w:r>
      <w:r>
        <w:rPr>
          <w:rFonts w:eastAsia="黑体"/>
          <w:color w:val="000000"/>
          <w:sz w:val="24"/>
          <w:szCs w:val="24"/>
          <w:lang w:val="zh-CN"/>
        </w:rPr>
        <w:t>.0.1   施工项目管理</w:t>
      </w:r>
      <w:r>
        <w:rPr>
          <w:rFonts w:hint="eastAsia" w:ascii="黑体" w:hAnsi="黑体" w:eastAsia="黑体" w:cs="宋体"/>
          <w:color w:val="000000"/>
          <w:kern w:val="0"/>
          <w:sz w:val="24"/>
          <w:szCs w:val="24"/>
        </w:rPr>
        <w:t>现场检查</w:t>
      </w:r>
      <w:bookmarkEnd w:id="842"/>
      <w:bookmarkEnd w:id="843"/>
      <w:bookmarkEnd w:id="844"/>
      <w:bookmarkEnd w:id="845"/>
      <w:bookmarkEnd w:id="846"/>
      <w:bookmarkEnd w:id="847"/>
      <w:bookmarkEnd w:id="848"/>
      <w:bookmarkEnd w:id="849"/>
      <w:r>
        <w:rPr>
          <w:rFonts w:hint="eastAsia" w:eastAsia="黑体"/>
          <w:color w:val="000000"/>
          <w:sz w:val="24"/>
          <w:szCs w:val="24"/>
          <w:lang w:val="zh-CN"/>
        </w:rPr>
        <w:t>表</w:t>
      </w:r>
      <w:bookmarkEnd w:id="850"/>
      <w:bookmarkEnd w:id="851"/>
      <w:bookmarkEnd w:id="852"/>
      <w:bookmarkEnd w:id="853"/>
      <w:bookmarkEnd w:id="854"/>
      <w:bookmarkEnd w:id="855"/>
    </w:p>
    <w:p w14:paraId="3220C048">
      <w:pPr>
        <w:widowControl/>
        <w:spacing w:before="156" w:beforeLines="50" w:after="156" w:afterLines="50"/>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W w:w="94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1"/>
        <w:gridCol w:w="4650"/>
        <w:gridCol w:w="3135"/>
        <w:gridCol w:w="544"/>
        <w:gridCol w:w="544"/>
      </w:tblGrid>
      <w:tr w14:paraId="34559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4084CA3">
            <w:pPr>
              <w:widowControl/>
              <w:jc w:val="center"/>
              <w:textAlignment w:val="center"/>
              <w:rPr>
                <w:color w:val="000000"/>
                <w:szCs w:val="21"/>
              </w:rPr>
            </w:pPr>
            <w:r>
              <w:rPr>
                <w:color w:val="000000"/>
                <w:kern w:val="0"/>
                <w:szCs w:val="21"/>
              </w:rPr>
              <w:t>序号</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9BF3B73">
            <w:pPr>
              <w:widowControl/>
              <w:jc w:val="center"/>
              <w:textAlignment w:val="center"/>
              <w:rPr>
                <w:color w:val="000000"/>
                <w:szCs w:val="21"/>
              </w:rPr>
            </w:pPr>
            <w:r>
              <w:rPr>
                <w:color w:val="000000"/>
                <w:kern w:val="0"/>
                <w:szCs w:val="21"/>
              </w:rPr>
              <w:t>检查项目</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4664DA0">
            <w:pPr>
              <w:widowControl/>
              <w:jc w:val="center"/>
              <w:textAlignment w:val="center"/>
              <w:rPr>
                <w:color w:val="000000"/>
                <w:szCs w:val="21"/>
              </w:rPr>
            </w:pPr>
            <w:r>
              <w:rPr>
                <w:color w:val="000000"/>
                <w:kern w:val="0"/>
                <w:szCs w:val="21"/>
              </w:rPr>
              <w:t>检查情况</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A7021AE">
            <w:pPr>
              <w:widowControl/>
              <w:jc w:val="center"/>
              <w:textAlignment w:val="center"/>
              <w:rPr>
                <w:color w:val="000000"/>
                <w:kern w:val="0"/>
                <w:szCs w:val="21"/>
              </w:rPr>
            </w:pPr>
            <w:r>
              <w:rPr>
                <w:color w:val="000000"/>
                <w:kern w:val="0"/>
                <w:szCs w:val="21"/>
              </w:rPr>
              <w:t>应得分</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0EF1D9B">
            <w:pPr>
              <w:widowControl/>
              <w:jc w:val="center"/>
              <w:textAlignment w:val="center"/>
              <w:rPr>
                <w:color w:val="000000"/>
                <w:szCs w:val="21"/>
              </w:rPr>
            </w:pPr>
            <w:r>
              <w:rPr>
                <w:color w:val="000000"/>
                <w:kern w:val="0"/>
                <w:szCs w:val="21"/>
              </w:rPr>
              <w:t>实得分</w:t>
            </w:r>
          </w:p>
        </w:tc>
      </w:tr>
      <w:tr w14:paraId="4297A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0D45915">
            <w:pPr>
              <w:widowControl/>
              <w:jc w:val="center"/>
              <w:textAlignment w:val="center"/>
              <w:rPr>
                <w:color w:val="000000"/>
                <w:szCs w:val="21"/>
              </w:rPr>
            </w:pPr>
            <w:r>
              <w:rPr>
                <w:color w:val="000000"/>
                <w:kern w:val="0"/>
                <w:szCs w:val="21"/>
              </w:rPr>
              <w:t>1</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17E3C1F">
            <w:pPr>
              <w:widowControl/>
              <w:ind w:left="210" w:leftChars="100"/>
              <w:jc w:val="left"/>
              <w:textAlignment w:val="center"/>
              <w:rPr>
                <w:color w:val="000000"/>
                <w:kern w:val="0"/>
                <w:szCs w:val="21"/>
              </w:rPr>
            </w:pPr>
            <w:r>
              <w:rPr>
                <w:color w:val="000000"/>
                <w:kern w:val="0"/>
                <w:szCs w:val="21"/>
              </w:rPr>
              <w:t>质量目标策划、预控措施及实施效果</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F2B0BD3">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4A8B3FA">
            <w:pPr>
              <w:widowControl/>
              <w:jc w:val="center"/>
              <w:textAlignment w:val="center"/>
              <w:rPr>
                <w:color w:val="000000"/>
                <w:kern w:val="0"/>
                <w:szCs w:val="21"/>
              </w:rPr>
            </w:pPr>
            <w:r>
              <w:rPr>
                <w:color w:val="000000"/>
                <w:szCs w:val="21"/>
              </w:rPr>
              <w:t>20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B95A69B">
            <w:pPr>
              <w:rPr>
                <w:color w:val="000000"/>
                <w:szCs w:val="21"/>
              </w:rPr>
            </w:pPr>
          </w:p>
        </w:tc>
      </w:tr>
      <w:tr w14:paraId="5F6DC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CBD5AC4">
            <w:pPr>
              <w:widowControl/>
              <w:jc w:val="center"/>
              <w:textAlignment w:val="center"/>
              <w:rPr>
                <w:color w:val="000000"/>
                <w:szCs w:val="21"/>
              </w:rPr>
            </w:pPr>
            <w:r>
              <w:rPr>
                <w:color w:val="000000"/>
                <w:kern w:val="0"/>
                <w:szCs w:val="21"/>
              </w:rPr>
              <w:t>2</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DEA0ACF">
            <w:pPr>
              <w:widowControl/>
              <w:ind w:left="210" w:leftChars="100"/>
              <w:jc w:val="left"/>
              <w:textAlignment w:val="center"/>
              <w:rPr>
                <w:color w:val="000000"/>
                <w:kern w:val="0"/>
                <w:szCs w:val="21"/>
              </w:rPr>
            </w:pPr>
            <w:r>
              <w:rPr>
                <w:color w:val="000000"/>
                <w:kern w:val="0"/>
                <w:szCs w:val="21"/>
              </w:rPr>
              <w:t>质量保证体系、组织机构及运行效果</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492E693">
            <w:pPr>
              <w:widowControl/>
              <w:jc w:val="center"/>
              <w:textAlignment w:val="center"/>
              <w:rPr>
                <w:color w:val="000000"/>
                <w:kern w:val="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771005A">
            <w:pPr>
              <w:widowControl/>
              <w:jc w:val="center"/>
              <w:textAlignment w:val="center"/>
              <w:rPr>
                <w:color w:val="000000"/>
                <w:kern w:val="0"/>
                <w:szCs w:val="21"/>
              </w:rPr>
            </w:pPr>
            <w:r>
              <w:rPr>
                <w:color w:val="000000"/>
                <w:kern w:val="0"/>
                <w:szCs w:val="21"/>
              </w:rPr>
              <w:t>20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FAD3180">
            <w:pPr>
              <w:widowControl/>
              <w:jc w:val="center"/>
              <w:textAlignment w:val="center"/>
              <w:rPr>
                <w:color w:val="000000"/>
                <w:kern w:val="0"/>
                <w:szCs w:val="21"/>
              </w:rPr>
            </w:pPr>
          </w:p>
        </w:tc>
      </w:tr>
      <w:tr w14:paraId="351A0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1574869">
            <w:pPr>
              <w:widowControl/>
              <w:jc w:val="center"/>
              <w:textAlignment w:val="center"/>
              <w:rPr>
                <w:color w:val="000000"/>
                <w:kern w:val="0"/>
                <w:szCs w:val="21"/>
              </w:rPr>
            </w:pPr>
            <w:r>
              <w:rPr>
                <w:color w:val="000000"/>
                <w:kern w:val="0"/>
                <w:szCs w:val="21"/>
              </w:rPr>
              <w:t>3</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0BF37C6">
            <w:pPr>
              <w:widowControl/>
              <w:ind w:left="210" w:leftChars="100"/>
              <w:jc w:val="left"/>
              <w:textAlignment w:val="center"/>
              <w:rPr>
                <w:color w:val="000000"/>
                <w:kern w:val="0"/>
                <w:szCs w:val="21"/>
              </w:rPr>
            </w:pPr>
            <w:r>
              <w:rPr>
                <w:color w:val="000000"/>
                <w:kern w:val="0"/>
                <w:szCs w:val="21"/>
              </w:rPr>
              <w:t>施组、方案、交底的指导性、针对性及</w:t>
            </w:r>
          </w:p>
          <w:p w14:paraId="57E26CC0">
            <w:pPr>
              <w:widowControl/>
              <w:ind w:left="210" w:leftChars="100"/>
              <w:jc w:val="left"/>
              <w:textAlignment w:val="center"/>
              <w:rPr>
                <w:color w:val="000000"/>
                <w:kern w:val="0"/>
                <w:szCs w:val="21"/>
              </w:rPr>
            </w:pPr>
            <w:r>
              <w:rPr>
                <w:color w:val="000000"/>
                <w:kern w:val="0"/>
                <w:szCs w:val="21"/>
              </w:rPr>
              <w:t>可行性</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D71B523">
            <w:pPr>
              <w:widowControl/>
              <w:jc w:val="center"/>
              <w:textAlignment w:val="center"/>
              <w:rPr>
                <w:color w:val="000000"/>
                <w:kern w:val="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75D021B">
            <w:pPr>
              <w:widowControl/>
              <w:jc w:val="center"/>
              <w:textAlignment w:val="center"/>
              <w:rPr>
                <w:color w:val="000000"/>
                <w:kern w:val="0"/>
                <w:szCs w:val="21"/>
              </w:rPr>
            </w:pPr>
            <w:r>
              <w:rPr>
                <w:color w:val="000000"/>
                <w:kern w:val="0"/>
                <w:szCs w:val="21"/>
              </w:rPr>
              <w:t>20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C068933">
            <w:pPr>
              <w:widowControl/>
              <w:jc w:val="center"/>
              <w:textAlignment w:val="center"/>
              <w:rPr>
                <w:color w:val="000000"/>
                <w:kern w:val="0"/>
                <w:szCs w:val="21"/>
              </w:rPr>
            </w:pPr>
          </w:p>
        </w:tc>
      </w:tr>
      <w:tr w14:paraId="44536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39C06C7">
            <w:pPr>
              <w:widowControl/>
              <w:jc w:val="center"/>
              <w:textAlignment w:val="center"/>
              <w:rPr>
                <w:color w:val="000000"/>
                <w:kern w:val="0"/>
                <w:szCs w:val="21"/>
              </w:rPr>
            </w:pPr>
            <w:r>
              <w:rPr>
                <w:color w:val="000000"/>
                <w:kern w:val="0"/>
                <w:szCs w:val="21"/>
              </w:rPr>
              <w:t>4</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78FDE34">
            <w:pPr>
              <w:widowControl/>
              <w:ind w:left="210" w:leftChars="100"/>
              <w:jc w:val="left"/>
              <w:textAlignment w:val="center"/>
              <w:rPr>
                <w:color w:val="000000"/>
                <w:kern w:val="0"/>
                <w:szCs w:val="21"/>
              </w:rPr>
            </w:pPr>
            <w:r>
              <w:rPr>
                <w:color w:val="000000"/>
                <w:kern w:val="0"/>
                <w:szCs w:val="21"/>
              </w:rPr>
              <w:t>项目管理成果</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F64034F">
            <w:pPr>
              <w:widowControl/>
              <w:jc w:val="center"/>
              <w:textAlignment w:val="center"/>
              <w:rPr>
                <w:color w:val="000000"/>
                <w:kern w:val="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F6BA63E">
            <w:pPr>
              <w:widowControl/>
              <w:jc w:val="center"/>
              <w:textAlignment w:val="center"/>
              <w:rPr>
                <w:color w:val="000000"/>
                <w:kern w:val="0"/>
                <w:szCs w:val="21"/>
              </w:rPr>
            </w:pPr>
            <w:r>
              <w:rPr>
                <w:color w:val="000000"/>
                <w:kern w:val="0"/>
                <w:szCs w:val="21"/>
              </w:rPr>
              <w:t>20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AC034F0">
            <w:pPr>
              <w:widowControl/>
              <w:jc w:val="center"/>
              <w:textAlignment w:val="center"/>
              <w:rPr>
                <w:color w:val="000000"/>
                <w:kern w:val="0"/>
                <w:szCs w:val="21"/>
              </w:rPr>
            </w:pPr>
          </w:p>
        </w:tc>
      </w:tr>
      <w:tr w14:paraId="7BC2E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C171BE3">
            <w:pPr>
              <w:widowControl/>
              <w:jc w:val="center"/>
              <w:textAlignment w:val="center"/>
              <w:rPr>
                <w:color w:val="000000"/>
                <w:kern w:val="0"/>
                <w:szCs w:val="21"/>
              </w:rPr>
            </w:pPr>
            <w:r>
              <w:rPr>
                <w:color w:val="000000"/>
                <w:kern w:val="0"/>
                <w:szCs w:val="21"/>
              </w:rPr>
              <w:t>5</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96F0F53">
            <w:pPr>
              <w:widowControl/>
              <w:ind w:left="210" w:leftChars="100"/>
              <w:jc w:val="left"/>
              <w:textAlignment w:val="center"/>
              <w:rPr>
                <w:color w:val="000000"/>
                <w:kern w:val="0"/>
                <w:szCs w:val="21"/>
              </w:rPr>
            </w:pPr>
            <w:r>
              <w:rPr>
                <w:color w:val="000000"/>
                <w:kern w:val="0"/>
                <w:szCs w:val="21"/>
              </w:rPr>
              <w:t>用户评价</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33C98B4">
            <w:pPr>
              <w:widowControl/>
              <w:jc w:val="center"/>
              <w:textAlignment w:val="center"/>
              <w:rPr>
                <w:color w:val="000000"/>
                <w:kern w:val="0"/>
                <w:szCs w:val="21"/>
              </w:rPr>
            </w:pP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ED2617A">
            <w:pPr>
              <w:widowControl/>
              <w:jc w:val="center"/>
              <w:textAlignment w:val="center"/>
              <w:rPr>
                <w:color w:val="000000"/>
                <w:kern w:val="0"/>
                <w:szCs w:val="21"/>
              </w:rPr>
            </w:pPr>
            <w:r>
              <w:rPr>
                <w:color w:val="000000"/>
                <w:kern w:val="0"/>
                <w:szCs w:val="21"/>
              </w:rPr>
              <w:t>20</w:t>
            </w:r>
          </w:p>
        </w:tc>
        <w:tc>
          <w:tcPr>
            <w:tcW w:w="544"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3870325">
            <w:pPr>
              <w:widowControl/>
              <w:jc w:val="center"/>
              <w:textAlignment w:val="center"/>
              <w:rPr>
                <w:color w:val="000000"/>
                <w:kern w:val="0"/>
                <w:szCs w:val="21"/>
              </w:rPr>
            </w:pPr>
          </w:p>
        </w:tc>
      </w:tr>
      <w:tr w14:paraId="4F147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CF2DD7B">
            <w:pPr>
              <w:widowControl/>
              <w:jc w:val="center"/>
              <w:textAlignment w:val="center"/>
              <w:rPr>
                <w:color w:val="000000"/>
                <w:kern w:val="0"/>
                <w:szCs w:val="21"/>
              </w:rPr>
            </w:pPr>
            <w:r>
              <w:rPr>
                <w:color w:val="000000"/>
                <w:kern w:val="0"/>
                <w:szCs w:val="21"/>
              </w:rPr>
              <w:t>6</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C04A7DC">
            <w:pPr>
              <w:widowControl/>
              <w:ind w:left="210" w:leftChars="100"/>
              <w:jc w:val="left"/>
              <w:textAlignment w:val="center"/>
              <w:rPr>
                <w:color w:val="000000"/>
                <w:kern w:val="0"/>
                <w:szCs w:val="21"/>
              </w:rPr>
            </w:pPr>
            <w:r>
              <w:rPr>
                <w:color w:val="000000"/>
                <w:kern w:val="0"/>
                <w:szCs w:val="21"/>
              </w:rPr>
              <w:t>其他</w:t>
            </w:r>
            <w:r>
              <w:rPr>
                <w:rFonts w:hint="eastAsia"/>
                <w:color w:val="000000"/>
                <w:kern w:val="0"/>
                <w:szCs w:val="21"/>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6642E3A">
            <w:pPr>
              <w:widowControl/>
              <w:jc w:val="center"/>
              <w:textAlignment w:val="center"/>
              <w:rPr>
                <w:color w:val="000000"/>
                <w:kern w:val="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1B9B918">
            <w:pPr>
              <w:widowControl/>
              <w:jc w:val="center"/>
              <w:textAlignment w:val="center"/>
              <w:rPr>
                <w:color w:val="000000"/>
                <w:kern w:val="0"/>
                <w:szCs w:val="21"/>
              </w:rPr>
            </w:pPr>
          </w:p>
        </w:tc>
        <w:tc>
          <w:tcPr>
            <w:tcW w:w="544"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DA557E">
            <w:pPr>
              <w:widowControl/>
              <w:jc w:val="center"/>
              <w:textAlignment w:val="center"/>
              <w:rPr>
                <w:color w:val="000000"/>
                <w:kern w:val="0"/>
                <w:szCs w:val="21"/>
              </w:rPr>
            </w:pPr>
          </w:p>
        </w:tc>
      </w:tr>
      <w:tr w14:paraId="42D77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5181"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63C1E39">
            <w:pPr>
              <w:widowControl/>
              <w:jc w:val="center"/>
              <w:textAlignment w:val="center"/>
              <w:rPr>
                <w:color w:val="000000"/>
                <w:kern w:val="0"/>
                <w:szCs w:val="21"/>
              </w:rPr>
            </w:pPr>
            <w:r>
              <w:rPr>
                <w:color w:val="000000"/>
                <w:kern w:val="0"/>
                <w:szCs w:val="21"/>
              </w:rPr>
              <w:t>合计</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F603685">
            <w:pPr>
              <w:widowControl/>
              <w:jc w:val="center"/>
              <w:textAlignment w:val="center"/>
              <w:rPr>
                <w:color w:val="000000"/>
                <w:kern w:val="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F2FC733">
            <w:pPr>
              <w:widowControl/>
              <w:jc w:val="center"/>
              <w:textAlignment w:val="center"/>
              <w:rPr>
                <w:color w:val="000000"/>
                <w:kern w:val="0"/>
                <w:szCs w:val="21"/>
              </w:rPr>
            </w:pPr>
            <w:r>
              <w:rPr>
                <w:color w:val="000000"/>
                <w:kern w:val="0"/>
                <w:szCs w:val="21"/>
              </w:rPr>
              <w:t>100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D7D5EBF">
            <w:pPr>
              <w:widowControl/>
              <w:jc w:val="center"/>
              <w:textAlignment w:val="center"/>
              <w:rPr>
                <w:color w:val="000000"/>
                <w:kern w:val="0"/>
                <w:szCs w:val="21"/>
              </w:rPr>
            </w:pPr>
          </w:p>
        </w:tc>
      </w:tr>
      <w:tr w14:paraId="3FDCD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9404" w:type="dxa"/>
            <w:gridSpan w:val="5"/>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F779BAC">
            <w:pPr>
              <w:widowControl/>
              <w:jc w:val="left"/>
              <w:textAlignment w:val="center"/>
              <w:rPr>
                <w:color w:val="000000"/>
                <w:kern w:val="0"/>
                <w:szCs w:val="21"/>
              </w:rPr>
            </w:pPr>
            <w:r>
              <w:rPr>
                <w:color w:val="000000"/>
                <w:kern w:val="0"/>
                <w:szCs w:val="21"/>
              </w:rPr>
              <w:t>综合评价：意见和建议（工程亮点、存在问题、改正方法、提高方向）</w:t>
            </w:r>
          </w:p>
          <w:p w14:paraId="02FD527E">
            <w:pPr>
              <w:widowControl/>
              <w:jc w:val="left"/>
              <w:textAlignment w:val="center"/>
              <w:rPr>
                <w:color w:val="000000"/>
                <w:kern w:val="0"/>
                <w:szCs w:val="21"/>
              </w:rPr>
            </w:pPr>
          </w:p>
          <w:p w14:paraId="24E20AE6">
            <w:pPr>
              <w:widowControl/>
              <w:jc w:val="left"/>
              <w:textAlignment w:val="center"/>
              <w:rPr>
                <w:color w:val="000000"/>
                <w:kern w:val="0"/>
                <w:szCs w:val="21"/>
              </w:rPr>
            </w:pPr>
          </w:p>
          <w:p w14:paraId="54C040EA">
            <w:pPr>
              <w:widowControl/>
              <w:jc w:val="left"/>
              <w:textAlignment w:val="center"/>
              <w:rPr>
                <w:color w:val="000000"/>
                <w:kern w:val="0"/>
                <w:szCs w:val="21"/>
              </w:rPr>
            </w:pPr>
          </w:p>
          <w:p w14:paraId="2ECF3947">
            <w:pPr>
              <w:widowControl/>
              <w:jc w:val="left"/>
              <w:textAlignment w:val="center"/>
              <w:rPr>
                <w:color w:val="000000"/>
                <w:kern w:val="0"/>
                <w:szCs w:val="21"/>
              </w:rPr>
            </w:pPr>
          </w:p>
          <w:p w14:paraId="327A41E0">
            <w:pPr>
              <w:widowControl/>
              <w:jc w:val="left"/>
              <w:textAlignment w:val="center"/>
              <w:rPr>
                <w:color w:val="000000"/>
                <w:kern w:val="0"/>
                <w:szCs w:val="21"/>
              </w:rPr>
            </w:pPr>
          </w:p>
          <w:p w14:paraId="60E9DF97">
            <w:pPr>
              <w:widowControl/>
              <w:jc w:val="left"/>
              <w:textAlignment w:val="center"/>
              <w:rPr>
                <w:color w:val="000000"/>
                <w:kern w:val="0"/>
                <w:szCs w:val="21"/>
              </w:rPr>
            </w:pPr>
          </w:p>
          <w:p w14:paraId="1AF8DCCE">
            <w:pPr>
              <w:widowControl/>
              <w:jc w:val="left"/>
              <w:textAlignment w:val="center"/>
              <w:rPr>
                <w:color w:val="000000"/>
                <w:kern w:val="0"/>
                <w:szCs w:val="21"/>
              </w:rPr>
            </w:pPr>
          </w:p>
          <w:p w14:paraId="6DCE76D0">
            <w:pPr>
              <w:widowControl/>
              <w:jc w:val="left"/>
              <w:textAlignment w:val="center"/>
              <w:rPr>
                <w:color w:val="000000"/>
                <w:kern w:val="0"/>
                <w:szCs w:val="21"/>
              </w:rPr>
            </w:pPr>
            <w:r>
              <w:rPr>
                <w:color w:val="000000"/>
                <w:kern w:val="0"/>
                <w:szCs w:val="21"/>
              </w:rPr>
              <w:t xml:space="preserve">                                        检查人：</w:t>
            </w:r>
          </w:p>
          <w:p w14:paraId="025D9045">
            <w:pPr>
              <w:widowControl/>
              <w:jc w:val="left"/>
              <w:textAlignment w:val="center"/>
              <w:rPr>
                <w:color w:val="000000"/>
                <w:kern w:val="0"/>
                <w:szCs w:val="21"/>
              </w:rPr>
            </w:pPr>
            <w:r>
              <w:rPr>
                <w:color w:val="000000"/>
                <w:kern w:val="0"/>
                <w:szCs w:val="21"/>
              </w:rPr>
              <w:t xml:space="preserve">                                                           年  月   日</w:t>
            </w:r>
          </w:p>
        </w:tc>
      </w:tr>
    </w:tbl>
    <w:p w14:paraId="361A26AB">
      <w:pPr>
        <w:widowControl/>
        <w:ind w:right="-840" w:rightChars="-400"/>
        <w:textAlignment w:val="center"/>
        <w:rPr>
          <w:color w:val="000000"/>
        </w:rPr>
      </w:pPr>
      <w:r>
        <w:rPr>
          <w:color w:val="000000"/>
        </w:rPr>
        <w:t>注：本表评价打分1-3项达不到本标准规定，每项扣5分，项目管理成果获得省（部）级 QC 成果、BIM 大赛奖每项得5分；用户评价为非常满意得2</w:t>
      </w:r>
      <w:r>
        <w:rPr>
          <w:rFonts w:hint="eastAsia"/>
          <w:color w:val="000000"/>
        </w:rPr>
        <w:t>0</w:t>
      </w:r>
      <w:r>
        <w:rPr>
          <w:color w:val="000000"/>
        </w:rPr>
        <w:t>分，满意得1</w:t>
      </w:r>
      <w:r>
        <w:rPr>
          <w:rFonts w:hint="eastAsia"/>
          <w:color w:val="000000"/>
        </w:rPr>
        <w:t>0</w:t>
      </w:r>
      <w:r>
        <w:rPr>
          <w:color w:val="000000"/>
        </w:rPr>
        <w:t>分，否则不得分。</w:t>
      </w:r>
    </w:p>
    <w:p w14:paraId="02E94B09">
      <w:pPr>
        <w:widowControl/>
        <w:jc w:val="center"/>
        <w:textAlignment w:val="center"/>
        <w:outlineLvl w:val="1"/>
        <w:rPr>
          <w:rStyle w:val="32"/>
          <w:rFonts w:ascii="Times New Roman" w:hAnsi="Times New Roman" w:eastAsia="黑体"/>
          <w:sz w:val="28"/>
          <w:szCs w:val="28"/>
          <w:lang w:val="en-US"/>
        </w:rPr>
      </w:pPr>
      <w:r>
        <w:rPr>
          <w:rFonts w:eastAsia="黑体"/>
          <w:color w:val="000000"/>
          <w:kern w:val="0"/>
          <w:sz w:val="24"/>
        </w:rPr>
        <w:br w:type="page"/>
      </w:r>
      <w:bookmarkStart w:id="856" w:name="_Toc29147"/>
      <w:bookmarkStart w:id="857" w:name="_Toc22644"/>
      <w:bookmarkStart w:id="858" w:name="_Toc15572"/>
      <w:bookmarkStart w:id="859" w:name="_Toc15648"/>
      <w:bookmarkStart w:id="860" w:name="_Toc6785"/>
      <w:bookmarkStart w:id="861" w:name="_Toc22049"/>
      <w:bookmarkStart w:id="862" w:name="_Toc2932"/>
      <w:bookmarkStart w:id="863" w:name="_Toc10069"/>
      <w:r>
        <w:rPr>
          <w:rStyle w:val="32"/>
          <w:rFonts w:ascii="Times New Roman" w:hAnsi="Times New Roman" w:eastAsia="黑体"/>
          <w:sz w:val="28"/>
          <w:szCs w:val="28"/>
          <w:lang w:val="en-US"/>
        </w:rPr>
        <w:t>附录</w:t>
      </w:r>
      <w:r>
        <w:rPr>
          <w:rStyle w:val="32"/>
          <w:rFonts w:hint="eastAsia" w:ascii="Times New Roman" w:hAnsi="Times New Roman" w:eastAsia="黑体"/>
          <w:sz w:val="28"/>
          <w:szCs w:val="28"/>
          <w:lang w:val="en-US"/>
        </w:rPr>
        <w:t>F</w:t>
      </w:r>
      <w:r>
        <w:rPr>
          <w:rStyle w:val="32"/>
          <w:rFonts w:ascii="Times New Roman" w:hAnsi="Times New Roman" w:eastAsia="黑体"/>
          <w:sz w:val="28"/>
          <w:szCs w:val="28"/>
          <w:lang w:val="en-US"/>
        </w:rPr>
        <w:t xml:space="preserve">  技术应用创新与</w:t>
      </w:r>
      <w:r>
        <w:rPr>
          <w:rStyle w:val="32"/>
          <w:rFonts w:hint="eastAsia" w:eastAsia="黑体"/>
          <w:sz w:val="28"/>
          <w:szCs w:val="28"/>
          <w:lang w:val="en-US"/>
        </w:rPr>
        <w:t>智能建造</w:t>
      </w:r>
      <w:r>
        <w:rPr>
          <w:rStyle w:val="32"/>
          <w:rFonts w:ascii="Times New Roman" w:hAnsi="Times New Roman" w:eastAsia="黑体"/>
          <w:sz w:val="28"/>
          <w:szCs w:val="28"/>
        </w:rPr>
        <w:t>现场检查</w:t>
      </w:r>
      <w:bookmarkEnd w:id="856"/>
      <w:bookmarkEnd w:id="857"/>
      <w:bookmarkEnd w:id="858"/>
      <w:bookmarkEnd w:id="859"/>
      <w:bookmarkEnd w:id="860"/>
      <w:bookmarkEnd w:id="861"/>
      <w:bookmarkEnd w:id="862"/>
      <w:bookmarkEnd w:id="863"/>
    </w:p>
    <w:p w14:paraId="5F4FAB74">
      <w:pPr>
        <w:jc w:val="center"/>
        <w:outlineLvl w:val="2"/>
        <w:rPr>
          <w:rFonts w:eastAsia="黑体"/>
          <w:color w:val="000000"/>
          <w:sz w:val="24"/>
          <w:szCs w:val="24"/>
          <w:lang w:val="zh-CN"/>
        </w:rPr>
      </w:pPr>
      <w:r>
        <w:rPr>
          <w:rFonts w:eastAsia="黑体"/>
          <w:color w:val="000000"/>
          <w:sz w:val="24"/>
          <w:szCs w:val="24"/>
          <w:lang w:val="zh-CN"/>
        </w:rPr>
        <w:t xml:space="preserve">  </w:t>
      </w:r>
      <w:bookmarkStart w:id="864" w:name="_Toc22433"/>
      <w:bookmarkStart w:id="865" w:name="_Toc1048"/>
      <w:bookmarkStart w:id="866" w:name="_Toc28445"/>
      <w:bookmarkStart w:id="867" w:name="_Toc10769"/>
      <w:bookmarkStart w:id="868" w:name="_Toc10989"/>
      <w:bookmarkStart w:id="869" w:name="_Toc10794"/>
      <w:bookmarkStart w:id="870" w:name="_Toc15530"/>
      <w:bookmarkStart w:id="871" w:name="_Toc15386"/>
      <w:bookmarkStart w:id="872" w:name="_Toc13835"/>
      <w:bookmarkStart w:id="873" w:name="_Toc12806"/>
      <w:bookmarkStart w:id="874" w:name="_Toc2568"/>
      <w:bookmarkStart w:id="875" w:name="_Toc11725"/>
      <w:bookmarkStart w:id="876" w:name="_Toc26684"/>
      <w:bookmarkStart w:id="877" w:name="_Toc9213"/>
      <w:r>
        <w:rPr>
          <w:rFonts w:eastAsia="黑体"/>
          <w:color w:val="000000"/>
          <w:sz w:val="24"/>
          <w:szCs w:val="24"/>
          <w:lang w:val="zh-CN"/>
        </w:rPr>
        <w:t>表</w:t>
      </w:r>
      <w:r>
        <w:rPr>
          <w:rFonts w:hint="eastAsia" w:eastAsia="黑体"/>
          <w:color w:val="000000"/>
          <w:sz w:val="24"/>
          <w:szCs w:val="24"/>
        </w:rPr>
        <w:t>F</w:t>
      </w:r>
      <w:r>
        <w:rPr>
          <w:rFonts w:eastAsia="黑体"/>
          <w:color w:val="000000"/>
          <w:sz w:val="24"/>
          <w:szCs w:val="24"/>
          <w:lang w:val="zh-CN"/>
        </w:rPr>
        <w:t>.0.1   技术应用创新与</w:t>
      </w:r>
      <w:r>
        <w:rPr>
          <w:rFonts w:hint="eastAsia" w:eastAsia="黑体"/>
          <w:color w:val="000000"/>
          <w:sz w:val="24"/>
          <w:szCs w:val="24"/>
          <w:lang w:val="zh-CN"/>
        </w:rPr>
        <w:t>智能建造</w:t>
      </w:r>
      <w:r>
        <w:rPr>
          <w:rFonts w:hint="eastAsia" w:ascii="黑体" w:hAnsi="黑体" w:eastAsia="黑体" w:cs="宋体"/>
          <w:color w:val="000000"/>
          <w:kern w:val="0"/>
          <w:sz w:val="24"/>
          <w:szCs w:val="24"/>
        </w:rPr>
        <w:t>现场检查</w:t>
      </w:r>
      <w:bookmarkEnd w:id="864"/>
      <w:bookmarkEnd w:id="865"/>
      <w:bookmarkEnd w:id="866"/>
      <w:bookmarkEnd w:id="867"/>
      <w:bookmarkEnd w:id="868"/>
      <w:bookmarkEnd w:id="869"/>
      <w:bookmarkEnd w:id="870"/>
      <w:bookmarkEnd w:id="871"/>
      <w:r>
        <w:rPr>
          <w:rFonts w:hint="eastAsia" w:eastAsia="黑体"/>
          <w:color w:val="000000"/>
          <w:sz w:val="24"/>
          <w:szCs w:val="24"/>
          <w:lang w:val="zh-CN"/>
        </w:rPr>
        <w:t>表</w:t>
      </w:r>
      <w:bookmarkEnd w:id="872"/>
      <w:bookmarkEnd w:id="873"/>
      <w:bookmarkEnd w:id="874"/>
      <w:bookmarkEnd w:id="875"/>
      <w:bookmarkEnd w:id="876"/>
      <w:bookmarkEnd w:id="877"/>
    </w:p>
    <w:p w14:paraId="32FBA14F">
      <w:pPr>
        <w:widowControl/>
        <w:spacing w:before="156" w:beforeLines="50" w:after="156" w:afterLines="50"/>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W w:w="94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1"/>
        <w:gridCol w:w="4650"/>
        <w:gridCol w:w="3135"/>
        <w:gridCol w:w="544"/>
        <w:gridCol w:w="544"/>
      </w:tblGrid>
      <w:tr w14:paraId="40EEC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3D5E90B">
            <w:pPr>
              <w:widowControl/>
              <w:jc w:val="center"/>
              <w:textAlignment w:val="center"/>
              <w:rPr>
                <w:color w:val="000000"/>
                <w:szCs w:val="21"/>
              </w:rPr>
            </w:pPr>
            <w:r>
              <w:rPr>
                <w:color w:val="000000"/>
                <w:kern w:val="0"/>
                <w:szCs w:val="21"/>
              </w:rPr>
              <w:t>序号</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B45BAC1">
            <w:pPr>
              <w:widowControl/>
              <w:jc w:val="center"/>
              <w:textAlignment w:val="center"/>
              <w:rPr>
                <w:color w:val="000000"/>
                <w:szCs w:val="21"/>
              </w:rPr>
            </w:pPr>
            <w:r>
              <w:rPr>
                <w:color w:val="000000"/>
                <w:kern w:val="0"/>
                <w:szCs w:val="21"/>
              </w:rPr>
              <w:t>检查项目</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23810E2">
            <w:pPr>
              <w:widowControl/>
              <w:jc w:val="center"/>
              <w:textAlignment w:val="center"/>
              <w:rPr>
                <w:color w:val="000000"/>
                <w:szCs w:val="21"/>
              </w:rPr>
            </w:pPr>
            <w:r>
              <w:rPr>
                <w:color w:val="000000"/>
                <w:kern w:val="0"/>
                <w:szCs w:val="21"/>
              </w:rPr>
              <w:t>检查情况</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D8CB8A9">
            <w:pPr>
              <w:widowControl/>
              <w:jc w:val="center"/>
              <w:textAlignment w:val="center"/>
              <w:rPr>
                <w:color w:val="000000"/>
                <w:kern w:val="0"/>
                <w:szCs w:val="21"/>
              </w:rPr>
            </w:pPr>
            <w:r>
              <w:rPr>
                <w:color w:val="000000"/>
                <w:kern w:val="0"/>
                <w:szCs w:val="21"/>
              </w:rPr>
              <w:t>应得分</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8782333">
            <w:pPr>
              <w:widowControl/>
              <w:jc w:val="center"/>
              <w:textAlignment w:val="center"/>
              <w:rPr>
                <w:color w:val="000000"/>
                <w:szCs w:val="21"/>
              </w:rPr>
            </w:pPr>
            <w:r>
              <w:rPr>
                <w:color w:val="000000"/>
                <w:kern w:val="0"/>
                <w:szCs w:val="21"/>
              </w:rPr>
              <w:t>实得分</w:t>
            </w:r>
          </w:p>
        </w:tc>
      </w:tr>
      <w:tr w14:paraId="2564F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4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3CAC73C">
            <w:pPr>
              <w:widowControl/>
              <w:jc w:val="center"/>
              <w:textAlignment w:val="center"/>
              <w:rPr>
                <w:color w:val="000000"/>
                <w:szCs w:val="21"/>
              </w:rPr>
            </w:pPr>
            <w:r>
              <w:rPr>
                <w:color w:val="000000"/>
                <w:kern w:val="0"/>
                <w:sz w:val="22"/>
                <w:szCs w:val="22"/>
              </w:rPr>
              <w:t>1</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F01DD9F">
            <w:pPr>
              <w:widowControl/>
              <w:ind w:left="210" w:leftChars="100"/>
              <w:jc w:val="left"/>
              <w:textAlignment w:val="center"/>
              <w:rPr>
                <w:color w:val="000000"/>
                <w:kern w:val="0"/>
                <w:sz w:val="22"/>
                <w:szCs w:val="22"/>
              </w:rPr>
            </w:pPr>
            <w:r>
              <w:rPr>
                <w:color w:val="000000"/>
                <w:kern w:val="0"/>
                <w:sz w:val="22"/>
                <w:szCs w:val="22"/>
              </w:rPr>
              <w:t>新技术推广应用及技术创新计划</w:t>
            </w:r>
            <w:r>
              <w:rPr>
                <w:rFonts w:hint="eastAsia"/>
                <w:color w:val="000000"/>
                <w:kern w:val="0"/>
                <w:sz w:val="22"/>
                <w:szCs w:val="22"/>
              </w:rPr>
              <w:t>；</w:t>
            </w:r>
          </w:p>
          <w:p w14:paraId="3D59DF41">
            <w:pPr>
              <w:widowControl/>
              <w:ind w:left="210" w:leftChars="100"/>
              <w:jc w:val="left"/>
              <w:textAlignment w:val="center"/>
              <w:rPr>
                <w:color w:val="000000"/>
                <w:kern w:val="0"/>
                <w:szCs w:val="21"/>
              </w:rPr>
            </w:pPr>
            <w:r>
              <w:rPr>
                <w:color w:val="000000"/>
                <w:kern w:val="0"/>
                <w:sz w:val="22"/>
                <w:szCs w:val="22"/>
              </w:rPr>
              <w:t>智</w:t>
            </w:r>
            <w:r>
              <w:rPr>
                <w:rFonts w:hint="eastAsia"/>
                <w:color w:val="000000"/>
                <w:kern w:val="0"/>
                <w:sz w:val="22"/>
                <w:szCs w:val="22"/>
              </w:rPr>
              <w:t>能</w:t>
            </w:r>
            <w:r>
              <w:rPr>
                <w:color w:val="000000"/>
                <w:kern w:val="0"/>
                <w:sz w:val="22"/>
                <w:szCs w:val="22"/>
              </w:rPr>
              <w:t>建造技术策划方案和实施计划</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3E47FE6">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CFB7FCE">
            <w:pPr>
              <w:widowControl/>
              <w:jc w:val="center"/>
              <w:textAlignment w:val="center"/>
              <w:rPr>
                <w:color w:val="000000"/>
                <w:kern w:val="0"/>
                <w:szCs w:val="21"/>
              </w:rPr>
            </w:pPr>
            <w:r>
              <w:rPr>
                <w:rFonts w:hint="eastAsia"/>
                <w:color w:val="000000"/>
                <w:szCs w:val="21"/>
              </w:rPr>
              <w:t>30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6553639">
            <w:pPr>
              <w:rPr>
                <w:color w:val="000000"/>
                <w:szCs w:val="21"/>
              </w:rPr>
            </w:pPr>
          </w:p>
        </w:tc>
      </w:tr>
      <w:tr w14:paraId="6E59D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4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AE242FB">
            <w:pPr>
              <w:widowControl/>
              <w:jc w:val="center"/>
              <w:textAlignment w:val="center"/>
              <w:rPr>
                <w:color w:val="000000"/>
                <w:szCs w:val="21"/>
              </w:rPr>
            </w:pPr>
            <w:r>
              <w:rPr>
                <w:color w:val="000000"/>
                <w:kern w:val="0"/>
                <w:sz w:val="22"/>
                <w:szCs w:val="22"/>
              </w:rPr>
              <w:t>2</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EDA5F2B">
            <w:pPr>
              <w:widowControl/>
              <w:ind w:left="210" w:leftChars="100"/>
              <w:jc w:val="left"/>
              <w:textAlignment w:val="center"/>
              <w:rPr>
                <w:color w:val="000000"/>
                <w:kern w:val="0"/>
                <w:szCs w:val="21"/>
              </w:rPr>
            </w:pPr>
            <w:r>
              <w:rPr>
                <w:color w:val="000000"/>
                <w:kern w:val="0"/>
                <w:sz w:val="22"/>
                <w:szCs w:val="22"/>
              </w:rPr>
              <w:t>住建部10项新技术应用</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2739BB0">
            <w:pPr>
              <w:widowControl/>
              <w:jc w:val="center"/>
              <w:textAlignment w:val="center"/>
              <w:rPr>
                <w:color w:val="000000"/>
                <w:kern w:val="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9B1689E">
            <w:pPr>
              <w:widowControl/>
              <w:jc w:val="center"/>
              <w:textAlignment w:val="center"/>
              <w:rPr>
                <w:color w:val="000000"/>
                <w:kern w:val="0"/>
                <w:szCs w:val="21"/>
              </w:rPr>
            </w:pPr>
            <w:r>
              <w:rPr>
                <w:rFonts w:hint="eastAsia"/>
                <w:color w:val="000000"/>
                <w:kern w:val="0"/>
                <w:szCs w:val="21"/>
              </w:rPr>
              <w:t>40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346C96C">
            <w:pPr>
              <w:widowControl/>
              <w:jc w:val="center"/>
              <w:textAlignment w:val="center"/>
              <w:rPr>
                <w:color w:val="000000"/>
                <w:kern w:val="0"/>
                <w:szCs w:val="21"/>
              </w:rPr>
            </w:pPr>
          </w:p>
        </w:tc>
      </w:tr>
      <w:tr w14:paraId="3DCE1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47"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0006907">
            <w:pPr>
              <w:widowControl/>
              <w:jc w:val="center"/>
              <w:textAlignment w:val="center"/>
              <w:rPr>
                <w:color w:val="000000"/>
                <w:kern w:val="0"/>
                <w:szCs w:val="21"/>
              </w:rPr>
            </w:pPr>
            <w:r>
              <w:rPr>
                <w:color w:val="000000"/>
                <w:kern w:val="0"/>
                <w:sz w:val="22"/>
                <w:szCs w:val="22"/>
              </w:rPr>
              <w:t>3</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B2E410">
            <w:pPr>
              <w:widowControl/>
              <w:ind w:left="210" w:leftChars="100"/>
              <w:jc w:val="left"/>
              <w:textAlignment w:val="center"/>
              <w:rPr>
                <w:color w:val="000000"/>
                <w:kern w:val="0"/>
                <w:szCs w:val="21"/>
              </w:rPr>
            </w:pPr>
            <w:r>
              <w:rPr>
                <w:color w:val="000000"/>
                <w:kern w:val="0"/>
                <w:sz w:val="22"/>
                <w:szCs w:val="22"/>
              </w:rPr>
              <w:t>北京市建设领域百项重点推广应用</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813D35F">
            <w:pPr>
              <w:widowControl/>
              <w:jc w:val="center"/>
              <w:textAlignment w:val="center"/>
              <w:rPr>
                <w:color w:val="000000"/>
                <w:kern w:val="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12B9085">
            <w:pPr>
              <w:widowControl/>
              <w:jc w:val="center"/>
              <w:textAlignment w:val="center"/>
              <w:rPr>
                <w:color w:val="000000"/>
                <w:kern w:val="0"/>
                <w:szCs w:val="21"/>
              </w:rPr>
            </w:pPr>
            <w:r>
              <w:rPr>
                <w:rFonts w:hint="eastAsia"/>
                <w:color w:val="000000"/>
                <w:kern w:val="0"/>
                <w:szCs w:val="21"/>
              </w:rPr>
              <w:t>10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0B5A279">
            <w:pPr>
              <w:widowControl/>
              <w:jc w:val="center"/>
              <w:textAlignment w:val="center"/>
              <w:rPr>
                <w:color w:val="000000"/>
                <w:kern w:val="0"/>
                <w:szCs w:val="21"/>
              </w:rPr>
            </w:pPr>
          </w:p>
        </w:tc>
      </w:tr>
      <w:tr w14:paraId="7027F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99"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2AFFF86">
            <w:pPr>
              <w:widowControl/>
              <w:jc w:val="center"/>
              <w:textAlignment w:val="center"/>
              <w:rPr>
                <w:color w:val="000000"/>
                <w:kern w:val="0"/>
                <w:szCs w:val="21"/>
              </w:rPr>
            </w:pPr>
            <w:r>
              <w:rPr>
                <w:color w:val="000000"/>
                <w:kern w:val="0"/>
                <w:sz w:val="22"/>
                <w:szCs w:val="22"/>
              </w:rPr>
              <w:t>4</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57B5F56">
            <w:pPr>
              <w:widowControl/>
              <w:ind w:left="210" w:leftChars="100"/>
              <w:jc w:val="left"/>
              <w:textAlignment w:val="center"/>
              <w:rPr>
                <w:color w:val="000000"/>
                <w:kern w:val="0"/>
                <w:szCs w:val="21"/>
              </w:rPr>
            </w:pPr>
            <w:r>
              <w:rPr>
                <w:color w:val="000000"/>
                <w:kern w:val="0"/>
                <w:sz w:val="22"/>
                <w:szCs w:val="22"/>
              </w:rPr>
              <w:t>开展科技创新工作</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8C96027">
            <w:pPr>
              <w:widowControl/>
              <w:jc w:val="center"/>
              <w:textAlignment w:val="center"/>
              <w:rPr>
                <w:color w:val="000000"/>
                <w:kern w:val="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D12BF11">
            <w:pPr>
              <w:widowControl/>
              <w:jc w:val="center"/>
              <w:textAlignment w:val="center"/>
              <w:rPr>
                <w:color w:val="000000"/>
                <w:kern w:val="0"/>
                <w:szCs w:val="21"/>
              </w:rPr>
            </w:pPr>
            <w:r>
              <w:rPr>
                <w:rFonts w:hint="eastAsia"/>
                <w:color w:val="000000"/>
                <w:kern w:val="0"/>
                <w:szCs w:val="21"/>
              </w:rPr>
              <w:t>20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7BE5294">
            <w:pPr>
              <w:widowControl/>
              <w:jc w:val="center"/>
              <w:textAlignment w:val="center"/>
              <w:rPr>
                <w:color w:val="000000"/>
                <w:kern w:val="0"/>
                <w:szCs w:val="21"/>
              </w:rPr>
            </w:pPr>
          </w:p>
        </w:tc>
      </w:tr>
      <w:tr w14:paraId="114BD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5181"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70EB697">
            <w:pPr>
              <w:widowControl/>
              <w:ind w:left="210" w:leftChars="100"/>
              <w:jc w:val="center"/>
              <w:textAlignment w:val="center"/>
              <w:rPr>
                <w:color w:val="000000"/>
                <w:kern w:val="0"/>
                <w:sz w:val="22"/>
                <w:szCs w:val="22"/>
              </w:rPr>
            </w:pPr>
            <w:r>
              <w:rPr>
                <w:color w:val="000000"/>
                <w:kern w:val="0"/>
                <w:sz w:val="22"/>
                <w:szCs w:val="22"/>
              </w:rPr>
              <w:t>合计</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EEB7CD5">
            <w:pPr>
              <w:widowControl/>
              <w:jc w:val="center"/>
              <w:textAlignment w:val="center"/>
              <w:rPr>
                <w:color w:val="000000"/>
                <w:kern w:val="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8963301">
            <w:pPr>
              <w:widowControl/>
              <w:jc w:val="center"/>
              <w:textAlignment w:val="center"/>
              <w:rPr>
                <w:color w:val="000000"/>
                <w:kern w:val="0"/>
                <w:szCs w:val="21"/>
              </w:rPr>
            </w:pPr>
            <w:r>
              <w:rPr>
                <w:rFonts w:hint="eastAsia"/>
                <w:color w:val="000000"/>
                <w:kern w:val="0"/>
                <w:szCs w:val="21"/>
              </w:rPr>
              <w:t>100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A03BE5E">
            <w:pPr>
              <w:widowControl/>
              <w:jc w:val="center"/>
              <w:textAlignment w:val="center"/>
              <w:rPr>
                <w:color w:val="000000"/>
                <w:kern w:val="0"/>
                <w:szCs w:val="21"/>
              </w:rPr>
            </w:pPr>
          </w:p>
        </w:tc>
      </w:tr>
      <w:tr w14:paraId="4EA93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9404" w:type="dxa"/>
            <w:gridSpan w:val="5"/>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60FF5F4">
            <w:pPr>
              <w:widowControl/>
              <w:jc w:val="left"/>
              <w:textAlignment w:val="center"/>
              <w:rPr>
                <w:color w:val="000000"/>
                <w:kern w:val="0"/>
                <w:szCs w:val="21"/>
              </w:rPr>
            </w:pPr>
            <w:r>
              <w:rPr>
                <w:color w:val="000000"/>
                <w:kern w:val="0"/>
                <w:szCs w:val="21"/>
              </w:rPr>
              <w:t>综合评价：意见和建议（工程亮点、存在问题、改正方法、提高方向）</w:t>
            </w:r>
          </w:p>
          <w:p w14:paraId="0FE9E483">
            <w:pPr>
              <w:widowControl/>
              <w:jc w:val="left"/>
              <w:textAlignment w:val="center"/>
              <w:rPr>
                <w:color w:val="000000"/>
                <w:kern w:val="0"/>
                <w:szCs w:val="21"/>
              </w:rPr>
            </w:pPr>
          </w:p>
          <w:p w14:paraId="23F8703D">
            <w:pPr>
              <w:widowControl/>
              <w:jc w:val="left"/>
              <w:textAlignment w:val="center"/>
              <w:rPr>
                <w:color w:val="000000"/>
                <w:kern w:val="0"/>
                <w:szCs w:val="21"/>
              </w:rPr>
            </w:pPr>
          </w:p>
          <w:p w14:paraId="0A6FF4D6">
            <w:pPr>
              <w:widowControl/>
              <w:jc w:val="left"/>
              <w:textAlignment w:val="center"/>
              <w:rPr>
                <w:color w:val="000000"/>
                <w:kern w:val="0"/>
                <w:szCs w:val="21"/>
              </w:rPr>
            </w:pPr>
          </w:p>
          <w:p w14:paraId="2C372A62">
            <w:pPr>
              <w:pStyle w:val="2"/>
              <w:ind w:left="134" w:firstLine="283"/>
              <w:rPr>
                <w:color w:val="000000"/>
              </w:rPr>
            </w:pPr>
          </w:p>
          <w:p w14:paraId="6304FF8B">
            <w:pPr>
              <w:widowControl/>
              <w:jc w:val="left"/>
              <w:textAlignment w:val="center"/>
              <w:rPr>
                <w:color w:val="000000"/>
                <w:kern w:val="0"/>
                <w:szCs w:val="21"/>
              </w:rPr>
            </w:pPr>
          </w:p>
          <w:p w14:paraId="7B14AA2A">
            <w:pPr>
              <w:widowControl/>
              <w:jc w:val="left"/>
              <w:textAlignment w:val="center"/>
              <w:rPr>
                <w:color w:val="000000"/>
                <w:kern w:val="0"/>
                <w:szCs w:val="21"/>
              </w:rPr>
            </w:pPr>
          </w:p>
          <w:p w14:paraId="3CB02B1E">
            <w:pPr>
              <w:pStyle w:val="2"/>
              <w:ind w:left="134" w:firstLine="283"/>
              <w:rPr>
                <w:color w:val="000000"/>
              </w:rPr>
            </w:pPr>
          </w:p>
          <w:p w14:paraId="00456B67">
            <w:pPr>
              <w:widowControl/>
              <w:jc w:val="left"/>
              <w:textAlignment w:val="center"/>
              <w:rPr>
                <w:color w:val="000000"/>
                <w:kern w:val="0"/>
                <w:szCs w:val="21"/>
              </w:rPr>
            </w:pPr>
          </w:p>
          <w:p w14:paraId="55E61CF4">
            <w:pPr>
              <w:widowControl/>
              <w:jc w:val="left"/>
              <w:textAlignment w:val="center"/>
              <w:rPr>
                <w:color w:val="000000"/>
                <w:kern w:val="0"/>
                <w:szCs w:val="21"/>
              </w:rPr>
            </w:pPr>
          </w:p>
          <w:p w14:paraId="579E282C">
            <w:pPr>
              <w:widowControl/>
              <w:jc w:val="left"/>
              <w:textAlignment w:val="center"/>
              <w:rPr>
                <w:color w:val="000000"/>
                <w:kern w:val="0"/>
                <w:szCs w:val="21"/>
              </w:rPr>
            </w:pPr>
          </w:p>
          <w:p w14:paraId="274FCDC7">
            <w:pPr>
              <w:widowControl/>
              <w:jc w:val="left"/>
              <w:textAlignment w:val="center"/>
              <w:rPr>
                <w:color w:val="000000"/>
                <w:kern w:val="0"/>
                <w:szCs w:val="21"/>
              </w:rPr>
            </w:pPr>
            <w:r>
              <w:rPr>
                <w:color w:val="000000"/>
                <w:kern w:val="0"/>
                <w:szCs w:val="21"/>
              </w:rPr>
              <w:t xml:space="preserve">                                        检查人：</w:t>
            </w:r>
          </w:p>
          <w:p w14:paraId="336A683C">
            <w:pPr>
              <w:widowControl/>
              <w:jc w:val="left"/>
              <w:textAlignment w:val="center"/>
              <w:rPr>
                <w:color w:val="000000"/>
                <w:kern w:val="0"/>
                <w:szCs w:val="21"/>
              </w:rPr>
            </w:pPr>
            <w:r>
              <w:rPr>
                <w:color w:val="000000"/>
                <w:kern w:val="0"/>
                <w:szCs w:val="21"/>
              </w:rPr>
              <w:t xml:space="preserve">                                                           年  月   日</w:t>
            </w:r>
          </w:p>
        </w:tc>
      </w:tr>
    </w:tbl>
    <w:p w14:paraId="5CCD6B15">
      <w:pPr>
        <w:widowControl/>
        <w:ind w:right="-840" w:rightChars="-400"/>
        <w:textAlignment w:val="center"/>
        <w:rPr>
          <w:color w:val="000000"/>
          <w:kern w:val="0"/>
          <w:sz w:val="24"/>
        </w:rPr>
      </w:pPr>
      <w:r>
        <w:rPr>
          <w:color w:val="000000"/>
        </w:rPr>
        <w:t>注：本表评价打分1-3项达不到本标准规定，每项扣</w:t>
      </w:r>
      <w:r>
        <w:rPr>
          <w:rFonts w:hint="eastAsia"/>
          <w:color w:val="000000"/>
        </w:rPr>
        <w:t>5</w:t>
      </w:r>
      <w:r>
        <w:rPr>
          <w:color w:val="000000"/>
        </w:rPr>
        <w:t>分；</w:t>
      </w:r>
      <w:r>
        <w:rPr>
          <w:rFonts w:hint="eastAsia"/>
          <w:color w:val="000000"/>
        </w:rPr>
        <w:t>工法、专利、标准、科研立项、评审、鉴定、获奖</w:t>
      </w:r>
      <w:r>
        <w:rPr>
          <w:color w:val="000000"/>
        </w:rPr>
        <w:t>等每项得5分，评价为国内领先及以上得1</w:t>
      </w:r>
      <w:r>
        <w:rPr>
          <w:rFonts w:hint="eastAsia"/>
          <w:color w:val="000000"/>
        </w:rPr>
        <w:t>0</w:t>
      </w:r>
      <w:r>
        <w:rPr>
          <w:color w:val="000000"/>
        </w:rPr>
        <w:t>分，</w:t>
      </w:r>
      <w:r>
        <w:rPr>
          <w:rFonts w:hint="eastAsia" w:ascii="宋体" w:hAnsi="宋体" w:cs="宋体"/>
          <w:bCs/>
          <w:color w:val="000000"/>
          <w:szCs w:val="21"/>
        </w:rPr>
        <w:t>获得省（部级）</w:t>
      </w:r>
      <w:r>
        <w:rPr>
          <w:color w:val="000000"/>
        </w:rPr>
        <w:t>科技奖得1</w:t>
      </w:r>
      <w:r>
        <w:rPr>
          <w:rFonts w:hint="eastAsia"/>
          <w:color w:val="000000"/>
        </w:rPr>
        <w:t>0</w:t>
      </w:r>
      <w:r>
        <w:rPr>
          <w:color w:val="000000"/>
        </w:rPr>
        <w:t>分</w:t>
      </w:r>
      <w:r>
        <w:rPr>
          <w:rFonts w:hint="eastAsia"/>
          <w:color w:val="000000"/>
        </w:rPr>
        <w:t>，</w:t>
      </w:r>
      <w:r>
        <w:rPr>
          <w:color w:val="000000"/>
        </w:rPr>
        <w:t>获省（部级）科技示范工程得</w:t>
      </w:r>
      <w:r>
        <w:rPr>
          <w:rFonts w:hint="eastAsia"/>
          <w:color w:val="000000"/>
        </w:rPr>
        <w:t>20</w:t>
      </w:r>
      <w:r>
        <w:rPr>
          <w:color w:val="000000"/>
        </w:rPr>
        <w:t>分。</w:t>
      </w:r>
    </w:p>
    <w:p w14:paraId="21D3457A">
      <w:pPr>
        <w:jc w:val="center"/>
        <w:outlineLvl w:val="1"/>
        <w:rPr>
          <w:rStyle w:val="32"/>
          <w:rFonts w:ascii="Times New Roman" w:hAnsi="Times New Roman" w:eastAsia="黑体"/>
          <w:sz w:val="28"/>
          <w:szCs w:val="28"/>
          <w:lang w:val="en-US"/>
        </w:rPr>
      </w:pPr>
      <w:r>
        <w:rPr>
          <w:rFonts w:eastAsia="黑体"/>
          <w:color w:val="000000"/>
          <w:kern w:val="0"/>
          <w:sz w:val="24"/>
        </w:rPr>
        <w:br w:type="page"/>
      </w:r>
      <w:bookmarkStart w:id="878" w:name="_Toc10619"/>
      <w:bookmarkStart w:id="879" w:name="_Toc4497"/>
      <w:bookmarkStart w:id="880" w:name="_Toc4804"/>
      <w:bookmarkStart w:id="881" w:name="_Toc18575"/>
      <w:bookmarkStart w:id="882" w:name="_Toc31644"/>
      <w:bookmarkStart w:id="883" w:name="_Toc27721"/>
      <w:bookmarkStart w:id="884" w:name="_Toc13050"/>
      <w:bookmarkStart w:id="885" w:name="_Toc16601"/>
      <w:r>
        <w:rPr>
          <w:rStyle w:val="32"/>
          <w:rFonts w:ascii="Times New Roman" w:hAnsi="Times New Roman" w:eastAsia="黑体"/>
          <w:sz w:val="28"/>
          <w:szCs w:val="28"/>
          <w:lang w:val="en-US"/>
        </w:rPr>
        <w:t>附录</w:t>
      </w:r>
      <w:r>
        <w:rPr>
          <w:rStyle w:val="32"/>
          <w:rFonts w:hint="eastAsia" w:ascii="Times New Roman" w:hAnsi="Times New Roman" w:eastAsia="黑体"/>
          <w:sz w:val="28"/>
          <w:szCs w:val="28"/>
          <w:lang w:val="en-US"/>
        </w:rPr>
        <w:t>G</w:t>
      </w:r>
      <w:r>
        <w:rPr>
          <w:rStyle w:val="32"/>
          <w:rFonts w:ascii="Times New Roman" w:hAnsi="Times New Roman" w:eastAsia="黑体"/>
          <w:sz w:val="28"/>
          <w:szCs w:val="28"/>
          <w:lang w:val="en-US"/>
        </w:rPr>
        <w:t xml:space="preserve">  </w:t>
      </w:r>
      <w:r>
        <w:rPr>
          <w:rStyle w:val="32"/>
          <w:rFonts w:hint="eastAsia" w:eastAsia="黑体"/>
          <w:sz w:val="28"/>
          <w:szCs w:val="28"/>
          <w:lang w:val="en-US"/>
        </w:rPr>
        <w:t>绿色施工</w:t>
      </w:r>
      <w:r>
        <w:rPr>
          <w:rStyle w:val="32"/>
          <w:rFonts w:ascii="Times New Roman" w:hAnsi="Times New Roman" w:eastAsia="黑体"/>
          <w:sz w:val="28"/>
          <w:szCs w:val="28"/>
        </w:rPr>
        <w:t>现场检查</w:t>
      </w:r>
      <w:bookmarkEnd w:id="878"/>
      <w:bookmarkEnd w:id="879"/>
      <w:bookmarkEnd w:id="880"/>
      <w:bookmarkEnd w:id="881"/>
      <w:r>
        <w:rPr>
          <w:rStyle w:val="32"/>
          <w:rFonts w:hint="eastAsia" w:ascii="Times New Roman" w:hAnsi="Times New Roman" w:eastAsia="黑体"/>
          <w:sz w:val="28"/>
          <w:szCs w:val="28"/>
          <w:lang w:val="en-US"/>
        </w:rPr>
        <w:t>表</w:t>
      </w:r>
      <w:bookmarkEnd w:id="882"/>
      <w:bookmarkEnd w:id="883"/>
      <w:bookmarkEnd w:id="884"/>
      <w:bookmarkEnd w:id="885"/>
    </w:p>
    <w:p w14:paraId="1CE5FDDB">
      <w:pPr>
        <w:jc w:val="center"/>
        <w:outlineLvl w:val="2"/>
        <w:rPr>
          <w:rFonts w:eastAsia="黑体"/>
          <w:color w:val="000000"/>
          <w:sz w:val="24"/>
          <w:szCs w:val="24"/>
          <w:lang w:val="zh-CN"/>
        </w:rPr>
      </w:pPr>
      <w:r>
        <w:rPr>
          <w:rFonts w:eastAsia="黑体"/>
          <w:color w:val="000000"/>
          <w:sz w:val="24"/>
          <w:szCs w:val="24"/>
          <w:lang w:val="zh-CN"/>
        </w:rPr>
        <w:t xml:space="preserve">  </w:t>
      </w:r>
      <w:bookmarkStart w:id="886" w:name="_Toc19961"/>
      <w:bookmarkStart w:id="887" w:name="_Toc26119"/>
      <w:bookmarkStart w:id="888" w:name="_Toc5780"/>
      <w:bookmarkStart w:id="889" w:name="_Toc18529"/>
      <w:bookmarkStart w:id="890" w:name="_Toc25866"/>
      <w:bookmarkStart w:id="891" w:name="_Toc3244"/>
      <w:bookmarkStart w:id="892" w:name="_Toc12531"/>
      <w:bookmarkStart w:id="893" w:name="_Toc4519"/>
      <w:bookmarkStart w:id="894" w:name="_Toc6678"/>
      <w:bookmarkStart w:id="895" w:name="_Toc11006"/>
      <w:bookmarkStart w:id="896" w:name="_Toc3183"/>
      <w:bookmarkStart w:id="897" w:name="_Toc1984"/>
      <w:bookmarkStart w:id="898" w:name="_Toc1362"/>
      <w:bookmarkStart w:id="899" w:name="_Toc31394"/>
      <w:r>
        <w:rPr>
          <w:rFonts w:eastAsia="黑体"/>
          <w:color w:val="000000"/>
          <w:sz w:val="24"/>
          <w:szCs w:val="24"/>
          <w:lang w:val="zh-CN"/>
        </w:rPr>
        <w:t>表</w:t>
      </w:r>
      <w:r>
        <w:rPr>
          <w:rFonts w:hint="eastAsia" w:eastAsia="黑体"/>
          <w:color w:val="000000"/>
          <w:sz w:val="24"/>
          <w:szCs w:val="24"/>
        </w:rPr>
        <w:t>G</w:t>
      </w:r>
      <w:r>
        <w:rPr>
          <w:rFonts w:eastAsia="黑体"/>
          <w:color w:val="000000"/>
          <w:sz w:val="24"/>
          <w:szCs w:val="24"/>
          <w:lang w:val="zh-CN"/>
        </w:rPr>
        <w:t xml:space="preserve">.0.1  </w:t>
      </w:r>
      <w:r>
        <w:rPr>
          <w:rFonts w:hint="eastAsia" w:eastAsia="黑体"/>
          <w:color w:val="000000"/>
          <w:sz w:val="24"/>
          <w:szCs w:val="24"/>
          <w:lang w:val="zh-CN"/>
        </w:rPr>
        <w:t>绿色施工</w:t>
      </w:r>
      <w:r>
        <w:rPr>
          <w:rFonts w:hint="eastAsia" w:ascii="黑体" w:hAnsi="黑体" w:eastAsia="黑体" w:cs="宋体"/>
          <w:color w:val="000000"/>
          <w:kern w:val="0"/>
          <w:sz w:val="24"/>
          <w:szCs w:val="24"/>
        </w:rPr>
        <w:t>现场检查表</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2E32E753">
      <w:pPr>
        <w:widowControl/>
        <w:spacing w:before="156" w:beforeLines="50" w:after="156" w:afterLines="50"/>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W w:w="94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1"/>
        <w:gridCol w:w="4650"/>
        <w:gridCol w:w="3135"/>
        <w:gridCol w:w="544"/>
        <w:gridCol w:w="544"/>
      </w:tblGrid>
      <w:tr w14:paraId="41837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1DBE388">
            <w:pPr>
              <w:widowControl/>
              <w:jc w:val="center"/>
              <w:textAlignment w:val="center"/>
              <w:rPr>
                <w:color w:val="000000"/>
                <w:szCs w:val="21"/>
              </w:rPr>
            </w:pPr>
            <w:r>
              <w:rPr>
                <w:color w:val="000000"/>
                <w:kern w:val="0"/>
                <w:szCs w:val="21"/>
              </w:rPr>
              <w:t>序号</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8B45EDD">
            <w:pPr>
              <w:widowControl/>
              <w:jc w:val="center"/>
              <w:textAlignment w:val="center"/>
              <w:rPr>
                <w:color w:val="000000"/>
                <w:szCs w:val="21"/>
              </w:rPr>
            </w:pPr>
            <w:r>
              <w:rPr>
                <w:color w:val="000000"/>
                <w:kern w:val="0"/>
                <w:szCs w:val="21"/>
              </w:rPr>
              <w:t>检查项目</w:t>
            </w:r>
          </w:p>
        </w:tc>
        <w:tc>
          <w:tcPr>
            <w:tcW w:w="3135"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51F482F">
            <w:pPr>
              <w:widowControl/>
              <w:jc w:val="center"/>
              <w:textAlignment w:val="center"/>
              <w:rPr>
                <w:color w:val="000000"/>
                <w:szCs w:val="21"/>
              </w:rPr>
            </w:pPr>
            <w:r>
              <w:rPr>
                <w:color w:val="000000"/>
                <w:kern w:val="0"/>
                <w:szCs w:val="21"/>
              </w:rPr>
              <w:t>检查情况</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AD6FCE5">
            <w:pPr>
              <w:widowControl/>
              <w:jc w:val="center"/>
              <w:textAlignment w:val="center"/>
              <w:rPr>
                <w:color w:val="000000"/>
                <w:kern w:val="0"/>
                <w:szCs w:val="21"/>
              </w:rPr>
            </w:pPr>
            <w:r>
              <w:rPr>
                <w:color w:val="000000"/>
                <w:kern w:val="0"/>
                <w:szCs w:val="21"/>
              </w:rPr>
              <w:t>应得分</w:t>
            </w:r>
          </w:p>
        </w:tc>
        <w:tc>
          <w:tcPr>
            <w:tcW w:w="5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6CC819A">
            <w:pPr>
              <w:widowControl/>
              <w:jc w:val="center"/>
              <w:textAlignment w:val="center"/>
              <w:rPr>
                <w:color w:val="000000"/>
                <w:szCs w:val="21"/>
              </w:rPr>
            </w:pPr>
            <w:r>
              <w:rPr>
                <w:color w:val="000000"/>
                <w:kern w:val="0"/>
                <w:szCs w:val="21"/>
              </w:rPr>
              <w:t>实得分</w:t>
            </w:r>
          </w:p>
        </w:tc>
      </w:tr>
      <w:tr w14:paraId="710D0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61"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280DBBE">
            <w:pPr>
              <w:widowControl/>
              <w:jc w:val="center"/>
              <w:textAlignment w:val="center"/>
              <w:rPr>
                <w:color w:val="000000"/>
                <w:szCs w:val="21"/>
              </w:rPr>
            </w:pPr>
            <w:r>
              <w:rPr>
                <w:color w:val="000000"/>
                <w:kern w:val="0"/>
                <w:sz w:val="22"/>
                <w:szCs w:val="22"/>
              </w:rPr>
              <w:t>1</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E4F9BD8">
            <w:pPr>
              <w:widowControl/>
              <w:ind w:left="210" w:leftChars="100"/>
              <w:jc w:val="left"/>
              <w:textAlignment w:val="center"/>
              <w:rPr>
                <w:color w:val="000000"/>
                <w:kern w:val="0"/>
                <w:szCs w:val="21"/>
              </w:rPr>
            </w:pPr>
            <w:r>
              <w:rPr>
                <w:color w:val="000000"/>
                <w:sz w:val="22"/>
                <w:szCs w:val="22"/>
              </w:rPr>
              <w:t>绿色建造策划实施方案</w:t>
            </w:r>
            <w:r>
              <w:rPr>
                <w:rFonts w:hint="eastAsia"/>
                <w:color w:val="00000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9E78212">
            <w:pPr>
              <w:jc w:val="center"/>
              <w:rPr>
                <w:color w:val="00000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2C9A3F8">
            <w:pPr>
              <w:widowControl/>
              <w:jc w:val="center"/>
              <w:textAlignment w:val="center"/>
              <w:rPr>
                <w:color w:val="000000"/>
                <w:kern w:val="0"/>
                <w:szCs w:val="21"/>
              </w:rPr>
            </w:pPr>
            <w:r>
              <w:rPr>
                <w:rFonts w:hint="eastAsia"/>
                <w:color w:val="000000"/>
                <w:szCs w:val="21"/>
              </w:rPr>
              <w:t>20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D0E936B">
            <w:pPr>
              <w:rPr>
                <w:color w:val="000000"/>
                <w:szCs w:val="21"/>
              </w:rPr>
            </w:pPr>
          </w:p>
        </w:tc>
      </w:tr>
      <w:tr w14:paraId="2D185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61"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37A0DAA">
            <w:pPr>
              <w:widowControl/>
              <w:jc w:val="center"/>
              <w:textAlignment w:val="center"/>
              <w:rPr>
                <w:color w:val="000000"/>
                <w:szCs w:val="21"/>
              </w:rPr>
            </w:pPr>
            <w:r>
              <w:rPr>
                <w:color w:val="000000"/>
                <w:kern w:val="0"/>
                <w:sz w:val="22"/>
                <w:szCs w:val="22"/>
              </w:rPr>
              <w:t>2</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4AA5FC6">
            <w:pPr>
              <w:widowControl/>
              <w:ind w:left="210" w:leftChars="100"/>
              <w:jc w:val="left"/>
              <w:textAlignment w:val="center"/>
              <w:rPr>
                <w:color w:val="000000"/>
                <w:kern w:val="0"/>
                <w:szCs w:val="21"/>
              </w:rPr>
            </w:pPr>
            <w:r>
              <w:rPr>
                <w:color w:val="000000"/>
                <w:kern w:val="0"/>
                <w:sz w:val="22"/>
                <w:szCs w:val="22"/>
              </w:rPr>
              <w:t>绿色施工组织体系</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65E57BA">
            <w:pPr>
              <w:widowControl/>
              <w:jc w:val="center"/>
              <w:textAlignment w:val="center"/>
              <w:rPr>
                <w:color w:val="000000"/>
                <w:kern w:val="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46C64DD">
            <w:pPr>
              <w:widowControl/>
              <w:jc w:val="center"/>
              <w:textAlignment w:val="center"/>
              <w:rPr>
                <w:color w:val="000000"/>
                <w:kern w:val="0"/>
                <w:szCs w:val="21"/>
              </w:rPr>
            </w:pPr>
            <w:r>
              <w:rPr>
                <w:rFonts w:hint="eastAsia"/>
                <w:color w:val="000000"/>
                <w:kern w:val="0"/>
                <w:szCs w:val="21"/>
              </w:rPr>
              <w:t>10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4FE34EE">
            <w:pPr>
              <w:widowControl/>
              <w:jc w:val="center"/>
              <w:textAlignment w:val="center"/>
              <w:rPr>
                <w:color w:val="000000"/>
                <w:kern w:val="0"/>
                <w:szCs w:val="21"/>
              </w:rPr>
            </w:pPr>
          </w:p>
        </w:tc>
      </w:tr>
      <w:tr w14:paraId="08C94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61"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93A100C">
            <w:pPr>
              <w:widowControl/>
              <w:jc w:val="center"/>
              <w:textAlignment w:val="center"/>
              <w:rPr>
                <w:color w:val="000000"/>
                <w:kern w:val="0"/>
                <w:szCs w:val="21"/>
              </w:rPr>
            </w:pPr>
            <w:r>
              <w:rPr>
                <w:color w:val="000000"/>
                <w:kern w:val="0"/>
                <w:sz w:val="22"/>
                <w:szCs w:val="22"/>
              </w:rPr>
              <w:t>3</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73AE21B">
            <w:pPr>
              <w:widowControl/>
              <w:ind w:left="210" w:leftChars="100"/>
              <w:jc w:val="left"/>
              <w:textAlignment w:val="center"/>
              <w:rPr>
                <w:color w:val="000000"/>
                <w:kern w:val="0"/>
                <w:szCs w:val="21"/>
              </w:rPr>
            </w:pPr>
            <w:r>
              <w:rPr>
                <w:color w:val="000000"/>
                <w:kern w:val="0"/>
                <w:sz w:val="22"/>
                <w:szCs w:val="22"/>
              </w:rPr>
              <w:t>符合节能环保设计要求</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8179B86">
            <w:pPr>
              <w:widowControl/>
              <w:jc w:val="center"/>
              <w:textAlignment w:val="center"/>
              <w:rPr>
                <w:color w:val="000000"/>
                <w:kern w:val="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2E57EA7">
            <w:pPr>
              <w:widowControl/>
              <w:jc w:val="center"/>
              <w:textAlignment w:val="center"/>
              <w:rPr>
                <w:color w:val="000000"/>
                <w:kern w:val="0"/>
                <w:szCs w:val="21"/>
              </w:rPr>
            </w:pPr>
            <w:r>
              <w:rPr>
                <w:rFonts w:hint="eastAsia"/>
                <w:color w:val="000000"/>
                <w:kern w:val="0"/>
                <w:szCs w:val="21"/>
              </w:rPr>
              <w:t>40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A721E1D">
            <w:pPr>
              <w:widowControl/>
              <w:jc w:val="center"/>
              <w:textAlignment w:val="center"/>
              <w:rPr>
                <w:color w:val="000000"/>
                <w:kern w:val="0"/>
                <w:szCs w:val="21"/>
              </w:rPr>
            </w:pPr>
          </w:p>
        </w:tc>
      </w:tr>
      <w:tr w14:paraId="2D2FB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61" w:hRule="atLeast"/>
        </w:trPr>
        <w:tc>
          <w:tcPr>
            <w:tcW w:w="531"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CCF7796">
            <w:pPr>
              <w:widowControl/>
              <w:jc w:val="center"/>
              <w:textAlignment w:val="center"/>
              <w:rPr>
                <w:color w:val="000000"/>
                <w:kern w:val="0"/>
                <w:szCs w:val="21"/>
              </w:rPr>
            </w:pPr>
            <w:r>
              <w:rPr>
                <w:color w:val="000000"/>
                <w:kern w:val="0"/>
                <w:sz w:val="22"/>
                <w:szCs w:val="22"/>
              </w:rPr>
              <w:t>4</w:t>
            </w:r>
          </w:p>
        </w:tc>
        <w:tc>
          <w:tcPr>
            <w:tcW w:w="465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6634F3D">
            <w:pPr>
              <w:widowControl/>
              <w:ind w:left="210" w:leftChars="100"/>
              <w:jc w:val="left"/>
              <w:textAlignment w:val="center"/>
              <w:rPr>
                <w:color w:val="000000"/>
                <w:kern w:val="0"/>
                <w:szCs w:val="21"/>
              </w:rPr>
            </w:pPr>
            <w:r>
              <w:rPr>
                <w:color w:val="000000"/>
                <w:kern w:val="0"/>
                <w:sz w:val="22"/>
                <w:szCs w:val="22"/>
              </w:rPr>
              <w:t>绿色施工实施效果</w:t>
            </w:r>
            <w:r>
              <w:rPr>
                <w:rFonts w:hint="eastAsia"/>
                <w:color w:val="000000"/>
                <w:kern w:val="0"/>
                <w:sz w:val="22"/>
                <w:szCs w:val="22"/>
              </w:rPr>
              <w:t>。</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DB0924E">
            <w:pPr>
              <w:widowControl/>
              <w:jc w:val="center"/>
              <w:textAlignment w:val="center"/>
              <w:rPr>
                <w:color w:val="000000"/>
                <w:kern w:val="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BD9241F">
            <w:pPr>
              <w:widowControl/>
              <w:jc w:val="center"/>
              <w:textAlignment w:val="center"/>
              <w:rPr>
                <w:color w:val="000000"/>
                <w:kern w:val="0"/>
                <w:szCs w:val="21"/>
              </w:rPr>
            </w:pPr>
            <w:r>
              <w:rPr>
                <w:rFonts w:hint="eastAsia"/>
                <w:color w:val="000000"/>
                <w:kern w:val="0"/>
                <w:szCs w:val="21"/>
              </w:rPr>
              <w:t>30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F8DD97B">
            <w:pPr>
              <w:widowControl/>
              <w:jc w:val="center"/>
              <w:textAlignment w:val="center"/>
              <w:rPr>
                <w:color w:val="000000"/>
                <w:kern w:val="0"/>
                <w:szCs w:val="21"/>
              </w:rPr>
            </w:pPr>
          </w:p>
        </w:tc>
      </w:tr>
      <w:tr w14:paraId="164C3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5181"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35B212B">
            <w:pPr>
              <w:widowControl/>
              <w:ind w:left="210" w:leftChars="100"/>
              <w:jc w:val="center"/>
              <w:textAlignment w:val="center"/>
              <w:rPr>
                <w:color w:val="000000"/>
                <w:kern w:val="0"/>
                <w:sz w:val="22"/>
                <w:szCs w:val="22"/>
              </w:rPr>
            </w:pPr>
            <w:r>
              <w:rPr>
                <w:color w:val="000000"/>
                <w:kern w:val="0"/>
                <w:sz w:val="22"/>
                <w:szCs w:val="22"/>
              </w:rPr>
              <w:t>合计</w:t>
            </w:r>
          </w:p>
        </w:tc>
        <w:tc>
          <w:tcPr>
            <w:tcW w:w="313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AC4767C">
            <w:pPr>
              <w:widowControl/>
              <w:jc w:val="center"/>
              <w:textAlignment w:val="center"/>
              <w:rPr>
                <w:color w:val="000000"/>
                <w:kern w:val="0"/>
                <w:szCs w:val="21"/>
              </w:rPr>
            </w:pP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52DD412">
            <w:pPr>
              <w:widowControl/>
              <w:jc w:val="center"/>
              <w:textAlignment w:val="center"/>
              <w:rPr>
                <w:color w:val="000000"/>
                <w:kern w:val="0"/>
                <w:szCs w:val="21"/>
              </w:rPr>
            </w:pPr>
            <w:r>
              <w:rPr>
                <w:rFonts w:hint="eastAsia"/>
                <w:color w:val="000000"/>
                <w:kern w:val="0"/>
                <w:szCs w:val="21"/>
              </w:rPr>
              <w:t>100</w:t>
            </w:r>
          </w:p>
        </w:tc>
        <w:tc>
          <w:tcPr>
            <w:tcW w:w="5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5564856">
            <w:pPr>
              <w:widowControl/>
              <w:jc w:val="center"/>
              <w:textAlignment w:val="center"/>
              <w:rPr>
                <w:color w:val="000000"/>
                <w:kern w:val="0"/>
                <w:szCs w:val="21"/>
              </w:rPr>
            </w:pPr>
          </w:p>
        </w:tc>
      </w:tr>
      <w:tr w14:paraId="48586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9404" w:type="dxa"/>
            <w:gridSpan w:val="5"/>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6664E4A">
            <w:pPr>
              <w:widowControl/>
              <w:jc w:val="left"/>
              <w:textAlignment w:val="center"/>
              <w:rPr>
                <w:color w:val="000000"/>
                <w:kern w:val="0"/>
                <w:szCs w:val="21"/>
              </w:rPr>
            </w:pPr>
            <w:r>
              <w:rPr>
                <w:color w:val="000000"/>
                <w:kern w:val="0"/>
                <w:szCs w:val="21"/>
              </w:rPr>
              <w:t>综合评价：意见和建议（工程亮点、存在问题、改正方法、提高方向）</w:t>
            </w:r>
          </w:p>
          <w:p w14:paraId="419EB7AB">
            <w:pPr>
              <w:widowControl/>
              <w:jc w:val="left"/>
              <w:textAlignment w:val="center"/>
              <w:rPr>
                <w:color w:val="000000"/>
                <w:kern w:val="0"/>
                <w:szCs w:val="21"/>
              </w:rPr>
            </w:pPr>
          </w:p>
          <w:p w14:paraId="535C7801">
            <w:pPr>
              <w:widowControl/>
              <w:jc w:val="left"/>
              <w:textAlignment w:val="center"/>
              <w:rPr>
                <w:color w:val="000000"/>
                <w:kern w:val="0"/>
                <w:szCs w:val="21"/>
              </w:rPr>
            </w:pPr>
          </w:p>
          <w:p w14:paraId="096A6E2A">
            <w:pPr>
              <w:widowControl/>
              <w:jc w:val="left"/>
              <w:textAlignment w:val="center"/>
              <w:rPr>
                <w:color w:val="000000"/>
                <w:kern w:val="0"/>
                <w:szCs w:val="21"/>
              </w:rPr>
            </w:pPr>
          </w:p>
          <w:p w14:paraId="6FF4AF82">
            <w:pPr>
              <w:widowControl/>
              <w:jc w:val="left"/>
              <w:textAlignment w:val="center"/>
              <w:rPr>
                <w:color w:val="000000"/>
                <w:kern w:val="0"/>
                <w:szCs w:val="21"/>
              </w:rPr>
            </w:pPr>
          </w:p>
          <w:p w14:paraId="5BFF2530">
            <w:pPr>
              <w:widowControl/>
              <w:jc w:val="left"/>
              <w:textAlignment w:val="center"/>
              <w:rPr>
                <w:color w:val="000000"/>
                <w:kern w:val="0"/>
                <w:szCs w:val="21"/>
              </w:rPr>
            </w:pPr>
          </w:p>
          <w:p w14:paraId="454FA72B">
            <w:pPr>
              <w:widowControl/>
              <w:jc w:val="left"/>
              <w:textAlignment w:val="center"/>
              <w:rPr>
                <w:color w:val="000000"/>
                <w:kern w:val="0"/>
                <w:szCs w:val="21"/>
              </w:rPr>
            </w:pPr>
          </w:p>
          <w:p w14:paraId="2AE7A795">
            <w:pPr>
              <w:widowControl/>
              <w:jc w:val="left"/>
              <w:textAlignment w:val="center"/>
              <w:rPr>
                <w:color w:val="000000"/>
                <w:kern w:val="0"/>
                <w:szCs w:val="21"/>
              </w:rPr>
            </w:pPr>
          </w:p>
          <w:p w14:paraId="2922FD0D">
            <w:pPr>
              <w:widowControl/>
              <w:jc w:val="left"/>
              <w:textAlignment w:val="center"/>
              <w:rPr>
                <w:color w:val="000000"/>
                <w:kern w:val="0"/>
                <w:szCs w:val="21"/>
              </w:rPr>
            </w:pPr>
          </w:p>
          <w:p w14:paraId="37924990">
            <w:pPr>
              <w:widowControl/>
              <w:jc w:val="left"/>
              <w:textAlignment w:val="center"/>
              <w:rPr>
                <w:color w:val="000000"/>
                <w:kern w:val="0"/>
                <w:szCs w:val="21"/>
              </w:rPr>
            </w:pPr>
          </w:p>
          <w:p w14:paraId="470F5DEC">
            <w:pPr>
              <w:widowControl/>
              <w:jc w:val="left"/>
              <w:textAlignment w:val="center"/>
              <w:rPr>
                <w:color w:val="000000"/>
                <w:kern w:val="0"/>
                <w:szCs w:val="21"/>
              </w:rPr>
            </w:pPr>
          </w:p>
          <w:p w14:paraId="6B040038">
            <w:pPr>
              <w:widowControl/>
              <w:jc w:val="left"/>
              <w:textAlignment w:val="center"/>
              <w:rPr>
                <w:color w:val="000000"/>
                <w:kern w:val="0"/>
                <w:szCs w:val="21"/>
              </w:rPr>
            </w:pPr>
          </w:p>
          <w:p w14:paraId="3D671CD3">
            <w:pPr>
              <w:widowControl/>
              <w:jc w:val="left"/>
              <w:textAlignment w:val="center"/>
              <w:rPr>
                <w:color w:val="000000"/>
                <w:kern w:val="0"/>
                <w:szCs w:val="21"/>
              </w:rPr>
            </w:pPr>
          </w:p>
          <w:p w14:paraId="49F9EAC6">
            <w:pPr>
              <w:widowControl/>
              <w:jc w:val="left"/>
              <w:textAlignment w:val="center"/>
              <w:rPr>
                <w:color w:val="000000"/>
                <w:kern w:val="0"/>
                <w:szCs w:val="21"/>
              </w:rPr>
            </w:pPr>
            <w:r>
              <w:rPr>
                <w:color w:val="000000"/>
                <w:kern w:val="0"/>
                <w:szCs w:val="21"/>
              </w:rPr>
              <w:t xml:space="preserve">                                        检查人：</w:t>
            </w:r>
          </w:p>
          <w:p w14:paraId="6E7BE886">
            <w:pPr>
              <w:widowControl/>
              <w:jc w:val="left"/>
              <w:textAlignment w:val="center"/>
              <w:rPr>
                <w:color w:val="000000"/>
                <w:kern w:val="0"/>
                <w:szCs w:val="21"/>
              </w:rPr>
            </w:pPr>
            <w:r>
              <w:rPr>
                <w:color w:val="000000"/>
                <w:kern w:val="0"/>
                <w:szCs w:val="21"/>
              </w:rPr>
              <w:t xml:space="preserve">                                                           年  月   日</w:t>
            </w:r>
          </w:p>
        </w:tc>
      </w:tr>
    </w:tbl>
    <w:p w14:paraId="3D080639">
      <w:pPr>
        <w:widowControl/>
        <w:ind w:right="-840" w:rightChars="-400"/>
        <w:textAlignment w:val="center"/>
        <w:rPr>
          <w:color w:val="000000"/>
          <w:szCs w:val="24"/>
        </w:rPr>
      </w:pPr>
      <w:r>
        <w:rPr>
          <w:color w:val="000000"/>
        </w:rPr>
        <w:t>注：本表评价打分1-2项达不到本标准规定，每项扣5分；获得绿色安全文明工地得1</w:t>
      </w:r>
      <w:r>
        <w:rPr>
          <w:rFonts w:hint="eastAsia"/>
          <w:color w:val="000000"/>
        </w:rPr>
        <w:t>0</w:t>
      </w:r>
      <w:r>
        <w:rPr>
          <w:color w:val="000000"/>
        </w:rPr>
        <w:t>分，通过绿色竞赛、绿色评价、绿色认证过程评价得2</w:t>
      </w:r>
      <w:r>
        <w:rPr>
          <w:rFonts w:hint="eastAsia"/>
          <w:color w:val="000000"/>
        </w:rPr>
        <w:t>0</w:t>
      </w:r>
      <w:r>
        <w:rPr>
          <w:color w:val="000000"/>
        </w:rPr>
        <w:t>分。</w:t>
      </w:r>
    </w:p>
    <w:p w14:paraId="5A56EDDF">
      <w:pPr>
        <w:jc w:val="center"/>
        <w:outlineLvl w:val="1"/>
        <w:rPr>
          <w:rStyle w:val="32"/>
          <w:rFonts w:ascii="Times New Roman" w:hAnsi="Times New Roman" w:eastAsia="黑体"/>
          <w:sz w:val="28"/>
          <w:szCs w:val="28"/>
          <w:lang w:val="en-US"/>
        </w:rPr>
      </w:pPr>
      <w:bookmarkStart w:id="900" w:name="_Toc7176"/>
      <w:bookmarkStart w:id="901" w:name="_Toc480"/>
      <w:bookmarkStart w:id="902" w:name="_Toc6384"/>
      <w:bookmarkStart w:id="903" w:name="_Toc6295"/>
      <w:bookmarkStart w:id="904" w:name="_Toc26273"/>
      <w:bookmarkStart w:id="905" w:name="_Toc25992"/>
      <w:bookmarkStart w:id="906" w:name="_Toc3846"/>
      <w:bookmarkStart w:id="907" w:name="_Toc12521"/>
      <w:r>
        <w:rPr>
          <w:rStyle w:val="32"/>
          <w:rFonts w:ascii="Times New Roman" w:hAnsi="Times New Roman" w:eastAsia="黑体"/>
          <w:sz w:val="28"/>
          <w:szCs w:val="28"/>
          <w:lang w:val="en-US"/>
        </w:rPr>
        <w:t>附录</w:t>
      </w:r>
      <w:r>
        <w:rPr>
          <w:rStyle w:val="32"/>
          <w:rFonts w:hint="eastAsia" w:ascii="Times New Roman" w:hAnsi="Times New Roman" w:eastAsia="黑体"/>
          <w:sz w:val="28"/>
          <w:szCs w:val="28"/>
          <w:lang w:val="en-US"/>
        </w:rPr>
        <w:t>H</w:t>
      </w:r>
      <w:r>
        <w:rPr>
          <w:rStyle w:val="32"/>
          <w:rFonts w:ascii="Times New Roman" w:hAnsi="Times New Roman" w:eastAsia="黑体"/>
          <w:sz w:val="28"/>
          <w:szCs w:val="28"/>
          <w:lang w:val="en-US"/>
        </w:rPr>
        <w:t xml:space="preserve"> </w:t>
      </w:r>
      <w:r>
        <w:rPr>
          <w:rStyle w:val="32"/>
          <w:rFonts w:hint="eastAsia" w:ascii="Times New Roman" w:hAnsi="Times New Roman" w:eastAsia="黑体"/>
          <w:sz w:val="28"/>
          <w:szCs w:val="28"/>
          <w:lang w:val="en-US"/>
        </w:rPr>
        <w:t xml:space="preserve"> 改造工程资料管理</w:t>
      </w:r>
      <w:r>
        <w:rPr>
          <w:rStyle w:val="32"/>
          <w:rFonts w:ascii="Times New Roman" w:hAnsi="Times New Roman" w:eastAsia="黑体"/>
          <w:sz w:val="28"/>
          <w:szCs w:val="28"/>
        </w:rPr>
        <w:t>现场检查</w:t>
      </w:r>
      <w:bookmarkEnd w:id="900"/>
      <w:bookmarkEnd w:id="901"/>
      <w:bookmarkEnd w:id="902"/>
      <w:bookmarkEnd w:id="903"/>
    </w:p>
    <w:p w14:paraId="090FB50E">
      <w:pPr>
        <w:widowControl/>
        <w:jc w:val="center"/>
        <w:textAlignment w:val="center"/>
        <w:rPr>
          <w:rFonts w:ascii="黑体" w:hAnsi="黑体" w:eastAsia="黑体" w:cs="宋体"/>
          <w:color w:val="000000"/>
          <w:kern w:val="0"/>
          <w:sz w:val="24"/>
          <w:szCs w:val="24"/>
        </w:rPr>
      </w:pPr>
      <w:r>
        <w:rPr>
          <w:rFonts w:eastAsia="黑体"/>
          <w:color w:val="000000"/>
          <w:sz w:val="24"/>
          <w:szCs w:val="24"/>
          <w:lang w:val="zh-CN"/>
        </w:rPr>
        <w:t>表</w:t>
      </w:r>
      <w:r>
        <w:rPr>
          <w:rFonts w:hint="eastAsia" w:eastAsia="黑体"/>
          <w:color w:val="000000"/>
          <w:sz w:val="24"/>
          <w:szCs w:val="24"/>
        </w:rPr>
        <w:t>H</w:t>
      </w:r>
      <w:r>
        <w:rPr>
          <w:rFonts w:eastAsia="黑体"/>
          <w:color w:val="000000"/>
          <w:sz w:val="24"/>
          <w:szCs w:val="24"/>
          <w:lang w:val="zh-CN"/>
        </w:rPr>
        <w:t>.0.1</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改造工程土建资料管理现场检查表</w:t>
      </w:r>
    </w:p>
    <w:p w14:paraId="571052F6">
      <w:pPr>
        <w:widowControl/>
        <w:spacing w:before="156" w:beforeLines="50" w:after="156" w:afterLines="50"/>
        <w:jc w:val="left"/>
        <w:textAlignment w:val="center"/>
        <w:rPr>
          <w:color w:val="000000"/>
          <w:kern w:val="0"/>
          <w:szCs w:val="21"/>
        </w:rPr>
      </w:pPr>
      <w:r>
        <w:rPr>
          <w:color w:val="000000"/>
          <w:kern w:val="0"/>
          <w:sz w:val="24"/>
        </w:rPr>
        <w:t>工程名称：                             施工单位</w:t>
      </w:r>
      <w:r>
        <w:rPr>
          <w:rFonts w:hint="eastAsia"/>
          <w:color w:val="000000"/>
          <w:kern w:val="0"/>
          <w:sz w:val="24"/>
        </w:rPr>
        <w:t>：</w:t>
      </w:r>
    </w:p>
    <w:tbl>
      <w:tblPr>
        <w:tblStyle w:val="25"/>
        <w:tblW w:w="9430"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97"/>
        <w:gridCol w:w="392"/>
        <w:gridCol w:w="4354"/>
        <w:gridCol w:w="2519"/>
        <w:gridCol w:w="798"/>
        <w:gridCol w:w="770"/>
      </w:tblGrid>
      <w:tr w14:paraId="6817C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1EBF89CA">
            <w:pPr>
              <w:pStyle w:val="38"/>
              <w:jc w:val="center"/>
              <w:rPr>
                <w:color w:val="000000"/>
              </w:rPr>
            </w:pPr>
            <w:r>
              <w:rPr>
                <w:rFonts w:hint="eastAsia"/>
                <w:color w:val="000000"/>
              </w:rPr>
              <w:t>序号</w:t>
            </w:r>
          </w:p>
        </w:tc>
        <w:tc>
          <w:tcPr>
            <w:tcW w:w="4746" w:type="dxa"/>
            <w:gridSpan w:val="2"/>
            <w:tcBorders>
              <w:top w:val="single" w:color="auto" w:sz="8" w:space="0"/>
              <w:left w:val="single" w:color="auto" w:sz="8" w:space="0"/>
              <w:bottom w:val="single" w:color="auto" w:sz="8" w:space="0"/>
              <w:right w:val="single" w:color="auto" w:sz="8" w:space="0"/>
            </w:tcBorders>
            <w:vAlign w:val="center"/>
          </w:tcPr>
          <w:p w14:paraId="19F29459">
            <w:pPr>
              <w:pStyle w:val="38"/>
              <w:jc w:val="center"/>
              <w:rPr>
                <w:color w:val="000000"/>
              </w:rPr>
            </w:pPr>
            <w:r>
              <w:rPr>
                <w:color w:val="000000"/>
              </w:rPr>
              <w:t>检查项目</w:t>
            </w:r>
          </w:p>
        </w:tc>
        <w:tc>
          <w:tcPr>
            <w:tcW w:w="2519" w:type="dxa"/>
            <w:tcBorders>
              <w:top w:val="single" w:color="auto" w:sz="8" w:space="0"/>
              <w:left w:val="single" w:color="auto" w:sz="8" w:space="0"/>
              <w:bottom w:val="single" w:color="auto" w:sz="8" w:space="0"/>
              <w:right w:val="single" w:color="auto" w:sz="8" w:space="0"/>
            </w:tcBorders>
            <w:noWrap/>
            <w:vAlign w:val="center"/>
          </w:tcPr>
          <w:p w14:paraId="2A191F0E">
            <w:pPr>
              <w:pStyle w:val="38"/>
              <w:jc w:val="center"/>
              <w:rPr>
                <w:color w:val="000000"/>
              </w:rPr>
            </w:pPr>
            <w:r>
              <w:rPr>
                <w:color w:val="000000"/>
              </w:rPr>
              <w:t>检查情况</w:t>
            </w:r>
          </w:p>
        </w:tc>
        <w:tc>
          <w:tcPr>
            <w:tcW w:w="798" w:type="dxa"/>
            <w:tcBorders>
              <w:top w:val="single" w:color="auto" w:sz="8" w:space="0"/>
              <w:left w:val="single" w:color="auto" w:sz="8" w:space="0"/>
              <w:bottom w:val="single" w:color="auto" w:sz="8" w:space="0"/>
              <w:right w:val="single" w:color="auto" w:sz="8" w:space="0"/>
            </w:tcBorders>
            <w:noWrap/>
            <w:vAlign w:val="center"/>
          </w:tcPr>
          <w:p w14:paraId="26B71C32">
            <w:pPr>
              <w:pStyle w:val="38"/>
              <w:jc w:val="center"/>
              <w:rPr>
                <w:color w:val="000000"/>
              </w:rPr>
            </w:pPr>
            <w:r>
              <w:rPr>
                <w:color w:val="000000"/>
              </w:rPr>
              <w:t>应得分</w:t>
            </w:r>
          </w:p>
        </w:tc>
        <w:tc>
          <w:tcPr>
            <w:tcW w:w="770" w:type="dxa"/>
            <w:tcBorders>
              <w:top w:val="single" w:color="auto" w:sz="8" w:space="0"/>
              <w:left w:val="single" w:color="auto" w:sz="8" w:space="0"/>
              <w:bottom w:val="single" w:color="auto" w:sz="8" w:space="0"/>
              <w:right w:val="single" w:color="auto" w:sz="8" w:space="0"/>
            </w:tcBorders>
            <w:noWrap/>
            <w:vAlign w:val="center"/>
          </w:tcPr>
          <w:p w14:paraId="542580ED">
            <w:pPr>
              <w:pStyle w:val="38"/>
              <w:jc w:val="center"/>
              <w:rPr>
                <w:color w:val="000000"/>
              </w:rPr>
            </w:pPr>
            <w:r>
              <w:rPr>
                <w:color w:val="000000"/>
              </w:rPr>
              <w:t>实得分</w:t>
            </w:r>
          </w:p>
        </w:tc>
      </w:tr>
      <w:tr w14:paraId="23B58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79403898">
            <w:pPr>
              <w:pStyle w:val="38"/>
              <w:jc w:val="center"/>
              <w:rPr>
                <w:color w:val="000000"/>
              </w:rPr>
            </w:pPr>
            <w:r>
              <w:rPr>
                <w:rFonts w:hint="eastAsia"/>
                <w:color w:val="000000"/>
              </w:rPr>
              <w:t>1</w:t>
            </w:r>
          </w:p>
        </w:tc>
        <w:tc>
          <w:tcPr>
            <w:tcW w:w="392" w:type="dxa"/>
            <w:vMerge w:val="restart"/>
            <w:tcBorders>
              <w:top w:val="single" w:color="auto" w:sz="8" w:space="0"/>
              <w:left w:val="single" w:color="auto" w:sz="8" w:space="0"/>
              <w:bottom w:val="single" w:color="auto" w:sz="8" w:space="0"/>
              <w:right w:val="single" w:color="auto" w:sz="8" w:space="0"/>
            </w:tcBorders>
            <w:vAlign w:val="center"/>
          </w:tcPr>
          <w:p w14:paraId="7B767767">
            <w:pPr>
              <w:pStyle w:val="38"/>
              <w:snapToGrid w:val="0"/>
              <w:jc w:val="center"/>
              <w:rPr>
                <w:color w:val="000000"/>
              </w:rPr>
            </w:pPr>
            <w:r>
              <w:rPr>
                <w:color w:val="000000"/>
                <w:kern w:val="0"/>
                <w:sz w:val="22"/>
                <w:szCs w:val="22"/>
              </w:rPr>
              <w:t>施工技术资料</w:t>
            </w:r>
          </w:p>
        </w:tc>
        <w:tc>
          <w:tcPr>
            <w:tcW w:w="4354" w:type="dxa"/>
            <w:tcBorders>
              <w:top w:val="single" w:color="auto" w:sz="8" w:space="0"/>
              <w:left w:val="single" w:color="auto" w:sz="8" w:space="0"/>
              <w:bottom w:val="single" w:color="auto" w:sz="8" w:space="0"/>
              <w:right w:val="single" w:color="auto" w:sz="8" w:space="0"/>
            </w:tcBorders>
            <w:vAlign w:val="center"/>
          </w:tcPr>
          <w:p w14:paraId="5264189F">
            <w:pPr>
              <w:pStyle w:val="38"/>
              <w:jc w:val="left"/>
              <w:rPr>
                <w:color w:val="000000"/>
              </w:rPr>
            </w:pPr>
            <w:r>
              <w:rPr>
                <w:rFonts w:hint="eastAsia"/>
                <w:color w:val="000000"/>
                <w:kern w:val="0"/>
                <w:sz w:val="22"/>
                <w:szCs w:val="22"/>
              </w:rPr>
              <w:t>施工立项审批、原结构鉴定、设计文件。</w:t>
            </w:r>
          </w:p>
        </w:tc>
        <w:tc>
          <w:tcPr>
            <w:tcW w:w="2519" w:type="dxa"/>
            <w:tcBorders>
              <w:top w:val="single" w:color="auto" w:sz="8" w:space="0"/>
              <w:left w:val="single" w:color="auto" w:sz="8" w:space="0"/>
              <w:bottom w:val="single" w:color="auto" w:sz="8" w:space="0"/>
              <w:right w:val="single" w:color="auto" w:sz="8" w:space="0"/>
            </w:tcBorders>
            <w:vAlign w:val="center"/>
          </w:tcPr>
          <w:p w14:paraId="618D8F7D">
            <w:pPr>
              <w:pStyle w:val="38"/>
              <w:jc w:val="center"/>
              <w:rPr>
                <w:color w:val="000000"/>
              </w:rPr>
            </w:pPr>
          </w:p>
        </w:tc>
        <w:tc>
          <w:tcPr>
            <w:tcW w:w="798" w:type="dxa"/>
            <w:vMerge w:val="restart"/>
            <w:tcBorders>
              <w:top w:val="single" w:color="auto" w:sz="8" w:space="0"/>
              <w:left w:val="single" w:color="auto" w:sz="8" w:space="0"/>
              <w:bottom w:val="single" w:color="auto" w:sz="8" w:space="0"/>
              <w:right w:val="single" w:color="auto" w:sz="8" w:space="0"/>
            </w:tcBorders>
            <w:vAlign w:val="center"/>
          </w:tcPr>
          <w:p w14:paraId="30226425">
            <w:pPr>
              <w:pStyle w:val="38"/>
              <w:jc w:val="center"/>
              <w:rPr>
                <w:color w:val="000000"/>
              </w:rPr>
            </w:pPr>
            <w:r>
              <w:rPr>
                <w:rFonts w:hint="eastAsia"/>
                <w:color w:val="000000"/>
              </w:rPr>
              <w:t>5</w:t>
            </w:r>
          </w:p>
        </w:tc>
        <w:tc>
          <w:tcPr>
            <w:tcW w:w="770" w:type="dxa"/>
            <w:vMerge w:val="restart"/>
            <w:tcBorders>
              <w:top w:val="single" w:color="auto" w:sz="8" w:space="0"/>
              <w:left w:val="single" w:color="auto" w:sz="8" w:space="0"/>
              <w:bottom w:val="single" w:color="auto" w:sz="8" w:space="0"/>
              <w:right w:val="single" w:color="auto" w:sz="8" w:space="0"/>
            </w:tcBorders>
            <w:vAlign w:val="center"/>
          </w:tcPr>
          <w:p w14:paraId="19E51203">
            <w:pPr>
              <w:pStyle w:val="38"/>
              <w:jc w:val="center"/>
              <w:rPr>
                <w:color w:val="000000"/>
              </w:rPr>
            </w:pPr>
          </w:p>
        </w:tc>
      </w:tr>
      <w:tr w14:paraId="010D8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39FBDCAB">
            <w:pPr>
              <w:pStyle w:val="38"/>
              <w:jc w:val="center"/>
              <w:rPr>
                <w:color w:val="000000"/>
              </w:rPr>
            </w:pPr>
            <w:r>
              <w:rPr>
                <w:rFonts w:hint="eastAsia"/>
                <w:color w:val="000000"/>
              </w:rPr>
              <w:t>2</w:t>
            </w:r>
          </w:p>
        </w:tc>
        <w:tc>
          <w:tcPr>
            <w:tcW w:w="392" w:type="dxa"/>
            <w:vMerge w:val="continue"/>
            <w:tcBorders>
              <w:top w:val="single" w:color="auto" w:sz="8" w:space="0"/>
              <w:left w:val="single" w:color="auto" w:sz="8" w:space="0"/>
              <w:bottom w:val="single" w:color="auto" w:sz="8" w:space="0"/>
              <w:right w:val="single" w:color="auto" w:sz="8" w:space="0"/>
            </w:tcBorders>
            <w:vAlign w:val="center"/>
          </w:tcPr>
          <w:p w14:paraId="5BF49939">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3EFA37ED">
            <w:pPr>
              <w:pStyle w:val="2"/>
              <w:ind w:left="220" w:leftChars="0" w:hanging="220" w:hangingChars="100"/>
              <w:jc w:val="left"/>
              <w:rPr>
                <w:color w:val="000000"/>
                <w:kern w:val="0"/>
                <w:sz w:val="22"/>
                <w:szCs w:val="22"/>
              </w:rPr>
            </w:pPr>
            <w:r>
              <w:rPr>
                <w:rFonts w:hint="eastAsia"/>
                <w:color w:val="000000"/>
                <w:kern w:val="0"/>
                <w:sz w:val="22"/>
                <w:szCs w:val="22"/>
              </w:rPr>
              <w:t>施工组织设计</w:t>
            </w:r>
            <w:r>
              <w:rPr>
                <w:color w:val="000000"/>
                <w:kern w:val="0"/>
                <w:sz w:val="22"/>
                <w:szCs w:val="22"/>
              </w:rPr>
              <w:t>、施工方案、危大</w:t>
            </w:r>
            <w:r>
              <w:rPr>
                <w:rFonts w:hint="eastAsia"/>
                <w:color w:val="000000"/>
                <w:kern w:val="0"/>
                <w:sz w:val="22"/>
                <w:szCs w:val="22"/>
              </w:rPr>
              <w:t>工程</w:t>
            </w:r>
            <w:r>
              <w:rPr>
                <w:color w:val="000000"/>
                <w:kern w:val="0"/>
                <w:sz w:val="22"/>
                <w:szCs w:val="22"/>
              </w:rPr>
              <w:t>专项</w:t>
            </w:r>
            <w:r>
              <w:rPr>
                <w:rFonts w:hint="eastAsia"/>
                <w:color w:val="000000"/>
                <w:kern w:val="0"/>
                <w:sz w:val="22"/>
                <w:szCs w:val="22"/>
              </w:rPr>
              <w:t>施工</w:t>
            </w:r>
            <w:r>
              <w:rPr>
                <w:color w:val="000000"/>
                <w:kern w:val="0"/>
                <w:sz w:val="22"/>
                <w:szCs w:val="22"/>
              </w:rPr>
              <w:t>方案、技术交底</w:t>
            </w:r>
            <w:r>
              <w:rPr>
                <w:rFonts w:hint="eastAsia"/>
                <w:color w:val="000000"/>
                <w:kern w:val="0"/>
                <w:sz w:val="22"/>
                <w:szCs w:val="22"/>
              </w:rPr>
              <w:t>。</w:t>
            </w:r>
          </w:p>
          <w:p w14:paraId="0299689C">
            <w:pPr>
              <w:pStyle w:val="2"/>
              <w:ind w:left="220" w:leftChars="0" w:hanging="220" w:hangingChars="100"/>
              <w:jc w:val="left"/>
              <w:rPr>
                <w:color w:val="000000"/>
              </w:rPr>
            </w:pPr>
            <w:r>
              <w:rPr>
                <w:rFonts w:hint="eastAsia"/>
                <w:color w:val="000000"/>
                <w:kern w:val="0"/>
                <w:sz w:val="22"/>
                <w:szCs w:val="22"/>
              </w:rPr>
              <w:t>（含拆除、加固改造工程）</w:t>
            </w:r>
          </w:p>
        </w:tc>
        <w:tc>
          <w:tcPr>
            <w:tcW w:w="2519" w:type="dxa"/>
            <w:tcBorders>
              <w:top w:val="single" w:color="auto" w:sz="8" w:space="0"/>
              <w:left w:val="single" w:color="auto" w:sz="8" w:space="0"/>
              <w:bottom w:val="single" w:color="auto" w:sz="8" w:space="0"/>
              <w:right w:val="single" w:color="auto" w:sz="8" w:space="0"/>
            </w:tcBorders>
            <w:vAlign w:val="center"/>
          </w:tcPr>
          <w:p w14:paraId="047A1CB7">
            <w:pPr>
              <w:widowControl/>
              <w:jc w:val="left"/>
              <w:textAlignment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47FB4566">
            <w:pPr>
              <w:pStyle w:val="38"/>
              <w:jc w:val="center"/>
              <w:rPr>
                <w:color w:val="000000"/>
                <w:highlight w:val="yellow"/>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10D8F7D4">
            <w:pPr>
              <w:pStyle w:val="38"/>
              <w:jc w:val="center"/>
              <w:rPr>
                <w:color w:val="000000"/>
              </w:rPr>
            </w:pPr>
          </w:p>
        </w:tc>
      </w:tr>
      <w:tr w14:paraId="1B61E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7D6343FD">
            <w:pPr>
              <w:pStyle w:val="38"/>
              <w:jc w:val="center"/>
              <w:rPr>
                <w:color w:val="000000"/>
              </w:rPr>
            </w:pPr>
            <w:r>
              <w:rPr>
                <w:rFonts w:hint="eastAsia"/>
                <w:color w:val="000000"/>
              </w:rPr>
              <w:t>3</w:t>
            </w:r>
          </w:p>
        </w:tc>
        <w:tc>
          <w:tcPr>
            <w:tcW w:w="392" w:type="dxa"/>
            <w:vMerge w:val="continue"/>
            <w:tcBorders>
              <w:top w:val="single" w:color="auto" w:sz="8" w:space="0"/>
              <w:left w:val="single" w:color="auto" w:sz="8" w:space="0"/>
              <w:bottom w:val="single" w:color="auto" w:sz="8" w:space="0"/>
              <w:right w:val="single" w:color="auto" w:sz="8" w:space="0"/>
            </w:tcBorders>
            <w:vAlign w:val="center"/>
          </w:tcPr>
          <w:p w14:paraId="2B5D90E5">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331EDAA9">
            <w:pPr>
              <w:widowControl/>
              <w:jc w:val="left"/>
              <w:textAlignment w:val="center"/>
              <w:rPr>
                <w:color w:val="000000"/>
              </w:rPr>
            </w:pPr>
            <w:r>
              <w:rPr>
                <w:color w:val="000000"/>
                <w:kern w:val="0"/>
                <w:sz w:val="22"/>
                <w:szCs w:val="22"/>
              </w:rPr>
              <w:t>图纸会审、深化设计、设计变更、工程洽商</w:t>
            </w:r>
            <w:r>
              <w:rPr>
                <w:rFonts w:hint="eastAsia"/>
                <w:color w:val="000000"/>
                <w:kern w:val="0"/>
                <w:sz w:val="22"/>
                <w:szCs w:val="22"/>
              </w:rPr>
              <w:t>。</w:t>
            </w:r>
          </w:p>
        </w:tc>
        <w:tc>
          <w:tcPr>
            <w:tcW w:w="2519" w:type="dxa"/>
            <w:tcBorders>
              <w:top w:val="single" w:color="auto" w:sz="8" w:space="0"/>
              <w:left w:val="single" w:color="auto" w:sz="8" w:space="0"/>
              <w:bottom w:val="single" w:color="auto" w:sz="8" w:space="0"/>
              <w:right w:val="single" w:color="auto" w:sz="8" w:space="0"/>
            </w:tcBorders>
            <w:vAlign w:val="center"/>
          </w:tcPr>
          <w:p w14:paraId="45A216E6">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74A39C51">
            <w:pPr>
              <w:pStyle w:val="38"/>
              <w:jc w:val="center"/>
              <w:rPr>
                <w:color w:val="000000"/>
                <w:highlight w:val="yellow"/>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EA1B01D">
            <w:pPr>
              <w:pStyle w:val="38"/>
              <w:jc w:val="center"/>
              <w:rPr>
                <w:color w:val="000000"/>
              </w:rPr>
            </w:pPr>
          </w:p>
        </w:tc>
      </w:tr>
      <w:tr w14:paraId="208A0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6E2C0402">
            <w:pPr>
              <w:pStyle w:val="38"/>
              <w:jc w:val="center"/>
              <w:rPr>
                <w:color w:val="000000"/>
              </w:rPr>
            </w:pPr>
            <w:r>
              <w:rPr>
                <w:rFonts w:hint="eastAsia"/>
                <w:color w:val="000000"/>
              </w:rPr>
              <w:t>4</w:t>
            </w:r>
          </w:p>
        </w:tc>
        <w:tc>
          <w:tcPr>
            <w:tcW w:w="392" w:type="dxa"/>
            <w:vMerge w:val="restart"/>
            <w:tcBorders>
              <w:top w:val="single" w:color="auto" w:sz="8" w:space="0"/>
              <w:left w:val="single" w:color="auto" w:sz="8" w:space="0"/>
              <w:bottom w:val="single" w:color="auto" w:sz="8" w:space="0"/>
              <w:right w:val="single" w:color="auto" w:sz="8" w:space="0"/>
            </w:tcBorders>
            <w:vAlign w:val="center"/>
          </w:tcPr>
          <w:p w14:paraId="4D51BBD5">
            <w:pPr>
              <w:pStyle w:val="38"/>
              <w:jc w:val="center"/>
              <w:rPr>
                <w:color w:val="000000"/>
              </w:rPr>
            </w:pPr>
            <w:r>
              <w:rPr>
                <w:rFonts w:hint="eastAsia"/>
                <w:color w:val="000000"/>
              </w:rPr>
              <w:t>施工物资</w:t>
            </w:r>
          </w:p>
        </w:tc>
        <w:tc>
          <w:tcPr>
            <w:tcW w:w="4354" w:type="dxa"/>
            <w:tcBorders>
              <w:top w:val="single" w:color="auto" w:sz="8" w:space="0"/>
              <w:left w:val="single" w:color="auto" w:sz="8" w:space="0"/>
              <w:bottom w:val="single" w:color="auto" w:sz="8" w:space="0"/>
              <w:right w:val="single" w:color="auto" w:sz="8" w:space="0"/>
            </w:tcBorders>
            <w:vAlign w:val="center"/>
          </w:tcPr>
          <w:p w14:paraId="6155A426">
            <w:pPr>
              <w:pStyle w:val="38"/>
              <w:jc w:val="left"/>
              <w:rPr>
                <w:color w:val="000000"/>
              </w:rPr>
            </w:pPr>
            <w:r>
              <w:rPr>
                <w:color w:val="000000"/>
              </w:rPr>
              <w:t>成型钢筋</w:t>
            </w:r>
            <w:r>
              <w:rPr>
                <w:rFonts w:hint="eastAsia"/>
                <w:color w:val="000000"/>
              </w:rPr>
              <w:t>/钢材</w:t>
            </w:r>
            <w:r>
              <w:rPr>
                <w:color w:val="000000"/>
                <w:kern w:val="0"/>
                <w:sz w:val="22"/>
                <w:szCs w:val="22"/>
              </w:rPr>
              <w:t>：质量证明文件及进场检验记录、复验报告</w:t>
            </w:r>
            <w:r>
              <w:rPr>
                <w:rFonts w:hint="eastAsia"/>
                <w:color w:val="000000"/>
                <w:kern w:val="0"/>
                <w:sz w:val="22"/>
                <w:szCs w:val="22"/>
              </w:rPr>
              <w:t>。</w:t>
            </w:r>
          </w:p>
        </w:tc>
        <w:tc>
          <w:tcPr>
            <w:tcW w:w="2519" w:type="dxa"/>
            <w:tcBorders>
              <w:top w:val="single" w:color="auto" w:sz="8" w:space="0"/>
              <w:left w:val="single" w:color="auto" w:sz="8" w:space="0"/>
              <w:bottom w:val="single" w:color="auto" w:sz="8" w:space="0"/>
              <w:right w:val="single" w:color="auto" w:sz="8" w:space="0"/>
            </w:tcBorders>
            <w:vAlign w:val="center"/>
          </w:tcPr>
          <w:p w14:paraId="240B14A3">
            <w:pPr>
              <w:pStyle w:val="38"/>
              <w:jc w:val="center"/>
              <w:rPr>
                <w:color w:val="000000"/>
              </w:rPr>
            </w:pPr>
          </w:p>
        </w:tc>
        <w:tc>
          <w:tcPr>
            <w:tcW w:w="798" w:type="dxa"/>
            <w:vMerge w:val="restart"/>
            <w:tcBorders>
              <w:top w:val="single" w:color="auto" w:sz="8" w:space="0"/>
              <w:left w:val="single" w:color="auto" w:sz="8" w:space="0"/>
              <w:bottom w:val="single" w:color="auto" w:sz="8" w:space="0"/>
              <w:right w:val="single" w:color="auto" w:sz="8" w:space="0"/>
            </w:tcBorders>
            <w:vAlign w:val="center"/>
          </w:tcPr>
          <w:p w14:paraId="7CFE7146">
            <w:pPr>
              <w:pStyle w:val="38"/>
              <w:jc w:val="center"/>
              <w:rPr>
                <w:color w:val="000000"/>
              </w:rPr>
            </w:pPr>
            <w:r>
              <w:rPr>
                <w:rFonts w:hint="eastAsia"/>
                <w:color w:val="000000"/>
              </w:rPr>
              <w:t>10</w:t>
            </w: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111F7A7E">
            <w:pPr>
              <w:pStyle w:val="38"/>
              <w:jc w:val="center"/>
              <w:rPr>
                <w:color w:val="000000"/>
              </w:rPr>
            </w:pPr>
          </w:p>
        </w:tc>
      </w:tr>
      <w:tr w14:paraId="028E9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3D9F6C67">
            <w:pPr>
              <w:pStyle w:val="38"/>
              <w:jc w:val="center"/>
              <w:rPr>
                <w:color w:val="000000"/>
              </w:rPr>
            </w:pPr>
            <w:r>
              <w:rPr>
                <w:rFonts w:hint="eastAsia"/>
                <w:color w:val="000000"/>
              </w:rPr>
              <w:t>5</w:t>
            </w:r>
          </w:p>
        </w:tc>
        <w:tc>
          <w:tcPr>
            <w:tcW w:w="392" w:type="dxa"/>
            <w:vMerge w:val="continue"/>
            <w:tcBorders>
              <w:top w:val="single" w:color="auto" w:sz="8" w:space="0"/>
              <w:left w:val="single" w:color="auto" w:sz="8" w:space="0"/>
              <w:bottom w:val="single" w:color="auto" w:sz="8" w:space="0"/>
              <w:right w:val="single" w:color="auto" w:sz="8" w:space="0"/>
            </w:tcBorders>
            <w:vAlign w:val="center"/>
          </w:tcPr>
          <w:p w14:paraId="658B0008">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477BD451">
            <w:pPr>
              <w:pStyle w:val="38"/>
              <w:jc w:val="left"/>
              <w:rPr>
                <w:color w:val="000000"/>
              </w:rPr>
            </w:pPr>
            <w:r>
              <w:rPr>
                <w:color w:val="000000"/>
              </w:rPr>
              <w:t>钢结构用钢材</w:t>
            </w:r>
            <w:r>
              <w:rPr>
                <w:color w:val="000000"/>
                <w:kern w:val="0"/>
                <w:sz w:val="22"/>
                <w:szCs w:val="22"/>
              </w:rPr>
              <w:t>：质量证明文件及进场检验记录、复验报告</w:t>
            </w:r>
            <w:r>
              <w:rPr>
                <w:rFonts w:hint="eastAsia"/>
                <w:color w:val="000000"/>
                <w:kern w:val="0"/>
                <w:sz w:val="22"/>
                <w:szCs w:val="22"/>
              </w:rPr>
              <w:t>。</w:t>
            </w:r>
          </w:p>
        </w:tc>
        <w:tc>
          <w:tcPr>
            <w:tcW w:w="2519" w:type="dxa"/>
            <w:tcBorders>
              <w:top w:val="single" w:color="auto" w:sz="8" w:space="0"/>
              <w:left w:val="single" w:color="auto" w:sz="8" w:space="0"/>
              <w:bottom w:val="single" w:color="auto" w:sz="8" w:space="0"/>
              <w:right w:val="single" w:color="auto" w:sz="8" w:space="0"/>
            </w:tcBorders>
            <w:vAlign w:val="center"/>
          </w:tcPr>
          <w:p w14:paraId="7B6AE866">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301A4556">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0B423FEE">
            <w:pPr>
              <w:pStyle w:val="38"/>
              <w:jc w:val="center"/>
              <w:rPr>
                <w:color w:val="000000"/>
              </w:rPr>
            </w:pPr>
          </w:p>
        </w:tc>
      </w:tr>
      <w:tr w14:paraId="4A5F8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23D354F0">
            <w:pPr>
              <w:pStyle w:val="38"/>
              <w:jc w:val="center"/>
              <w:rPr>
                <w:color w:val="000000"/>
              </w:rPr>
            </w:pPr>
            <w:r>
              <w:rPr>
                <w:rFonts w:hint="eastAsia"/>
                <w:color w:val="000000"/>
              </w:rPr>
              <w:t>6</w:t>
            </w:r>
          </w:p>
        </w:tc>
        <w:tc>
          <w:tcPr>
            <w:tcW w:w="392" w:type="dxa"/>
            <w:vMerge w:val="continue"/>
            <w:tcBorders>
              <w:top w:val="single" w:color="auto" w:sz="8" w:space="0"/>
              <w:left w:val="single" w:color="auto" w:sz="8" w:space="0"/>
              <w:bottom w:val="single" w:color="auto" w:sz="8" w:space="0"/>
              <w:right w:val="single" w:color="auto" w:sz="8" w:space="0"/>
            </w:tcBorders>
            <w:vAlign w:val="center"/>
          </w:tcPr>
          <w:p w14:paraId="2CBEA9B0">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76C6933E">
            <w:pPr>
              <w:pStyle w:val="38"/>
              <w:jc w:val="left"/>
              <w:rPr>
                <w:color w:val="000000"/>
              </w:rPr>
            </w:pPr>
            <w:r>
              <w:rPr>
                <w:color w:val="000000"/>
              </w:rPr>
              <w:t>钢构件</w:t>
            </w:r>
            <w:r>
              <w:rPr>
                <w:color w:val="000000"/>
                <w:kern w:val="0"/>
                <w:sz w:val="22"/>
                <w:szCs w:val="22"/>
              </w:rPr>
              <w:t>：质量证明文件及进场检验记录、复验报告</w:t>
            </w:r>
            <w:r>
              <w:rPr>
                <w:rFonts w:hint="eastAsia"/>
                <w:color w:val="000000"/>
                <w:kern w:val="0"/>
                <w:sz w:val="22"/>
                <w:szCs w:val="22"/>
              </w:rPr>
              <w:t>。</w:t>
            </w:r>
          </w:p>
        </w:tc>
        <w:tc>
          <w:tcPr>
            <w:tcW w:w="2519" w:type="dxa"/>
            <w:tcBorders>
              <w:top w:val="single" w:color="auto" w:sz="8" w:space="0"/>
              <w:left w:val="single" w:color="auto" w:sz="8" w:space="0"/>
              <w:bottom w:val="single" w:color="auto" w:sz="8" w:space="0"/>
              <w:right w:val="single" w:color="auto" w:sz="8" w:space="0"/>
            </w:tcBorders>
            <w:vAlign w:val="center"/>
          </w:tcPr>
          <w:p w14:paraId="39752B11">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05F2DCD0">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208B1126">
            <w:pPr>
              <w:pStyle w:val="38"/>
              <w:jc w:val="center"/>
              <w:rPr>
                <w:color w:val="000000"/>
              </w:rPr>
            </w:pPr>
          </w:p>
        </w:tc>
      </w:tr>
      <w:tr w14:paraId="170E0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27393AF4">
            <w:pPr>
              <w:pStyle w:val="38"/>
              <w:jc w:val="center"/>
              <w:rPr>
                <w:color w:val="000000"/>
              </w:rPr>
            </w:pPr>
            <w:r>
              <w:rPr>
                <w:rFonts w:hint="eastAsia"/>
                <w:color w:val="000000"/>
              </w:rPr>
              <w:t>7</w:t>
            </w:r>
          </w:p>
        </w:tc>
        <w:tc>
          <w:tcPr>
            <w:tcW w:w="392" w:type="dxa"/>
            <w:vMerge w:val="continue"/>
            <w:tcBorders>
              <w:top w:val="single" w:color="auto" w:sz="8" w:space="0"/>
              <w:left w:val="single" w:color="auto" w:sz="8" w:space="0"/>
              <w:bottom w:val="single" w:color="auto" w:sz="8" w:space="0"/>
              <w:right w:val="single" w:color="auto" w:sz="8" w:space="0"/>
            </w:tcBorders>
            <w:vAlign w:val="center"/>
          </w:tcPr>
          <w:p w14:paraId="37F30EAA">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68599AD8">
            <w:pPr>
              <w:pStyle w:val="38"/>
              <w:jc w:val="left"/>
              <w:rPr>
                <w:color w:val="000000"/>
              </w:rPr>
            </w:pPr>
            <w:r>
              <w:rPr>
                <w:color w:val="000000"/>
              </w:rPr>
              <w:t>高强螺栓连接副</w:t>
            </w:r>
            <w:r>
              <w:rPr>
                <w:color w:val="000000"/>
                <w:kern w:val="0"/>
                <w:sz w:val="22"/>
                <w:szCs w:val="22"/>
              </w:rPr>
              <w:t>：质量证明文件及进场检验记录、复验报告</w:t>
            </w:r>
            <w:r>
              <w:rPr>
                <w:rFonts w:hint="eastAsia"/>
                <w:color w:val="000000"/>
                <w:kern w:val="0"/>
                <w:sz w:val="22"/>
                <w:szCs w:val="22"/>
              </w:rPr>
              <w:t>。</w:t>
            </w:r>
          </w:p>
        </w:tc>
        <w:tc>
          <w:tcPr>
            <w:tcW w:w="2519" w:type="dxa"/>
            <w:tcBorders>
              <w:top w:val="single" w:color="auto" w:sz="8" w:space="0"/>
              <w:left w:val="single" w:color="auto" w:sz="8" w:space="0"/>
              <w:bottom w:val="single" w:color="auto" w:sz="8" w:space="0"/>
              <w:right w:val="single" w:color="auto" w:sz="8" w:space="0"/>
            </w:tcBorders>
            <w:vAlign w:val="center"/>
          </w:tcPr>
          <w:p w14:paraId="3CA29EED">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65DD86ED">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6B1334B">
            <w:pPr>
              <w:pStyle w:val="38"/>
              <w:jc w:val="center"/>
              <w:rPr>
                <w:color w:val="000000"/>
              </w:rPr>
            </w:pPr>
          </w:p>
        </w:tc>
      </w:tr>
      <w:tr w14:paraId="2A384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291F58FB">
            <w:pPr>
              <w:pStyle w:val="38"/>
              <w:jc w:val="center"/>
              <w:rPr>
                <w:color w:val="000000"/>
              </w:rPr>
            </w:pPr>
            <w:r>
              <w:rPr>
                <w:rFonts w:hint="eastAsia"/>
                <w:color w:val="000000"/>
              </w:rPr>
              <w:t>8</w:t>
            </w:r>
          </w:p>
        </w:tc>
        <w:tc>
          <w:tcPr>
            <w:tcW w:w="392" w:type="dxa"/>
            <w:vMerge w:val="continue"/>
            <w:tcBorders>
              <w:top w:val="single" w:color="auto" w:sz="8" w:space="0"/>
              <w:left w:val="single" w:color="auto" w:sz="8" w:space="0"/>
              <w:bottom w:val="single" w:color="auto" w:sz="8" w:space="0"/>
              <w:right w:val="single" w:color="auto" w:sz="8" w:space="0"/>
            </w:tcBorders>
            <w:vAlign w:val="center"/>
          </w:tcPr>
          <w:p w14:paraId="37F5DECE">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478F66A8">
            <w:pPr>
              <w:pStyle w:val="38"/>
              <w:jc w:val="left"/>
              <w:rPr>
                <w:color w:val="000000"/>
              </w:rPr>
            </w:pPr>
            <w:r>
              <w:rPr>
                <w:color w:val="000000"/>
              </w:rPr>
              <w:t>铸钢件</w:t>
            </w:r>
            <w:r>
              <w:rPr>
                <w:color w:val="000000"/>
                <w:kern w:val="0"/>
                <w:sz w:val="22"/>
                <w:szCs w:val="22"/>
              </w:rPr>
              <w:t>：质量证明文件及进场检验记录、复验报告</w:t>
            </w:r>
            <w:r>
              <w:rPr>
                <w:rFonts w:hint="eastAsia"/>
                <w:color w:val="000000"/>
                <w:kern w:val="0"/>
                <w:sz w:val="22"/>
                <w:szCs w:val="22"/>
              </w:rPr>
              <w:t>。</w:t>
            </w:r>
          </w:p>
        </w:tc>
        <w:tc>
          <w:tcPr>
            <w:tcW w:w="2519" w:type="dxa"/>
            <w:tcBorders>
              <w:top w:val="single" w:color="auto" w:sz="8" w:space="0"/>
              <w:left w:val="single" w:color="auto" w:sz="8" w:space="0"/>
              <w:bottom w:val="single" w:color="auto" w:sz="8" w:space="0"/>
              <w:right w:val="single" w:color="auto" w:sz="8" w:space="0"/>
            </w:tcBorders>
            <w:vAlign w:val="center"/>
          </w:tcPr>
          <w:p w14:paraId="7C3DE81F">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3C7C7C00">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6FD25E93">
            <w:pPr>
              <w:pStyle w:val="38"/>
              <w:jc w:val="center"/>
              <w:rPr>
                <w:color w:val="000000"/>
              </w:rPr>
            </w:pPr>
          </w:p>
        </w:tc>
      </w:tr>
      <w:tr w14:paraId="36E22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4939D2B2">
            <w:pPr>
              <w:pStyle w:val="38"/>
              <w:jc w:val="center"/>
              <w:rPr>
                <w:color w:val="000000"/>
              </w:rPr>
            </w:pPr>
            <w:r>
              <w:rPr>
                <w:rFonts w:hint="eastAsia"/>
                <w:color w:val="000000"/>
              </w:rPr>
              <w:t>9</w:t>
            </w:r>
          </w:p>
        </w:tc>
        <w:tc>
          <w:tcPr>
            <w:tcW w:w="392" w:type="dxa"/>
            <w:vMerge w:val="continue"/>
            <w:tcBorders>
              <w:top w:val="single" w:color="auto" w:sz="8" w:space="0"/>
              <w:left w:val="single" w:color="auto" w:sz="8" w:space="0"/>
              <w:bottom w:val="single" w:color="auto" w:sz="8" w:space="0"/>
              <w:right w:val="single" w:color="auto" w:sz="8" w:space="0"/>
            </w:tcBorders>
            <w:vAlign w:val="center"/>
          </w:tcPr>
          <w:p w14:paraId="0BDF2662">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6CC726C5">
            <w:pPr>
              <w:pStyle w:val="38"/>
              <w:jc w:val="left"/>
              <w:rPr>
                <w:color w:val="000000"/>
              </w:rPr>
            </w:pPr>
            <w:r>
              <w:rPr>
                <w:color w:val="000000"/>
              </w:rPr>
              <w:t>普通螺栓</w:t>
            </w:r>
            <w:r>
              <w:rPr>
                <w:color w:val="000000"/>
                <w:kern w:val="0"/>
                <w:sz w:val="22"/>
                <w:szCs w:val="22"/>
              </w:rPr>
              <w:t>：质量证明文件及进场检验记录</w:t>
            </w:r>
          </w:p>
        </w:tc>
        <w:tc>
          <w:tcPr>
            <w:tcW w:w="2519" w:type="dxa"/>
            <w:tcBorders>
              <w:top w:val="single" w:color="auto" w:sz="8" w:space="0"/>
              <w:left w:val="single" w:color="auto" w:sz="8" w:space="0"/>
              <w:bottom w:val="single" w:color="auto" w:sz="8" w:space="0"/>
              <w:right w:val="single" w:color="auto" w:sz="8" w:space="0"/>
            </w:tcBorders>
            <w:vAlign w:val="center"/>
          </w:tcPr>
          <w:p w14:paraId="6764EAF4">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491314D5">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2DEAA6DE">
            <w:pPr>
              <w:pStyle w:val="38"/>
              <w:jc w:val="center"/>
              <w:rPr>
                <w:color w:val="000000"/>
              </w:rPr>
            </w:pPr>
          </w:p>
        </w:tc>
      </w:tr>
      <w:tr w14:paraId="7EA23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55FC3A80">
            <w:pPr>
              <w:pStyle w:val="38"/>
              <w:jc w:val="center"/>
              <w:rPr>
                <w:color w:val="000000"/>
              </w:rPr>
            </w:pPr>
            <w:r>
              <w:rPr>
                <w:rFonts w:hint="eastAsia"/>
                <w:color w:val="000000"/>
              </w:rPr>
              <w:t>10</w:t>
            </w:r>
          </w:p>
        </w:tc>
        <w:tc>
          <w:tcPr>
            <w:tcW w:w="392" w:type="dxa"/>
            <w:vMerge w:val="continue"/>
            <w:tcBorders>
              <w:top w:val="single" w:color="auto" w:sz="8" w:space="0"/>
              <w:left w:val="single" w:color="auto" w:sz="8" w:space="0"/>
              <w:bottom w:val="single" w:color="auto" w:sz="8" w:space="0"/>
              <w:right w:val="single" w:color="auto" w:sz="8" w:space="0"/>
            </w:tcBorders>
            <w:vAlign w:val="center"/>
          </w:tcPr>
          <w:p w14:paraId="43D67B2F">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164D141C">
            <w:pPr>
              <w:pStyle w:val="38"/>
              <w:jc w:val="left"/>
              <w:rPr>
                <w:color w:val="000000"/>
              </w:rPr>
            </w:pPr>
            <w:r>
              <w:rPr>
                <w:color w:val="000000"/>
              </w:rPr>
              <w:t>预应力筋束</w:t>
            </w:r>
            <w:r>
              <w:rPr>
                <w:rFonts w:hint="eastAsia"/>
                <w:color w:val="000000"/>
              </w:rPr>
              <w:t>、</w:t>
            </w:r>
            <w:r>
              <w:rPr>
                <w:color w:val="000000"/>
              </w:rPr>
              <w:t>锚具</w:t>
            </w:r>
            <w:r>
              <w:rPr>
                <w:rFonts w:hint="eastAsia"/>
                <w:color w:val="000000"/>
              </w:rPr>
              <w:t>、</w:t>
            </w:r>
            <w:r>
              <w:rPr>
                <w:color w:val="000000"/>
              </w:rPr>
              <w:t>夹具</w:t>
            </w:r>
            <w:r>
              <w:rPr>
                <w:color w:val="000000"/>
                <w:kern w:val="0"/>
                <w:sz w:val="22"/>
                <w:szCs w:val="22"/>
              </w:rPr>
              <w:t>：质量证明文件及进场检验记录、复验报告</w:t>
            </w:r>
            <w:r>
              <w:rPr>
                <w:rFonts w:hint="eastAsia"/>
                <w:color w:val="000000"/>
                <w:kern w:val="0"/>
                <w:sz w:val="22"/>
                <w:szCs w:val="22"/>
              </w:rPr>
              <w:t>。</w:t>
            </w:r>
          </w:p>
        </w:tc>
        <w:tc>
          <w:tcPr>
            <w:tcW w:w="2519" w:type="dxa"/>
            <w:tcBorders>
              <w:top w:val="single" w:color="auto" w:sz="8" w:space="0"/>
              <w:left w:val="single" w:color="auto" w:sz="8" w:space="0"/>
              <w:bottom w:val="single" w:color="auto" w:sz="8" w:space="0"/>
              <w:right w:val="single" w:color="auto" w:sz="8" w:space="0"/>
            </w:tcBorders>
            <w:vAlign w:val="center"/>
          </w:tcPr>
          <w:p w14:paraId="5813BE72">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5B2E6D71">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B5E57FF">
            <w:pPr>
              <w:pStyle w:val="38"/>
              <w:jc w:val="center"/>
              <w:rPr>
                <w:color w:val="000000"/>
              </w:rPr>
            </w:pPr>
          </w:p>
        </w:tc>
      </w:tr>
      <w:tr w14:paraId="271E9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593665E8">
            <w:pPr>
              <w:pStyle w:val="38"/>
              <w:jc w:val="center"/>
              <w:rPr>
                <w:color w:val="000000"/>
              </w:rPr>
            </w:pPr>
            <w:r>
              <w:rPr>
                <w:rFonts w:hint="eastAsia"/>
                <w:color w:val="000000"/>
              </w:rPr>
              <w:t>11</w:t>
            </w:r>
          </w:p>
        </w:tc>
        <w:tc>
          <w:tcPr>
            <w:tcW w:w="392" w:type="dxa"/>
            <w:vMerge w:val="continue"/>
            <w:tcBorders>
              <w:top w:val="single" w:color="auto" w:sz="8" w:space="0"/>
              <w:left w:val="single" w:color="auto" w:sz="8" w:space="0"/>
              <w:bottom w:val="single" w:color="auto" w:sz="8" w:space="0"/>
              <w:right w:val="single" w:color="auto" w:sz="8" w:space="0"/>
            </w:tcBorders>
            <w:vAlign w:val="center"/>
          </w:tcPr>
          <w:p w14:paraId="7728A933">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75E18282">
            <w:pPr>
              <w:pStyle w:val="38"/>
              <w:jc w:val="left"/>
              <w:rPr>
                <w:color w:val="000000"/>
              </w:rPr>
            </w:pPr>
            <w:r>
              <w:rPr>
                <w:rFonts w:hint="eastAsia"/>
                <w:color w:val="000000"/>
              </w:rPr>
              <w:t>水泥、碎石、钢管、速凝剂、水玻璃等材料</w:t>
            </w:r>
            <w:r>
              <w:rPr>
                <w:color w:val="000000"/>
                <w:kern w:val="0"/>
                <w:sz w:val="22"/>
                <w:szCs w:val="22"/>
              </w:rPr>
              <w:t>：质量证明文件及进场检验记录、复验报告</w:t>
            </w:r>
            <w:r>
              <w:rPr>
                <w:rFonts w:hint="eastAsia"/>
                <w:color w:val="000000"/>
                <w:kern w:val="0"/>
                <w:sz w:val="22"/>
                <w:szCs w:val="22"/>
              </w:rPr>
              <w:t>。</w:t>
            </w:r>
          </w:p>
        </w:tc>
        <w:tc>
          <w:tcPr>
            <w:tcW w:w="2519" w:type="dxa"/>
            <w:tcBorders>
              <w:top w:val="single" w:color="auto" w:sz="8" w:space="0"/>
              <w:left w:val="single" w:color="auto" w:sz="8" w:space="0"/>
              <w:bottom w:val="single" w:color="auto" w:sz="8" w:space="0"/>
              <w:right w:val="single" w:color="auto" w:sz="8" w:space="0"/>
            </w:tcBorders>
            <w:vAlign w:val="center"/>
          </w:tcPr>
          <w:p w14:paraId="3537957F">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094565C8">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07EC254">
            <w:pPr>
              <w:pStyle w:val="38"/>
              <w:jc w:val="center"/>
              <w:rPr>
                <w:color w:val="000000"/>
              </w:rPr>
            </w:pPr>
          </w:p>
        </w:tc>
      </w:tr>
      <w:tr w14:paraId="52F6B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0F69398C">
            <w:pPr>
              <w:pStyle w:val="38"/>
              <w:jc w:val="center"/>
              <w:rPr>
                <w:color w:val="000000"/>
              </w:rPr>
            </w:pPr>
            <w:r>
              <w:rPr>
                <w:rFonts w:hint="eastAsia"/>
                <w:color w:val="000000"/>
              </w:rPr>
              <w:t>12</w:t>
            </w:r>
          </w:p>
        </w:tc>
        <w:tc>
          <w:tcPr>
            <w:tcW w:w="392" w:type="dxa"/>
            <w:vMerge w:val="continue"/>
            <w:tcBorders>
              <w:top w:val="single" w:color="auto" w:sz="8" w:space="0"/>
              <w:left w:val="single" w:color="auto" w:sz="8" w:space="0"/>
              <w:bottom w:val="single" w:color="auto" w:sz="8" w:space="0"/>
              <w:right w:val="single" w:color="auto" w:sz="8" w:space="0"/>
            </w:tcBorders>
            <w:vAlign w:val="center"/>
          </w:tcPr>
          <w:p w14:paraId="4885C88D">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3CA84741">
            <w:pPr>
              <w:pStyle w:val="38"/>
              <w:jc w:val="left"/>
              <w:rPr>
                <w:color w:val="000000"/>
              </w:rPr>
            </w:pPr>
            <w:r>
              <w:rPr>
                <w:rFonts w:hint="eastAsia"/>
                <w:color w:val="000000"/>
              </w:rPr>
              <w:t>（生石灰）掺合料</w:t>
            </w:r>
            <w:r>
              <w:rPr>
                <w:color w:val="000000"/>
                <w:kern w:val="0"/>
                <w:sz w:val="22"/>
                <w:szCs w:val="22"/>
              </w:rPr>
              <w:t>：质量证明文件及进场检验记录、复验报告</w:t>
            </w:r>
            <w:r>
              <w:rPr>
                <w:rFonts w:hint="eastAsia"/>
                <w:color w:val="000000"/>
                <w:kern w:val="0"/>
                <w:sz w:val="22"/>
                <w:szCs w:val="22"/>
              </w:rPr>
              <w:t>。</w:t>
            </w:r>
          </w:p>
        </w:tc>
        <w:tc>
          <w:tcPr>
            <w:tcW w:w="2519" w:type="dxa"/>
            <w:tcBorders>
              <w:top w:val="single" w:color="auto" w:sz="8" w:space="0"/>
              <w:left w:val="single" w:color="auto" w:sz="8" w:space="0"/>
              <w:bottom w:val="single" w:color="auto" w:sz="8" w:space="0"/>
              <w:right w:val="single" w:color="auto" w:sz="8" w:space="0"/>
            </w:tcBorders>
            <w:vAlign w:val="center"/>
          </w:tcPr>
          <w:p w14:paraId="69D550A2">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4689D993">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3443868">
            <w:pPr>
              <w:pStyle w:val="38"/>
              <w:jc w:val="center"/>
              <w:rPr>
                <w:color w:val="000000"/>
              </w:rPr>
            </w:pPr>
          </w:p>
        </w:tc>
      </w:tr>
      <w:tr w14:paraId="33869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4"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3313913F">
            <w:pPr>
              <w:pStyle w:val="38"/>
              <w:jc w:val="center"/>
              <w:rPr>
                <w:color w:val="000000"/>
              </w:rPr>
            </w:pPr>
            <w:r>
              <w:rPr>
                <w:rFonts w:hint="eastAsia"/>
                <w:color w:val="000000"/>
              </w:rPr>
              <w:t>13</w:t>
            </w:r>
          </w:p>
        </w:tc>
        <w:tc>
          <w:tcPr>
            <w:tcW w:w="392" w:type="dxa"/>
            <w:vMerge w:val="continue"/>
            <w:tcBorders>
              <w:top w:val="single" w:color="auto" w:sz="8" w:space="0"/>
              <w:left w:val="single" w:color="auto" w:sz="8" w:space="0"/>
              <w:bottom w:val="single" w:color="auto" w:sz="8" w:space="0"/>
              <w:right w:val="single" w:color="auto" w:sz="8" w:space="0"/>
            </w:tcBorders>
            <w:vAlign w:val="center"/>
          </w:tcPr>
          <w:p w14:paraId="0AF9B1EB">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700D44E4">
            <w:pPr>
              <w:pStyle w:val="38"/>
              <w:jc w:val="left"/>
              <w:rPr>
                <w:color w:val="000000"/>
              </w:rPr>
            </w:pPr>
            <w:r>
              <w:rPr>
                <w:rFonts w:hint="eastAsia"/>
                <w:color w:val="000000"/>
              </w:rPr>
              <w:t>结构加固原材料</w:t>
            </w:r>
            <w:r>
              <w:rPr>
                <w:color w:val="000000"/>
                <w:kern w:val="0"/>
                <w:sz w:val="22"/>
                <w:szCs w:val="22"/>
              </w:rPr>
              <w:t>：质量证明文件及进场检验记录、复验报告</w:t>
            </w:r>
            <w:r>
              <w:rPr>
                <w:rFonts w:hint="eastAsia"/>
                <w:color w:val="000000"/>
                <w:kern w:val="0"/>
                <w:sz w:val="22"/>
                <w:szCs w:val="22"/>
              </w:rPr>
              <w:t>。</w:t>
            </w:r>
          </w:p>
        </w:tc>
        <w:tc>
          <w:tcPr>
            <w:tcW w:w="2519" w:type="dxa"/>
            <w:tcBorders>
              <w:top w:val="single" w:color="auto" w:sz="8" w:space="0"/>
              <w:left w:val="single" w:color="auto" w:sz="8" w:space="0"/>
              <w:bottom w:val="single" w:color="auto" w:sz="8" w:space="0"/>
              <w:right w:val="single" w:color="auto" w:sz="8" w:space="0"/>
            </w:tcBorders>
            <w:vAlign w:val="center"/>
          </w:tcPr>
          <w:p w14:paraId="1719BBF4">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20EE8C48">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04F1C5A9">
            <w:pPr>
              <w:pStyle w:val="38"/>
              <w:jc w:val="center"/>
              <w:rPr>
                <w:color w:val="000000"/>
              </w:rPr>
            </w:pPr>
          </w:p>
        </w:tc>
      </w:tr>
      <w:tr w14:paraId="6E361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7923FF91">
            <w:pPr>
              <w:pStyle w:val="38"/>
              <w:jc w:val="center"/>
              <w:rPr>
                <w:color w:val="000000"/>
              </w:rPr>
            </w:pPr>
            <w:r>
              <w:rPr>
                <w:rFonts w:hint="eastAsia"/>
                <w:color w:val="000000"/>
              </w:rPr>
              <w:t>14</w:t>
            </w:r>
          </w:p>
        </w:tc>
        <w:tc>
          <w:tcPr>
            <w:tcW w:w="392" w:type="dxa"/>
            <w:vMerge w:val="continue"/>
            <w:tcBorders>
              <w:top w:val="single" w:color="auto" w:sz="8" w:space="0"/>
              <w:left w:val="single" w:color="auto" w:sz="8" w:space="0"/>
              <w:bottom w:val="single" w:color="auto" w:sz="8" w:space="0"/>
              <w:right w:val="single" w:color="auto" w:sz="8" w:space="0"/>
            </w:tcBorders>
            <w:vAlign w:val="center"/>
          </w:tcPr>
          <w:p w14:paraId="25482846">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205BE277">
            <w:pPr>
              <w:widowControl/>
              <w:jc w:val="left"/>
              <w:textAlignment w:val="center"/>
              <w:rPr>
                <w:color w:val="000000"/>
                <w:kern w:val="0"/>
                <w:sz w:val="22"/>
                <w:szCs w:val="22"/>
              </w:rPr>
            </w:pPr>
            <w:r>
              <w:rPr>
                <w:color w:val="000000"/>
                <w:kern w:val="0"/>
                <w:sz w:val="22"/>
                <w:szCs w:val="22"/>
              </w:rPr>
              <w:t>防水材料：质量证明文件及进场检验记录、复验报告</w:t>
            </w:r>
            <w:r>
              <w:rPr>
                <w:rFonts w:hint="eastAsia"/>
                <w:color w:val="000000"/>
                <w:kern w:val="0"/>
                <w:sz w:val="22"/>
                <w:szCs w:val="22"/>
              </w:rPr>
              <w:t>。</w:t>
            </w:r>
          </w:p>
        </w:tc>
        <w:tc>
          <w:tcPr>
            <w:tcW w:w="2519" w:type="dxa"/>
            <w:tcBorders>
              <w:top w:val="single" w:color="auto" w:sz="8" w:space="0"/>
              <w:left w:val="single" w:color="auto" w:sz="8" w:space="0"/>
              <w:bottom w:val="single" w:color="auto" w:sz="8" w:space="0"/>
              <w:right w:val="single" w:color="auto" w:sz="8" w:space="0"/>
            </w:tcBorders>
            <w:vAlign w:val="center"/>
          </w:tcPr>
          <w:p w14:paraId="6E37693F">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39292ED1">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85938A0">
            <w:pPr>
              <w:pStyle w:val="38"/>
              <w:jc w:val="center"/>
              <w:rPr>
                <w:color w:val="000000"/>
              </w:rPr>
            </w:pPr>
          </w:p>
        </w:tc>
      </w:tr>
      <w:tr w14:paraId="30E03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2EF8F466">
            <w:pPr>
              <w:pStyle w:val="38"/>
              <w:jc w:val="center"/>
              <w:rPr>
                <w:color w:val="000000"/>
              </w:rPr>
            </w:pPr>
            <w:r>
              <w:rPr>
                <w:rFonts w:hint="eastAsia"/>
                <w:color w:val="000000"/>
              </w:rPr>
              <w:t>15</w:t>
            </w:r>
          </w:p>
        </w:tc>
        <w:tc>
          <w:tcPr>
            <w:tcW w:w="392" w:type="dxa"/>
            <w:vMerge w:val="continue"/>
            <w:tcBorders>
              <w:top w:val="single" w:color="auto" w:sz="8" w:space="0"/>
              <w:left w:val="single" w:color="auto" w:sz="8" w:space="0"/>
              <w:bottom w:val="single" w:color="auto" w:sz="8" w:space="0"/>
              <w:right w:val="single" w:color="auto" w:sz="8" w:space="0"/>
            </w:tcBorders>
            <w:vAlign w:val="center"/>
          </w:tcPr>
          <w:p w14:paraId="61C3FFE1">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5BE99BF8">
            <w:pPr>
              <w:widowControl/>
              <w:jc w:val="left"/>
              <w:textAlignment w:val="center"/>
              <w:rPr>
                <w:color w:val="000000"/>
                <w:kern w:val="0"/>
                <w:sz w:val="22"/>
                <w:szCs w:val="22"/>
              </w:rPr>
            </w:pPr>
            <w:r>
              <w:rPr>
                <w:color w:val="000000"/>
                <w:kern w:val="0"/>
                <w:sz w:val="22"/>
                <w:szCs w:val="22"/>
              </w:rPr>
              <w:t>室内装修材料（人造木板、花岗岩、瓷质砖、壁纸壁布、地毯、涂料、胶粘剂等）：质量证明文件及进场检验记录、复验报告</w:t>
            </w:r>
            <w:r>
              <w:rPr>
                <w:rFonts w:hint="eastAsia"/>
                <w:color w:val="000000"/>
                <w:kern w:val="0"/>
                <w:sz w:val="22"/>
                <w:szCs w:val="22"/>
              </w:rPr>
              <w:t>。</w:t>
            </w:r>
          </w:p>
        </w:tc>
        <w:tc>
          <w:tcPr>
            <w:tcW w:w="2519" w:type="dxa"/>
            <w:tcBorders>
              <w:top w:val="single" w:color="auto" w:sz="8" w:space="0"/>
              <w:left w:val="single" w:color="auto" w:sz="8" w:space="0"/>
              <w:bottom w:val="single" w:color="auto" w:sz="8" w:space="0"/>
              <w:right w:val="single" w:color="auto" w:sz="8" w:space="0"/>
            </w:tcBorders>
            <w:vAlign w:val="center"/>
          </w:tcPr>
          <w:p w14:paraId="4603BC66">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7C65A588">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54A5F962">
            <w:pPr>
              <w:pStyle w:val="38"/>
              <w:jc w:val="center"/>
              <w:rPr>
                <w:color w:val="000000"/>
              </w:rPr>
            </w:pPr>
          </w:p>
        </w:tc>
      </w:tr>
      <w:tr w14:paraId="74D55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7" w:hRule="atLeast"/>
        </w:trPr>
        <w:tc>
          <w:tcPr>
            <w:tcW w:w="597" w:type="dxa"/>
            <w:tcBorders>
              <w:top w:val="single" w:color="auto" w:sz="8" w:space="0"/>
              <w:left w:val="single" w:color="auto" w:sz="8" w:space="0"/>
              <w:bottom w:val="single" w:color="auto" w:sz="8" w:space="0"/>
              <w:right w:val="single" w:color="auto" w:sz="8" w:space="0"/>
            </w:tcBorders>
            <w:noWrap/>
            <w:vAlign w:val="center"/>
          </w:tcPr>
          <w:p w14:paraId="23C76C47">
            <w:pPr>
              <w:pStyle w:val="38"/>
              <w:jc w:val="center"/>
              <w:rPr>
                <w:color w:val="000000"/>
              </w:rPr>
            </w:pPr>
            <w:r>
              <w:rPr>
                <w:rFonts w:hint="eastAsia"/>
                <w:color w:val="000000"/>
              </w:rPr>
              <w:t>16</w:t>
            </w:r>
          </w:p>
        </w:tc>
        <w:tc>
          <w:tcPr>
            <w:tcW w:w="392" w:type="dxa"/>
            <w:vMerge w:val="continue"/>
            <w:tcBorders>
              <w:top w:val="single" w:color="auto" w:sz="8" w:space="0"/>
              <w:left w:val="single" w:color="auto" w:sz="8" w:space="0"/>
              <w:bottom w:val="single" w:color="auto" w:sz="8" w:space="0"/>
              <w:right w:val="single" w:color="auto" w:sz="8" w:space="0"/>
            </w:tcBorders>
            <w:vAlign w:val="center"/>
          </w:tcPr>
          <w:p w14:paraId="4DF9CB4B">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0F9640E2">
            <w:pPr>
              <w:widowControl/>
              <w:jc w:val="left"/>
              <w:textAlignment w:val="center"/>
              <w:rPr>
                <w:color w:val="000000"/>
                <w:kern w:val="0"/>
                <w:sz w:val="22"/>
                <w:szCs w:val="22"/>
              </w:rPr>
            </w:pPr>
            <w:r>
              <w:rPr>
                <w:color w:val="000000"/>
                <w:kern w:val="0"/>
                <w:sz w:val="22"/>
                <w:szCs w:val="22"/>
              </w:rPr>
              <w:t>幕墙、外窗、外墙的面板（玻璃、金属、石材、饰面砖等）、密封胶、结构胶、节能材料：质量证明文件及进场检验记录、复验报告</w:t>
            </w:r>
            <w:r>
              <w:rPr>
                <w:rFonts w:hint="eastAsia"/>
                <w:color w:val="000000"/>
                <w:kern w:val="0"/>
                <w:sz w:val="22"/>
                <w:szCs w:val="22"/>
              </w:rPr>
              <w:t>。</w:t>
            </w:r>
          </w:p>
        </w:tc>
        <w:tc>
          <w:tcPr>
            <w:tcW w:w="2519" w:type="dxa"/>
            <w:tcBorders>
              <w:top w:val="single" w:color="auto" w:sz="8" w:space="0"/>
              <w:left w:val="single" w:color="auto" w:sz="8" w:space="0"/>
              <w:bottom w:val="single" w:color="auto" w:sz="8" w:space="0"/>
              <w:right w:val="single" w:color="auto" w:sz="8" w:space="0"/>
            </w:tcBorders>
            <w:vAlign w:val="center"/>
          </w:tcPr>
          <w:p w14:paraId="505EE382">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7E2CFA76">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646CA4C">
            <w:pPr>
              <w:pStyle w:val="38"/>
              <w:jc w:val="center"/>
              <w:rPr>
                <w:color w:val="000000"/>
              </w:rPr>
            </w:pPr>
          </w:p>
        </w:tc>
      </w:tr>
    </w:tbl>
    <w:p w14:paraId="7B7E78EA">
      <w:pPr>
        <w:widowControl/>
        <w:suppressAutoHyphens w:val="0"/>
        <w:jc w:val="left"/>
        <w:rPr>
          <w:color w:val="000000"/>
        </w:rPr>
      </w:pPr>
      <w:r>
        <w:rPr>
          <w:color w:val="000000"/>
        </w:rPr>
        <w:br w:type="page"/>
      </w:r>
    </w:p>
    <w:p w14:paraId="3358EBD1">
      <w:pPr>
        <w:jc w:val="center"/>
        <w:outlineLvl w:val="2"/>
        <w:rPr>
          <w:rFonts w:eastAsia="黑体"/>
          <w:color w:val="000000"/>
          <w:sz w:val="24"/>
          <w:szCs w:val="24"/>
          <w:lang w:val="zh-CN"/>
        </w:rPr>
      </w:pPr>
      <w:bookmarkStart w:id="908" w:name="_Toc9176"/>
      <w:bookmarkStart w:id="909" w:name="_Toc24404"/>
      <w:bookmarkStart w:id="910" w:name="_Toc10602"/>
      <w:bookmarkStart w:id="911" w:name="_Toc6780"/>
      <w:bookmarkStart w:id="912" w:name="_Toc5806"/>
      <w:bookmarkStart w:id="913" w:name="_Toc2689"/>
      <w:bookmarkStart w:id="914" w:name="_Toc23877"/>
      <w:bookmarkStart w:id="915" w:name="_Toc8695"/>
      <w:r>
        <w:rPr>
          <w:rFonts w:hint="eastAsia" w:eastAsia="黑体"/>
          <w:color w:val="000000"/>
          <w:sz w:val="24"/>
          <w:szCs w:val="24"/>
        </w:rPr>
        <w:t>续</w:t>
      </w:r>
      <w:r>
        <w:rPr>
          <w:rFonts w:eastAsia="黑体"/>
          <w:color w:val="000000"/>
          <w:sz w:val="24"/>
          <w:szCs w:val="24"/>
          <w:lang w:val="zh-CN"/>
        </w:rPr>
        <w:t>表</w:t>
      </w:r>
      <w:r>
        <w:rPr>
          <w:rFonts w:hint="eastAsia" w:eastAsia="黑体"/>
          <w:color w:val="000000"/>
          <w:sz w:val="24"/>
          <w:szCs w:val="24"/>
        </w:rPr>
        <w:t xml:space="preserve">  H</w:t>
      </w:r>
      <w:r>
        <w:rPr>
          <w:rFonts w:eastAsia="黑体"/>
          <w:color w:val="000000"/>
          <w:sz w:val="24"/>
          <w:szCs w:val="24"/>
          <w:lang w:val="zh-CN"/>
        </w:rPr>
        <w:t>.0.1</w:t>
      </w:r>
      <w:bookmarkEnd w:id="908"/>
      <w:bookmarkEnd w:id="909"/>
      <w:bookmarkEnd w:id="910"/>
      <w:bookmarkEnd w:id="911"/>
      <w:bookmarkEnd w:id="912"/>
      <w:bookmarkEnd w:id="913"/>
      <w:bookmarkEnd w:id="914"/>
      <w:bookmarkEnd w:id="915"/>
    </w:p>
    <w:p w14:paraId="676F2CE5">
      <w:pPr>
        <w:widowControl/>
        <w:spacing w:before="156" w:beforeLines="50" w:after="156" w:afterLines="50"/>
        <w:jc w:val="left"/>
        <w:textAlignment w:val="center"/>
        <w:rPr>
          <w:color w:val="000000"/>
          <w:kern w:val="0"/>
          <w:sz w:val="24"/>
          <w:szCs w:val="24"/>
        </w:rPr>
      </w:pPr>
      <w:r>
        <w:rPr>
          <w:color w:val="000000"/>
          <w:kern w:val="0"/>
          <w:sz w:val="24"/>
          <w:szCs w:val="24"/>
        </w:rPr>
        <w:t>工程名称：                             施工单位</w:t>
      </w:r>
      <w:r>
        <w:rPr>
          <w:rFonts w:hint="eastAsia"/>
          <w:color w:val="000000"/>
          <w:kern w:val="0"/>
          <w:sz w:val="24"/>
          <w:szCs w:val="24"/>
        </w:rPr>
        <w:t>：</w:t>
      </w:r>
    </w:p>
    <w:tbl>
      <w:tblPr>
        <w:tblStyle w:val="25"/>
        <w:tblW w:w="94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583"/>
        <w:gridCol w:w="406"/>
        <w:gridCol w:w="4354"/>
        <w:gridCol w:w="2519"/>
        <w:gridCol w:w="798"/>
        <w:gridCol w:w="770"/>
      </w:tblGrid>
      <w:tr w14:paraId="7C720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583" w:type="dxa"/>
            <w:tcBorders>
              <w:top w:val="nil"/>
              <w:left w:val="nil"/>
              <w:bottom w:val="single" w:color="auto" w:sz="8" w:space="0"/>
              <w:right w:val="nil"/>
            </w:tcBorders>
            <w:noWrap/>
            <w:vAlign w:val="center"/>
          </w:tcPr>
          <w:p w14:paraId="36260836">
            <w:pPr>
              <w:pStyle w:val="38"/>
              <w:jc w:val="center"/>
              <w:rPr>
                <w:color w:val="000000"/>
              </w:rPr>
            </w:pPr>
            <w:r>
              <w:rPr>
                <w:rFonts w:hint="eastAsia"/>
                <w:color w:val="000000"/>
              </w:rPr>
              <w:t>序号</w:t>
            </w:r>
          </w:p>
        </w:tc>
        <w:tc>
          <w:tcPr>
            <w:tcW w:w="4760" w:type="dxa"/>
            <w:gridSpan w:val="2"/>
            <w:tcBorders>
              <w:top w:val="nil"/>
              <w:left w:val="nil"/>
              <w:bottom w:val="single" w:color="auto" w:sz="8" w:space="0"/>
              <w:right w:val="nil"/>
            </w:tcBorders>
            <w:vAlign w:val="center"/>
          </w:tcPr>
          <w:p w14:paraId="53FCB4D4">
            <w:pPr>
              <w:pStyle w:val="38"/>
              <w:jc w:val="center"/>
              <w:rPr>
                <w:color w:val="000000"/>
              </w:rPr>
            </w:pPr>
            <w:r>
              <w:rPr>
                <w:color w:val="000000"/>
              </w:rPr>
              <w:t>检查项目</w:t>
            </w:r>
          </w:p>
        </w:tc>
        <w:tc>
          <w:tcPr>
            <w:tcW w:w="2519" w:type="dxa"/>
            <w:tcBorders>
              <w:top w:val="nil"/>
              <w:left w:val="nil"/>
              <w:bottom w:val="single" w:color="auto" w:sz="8" w:space="0"/>
              <w:right w:val="nil"/>
            </w:tcBorders>
            <w:noWrap/>
            <w:vAlign w:val="center"/>
          </w:tcPr>
          <w:p w14:paraId="27B5D2E8">
            <w:pPr>
              <w:pStyle w:val="38"/>
              <w:jc w:val="center"/>
              <w:rPr>
                <w:color w:val="000000"/>
              </w:rPr>
            </w:pPr>
            <w:r>
              <w:rPr>
                <w:color w:val="000000"/>
              </w:rPr>
              <w:t>检查情况</w:t>
            </w:r>
          </w:p>
        </w:tc>
        <w:tc>
          <w:tcPr>
            <w:tcW w:w="798" w:type="dxa"/>
            <w:tcBorders>
              <w:top w:val="nil"/>
              <w:left w:val="nil"/>
              <w:bottom w:val="single" w:color="auto" w:sz="8" w:space="0"/>
              <w:right w:val="nil"/>
            </w:tcBorders>
            <w:noWrap/>
            <w:vAlign w:val="center"/>
          </w:tcPr>
          <w:p w14:paraId="2F7556E7">
            <w:pPr>
              <w:pStyle w:val="38"/>
              <w:jc w:val="center"/>
              <w:rPr>
                <w:color w:val="000000"/>
              </w:rPr>
            </w:pPr>
            <w:r>
              <w:rPr>
                <w:color w:val="000000"/>
              </w:rPr>
              <w:t>应得分</w:t>
            </w:r>
          </w:p>
        </w:tc>
        <w:tc>
          <w:tcPr>
            <w:tcW w:w="770" w:type="dxa"/>
            <w:tcBorders>
              <w:top w:val="nil"/>
              <w:left w:val="nil"/>
              <w:bottom w:val="single" w:color="auto" w:sz="8" w:space="0"/>
              <w:right w:val="nil"/>
            </w:tcBorders>
            <w:noWrap/>
            <w:vAlign w:val="center"/>
          </w:tcPr>
          <w:p w14:paraId="2658E270">
            <w:pPr>
              <w:pStyle w:val="38"/>
              <w:jc w:val="center"/>
              <w:rPr>
                <w:color w:val="000000"/>
              </w:rPr>
            </w:pPr>
            <w:r>
              <w:rPr>
                <w:color w:val="000000"/>
              </w:rPr>
              <w:t>实得分</w:t>
            </w:r>
          </w:p>
        </w:tc>
      </w:tr>
      <w:tr w14:paraId="08696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0D626BA2">
            <w:pPr>
              <w:pStyle w:val="38"/>
              <w:jc w:val="center"/>
              <w:rPr>
                <w:color w:val="000000"/>
              </w:rPr>
            </w:pPr>
            <w:r>
              <w:rPr>
                <w:rFonts w:hint="eastAsia"/>
                <w:color w:val="000000"/>
              </w:rPr>
              <w:t>17</w:t>
            </w:r>
          </w:p>
        </w:tc>
        <w:tc>
          <w:tcPr>
            <w:tcW w:w="406" w:type="dxa"/>
            <w:vMerge w:val="restart"/>
            <w:tcBorders>
              <w:top w:val="single" w:color="auto" w:sz="8" w:space="0"/>
              <w:left w:val="single" w:color="auto" w:sz="8" w:space="0"/>
              <w:bottom w:val="single" w:color="auto" w:sz="8" w:space="0"/>
              <w:right w:val="single" w:color="auto" w:sz="8" w:space="0"/>
            </w:tcBorders>
            <w:vAlign w:val="center"/>
          </w:tcPr>
          <w:p w14:paraId="47658E01">
            <w:pPr>
              <w:pStyle w:val="38"/>
              <w:jc w:val="center"/>
              <w:rPr>
                <w:color w:val="000000"/>
              </w:rPr>
            </w:pPr>
            <w:r>
              <w:rPr>
                <w:rFonts w:hint="eastAsia"/>
                <w:color w:val="000000"/>
              </w:rPr>
              <w:t>施工记录</w:t>
            </w:r>
          </w:p>
        </w:tc>
        <w:tc>
          <w:tcPr>
            <w:tcW w:w="4354" w:type="dxa"/>
            <w:tcBorders>
              <w:top w:val="single" w:color="auto" w:sz="8" w:space="0"/>
              <w:left w:val="single" w:color="auto" w:sz="8" w:space="0"/>
              <w:bottom w:val="single" w:color="auto" w:sz="8" w:space="0"/>
              <w:right w:val="single" w:color="auto" w:sz="8" w:space="0"/>
            </w:tcBorders>
            <w:vAlign w:val="center"/>
          </w:tcPr>
          <w:p w14:paraId="2B51F4EA">
            <w:pPr>
              <w:pStyle w:val="38"/>
              <w:jc w:val="left"/>
              <w:rPr>
                <w:color w:val="000000"/>
              </w:rPr>
            </w:pPr>
            <w:r>
              <w:rPr>
                <w:rFonts w:hint="eastAsia"/>
                <w:color w:val="000000"/>
              </w:rPr>
              <w:t>加固工程</w:t>
            </w:r>
            <w:r>
              <w:rPr>
                <w:color w:val="000000"/>
              </w:rPr>
              <w:t>隐蔽工程验收记录</w:t>
            </w:r>
            <w:r>
              <w:rPr>
                <w:rFonts w:hint="eastAsia"/>
                <w:color w:val="000000"/>
              </w:rPr>
              <w:t>。</w:t>
            </w:r>
          </w:p>
        </w:tc>
        <w:tc>
          <w:tcPr>
            <w:tcW w:w="2519" w:type="dxa"/>
            <w:tcBorders>
              <w:top w:val="single" w:color="auto" w:sz="8" w:space="0"/>
              <w:left w:val="single" w:color="auto" w:sz="8" w:space="0"/>
              <w:bottom w:val="single" w:color="auto" w:sz="8" w:space="0"/>
              <w:right w:val="single" w:color="auto" w:sz="8" w:space="0"/>
            </w:tcBorders>
            <w:vAlign w:val="center"/>
          </w:tcPr>
          <w:p w14:paraId="1F13914B">
            <w:pPr>
              <w:pStyle w:val="38"/>
              <w:jc w:val="center"/>
              <w:rPr>
                <w:color w:val="000000"/>
              </w:rPr>
            </w:pPr>
          </w:p>
        </w:tc>
        <w:tc>
          <w:tcPr>
            <w:tcW w:w="798" w:type="dxa"/>
            <w:vMerge w:val="restart"/>
            <w:tcBorders>
              <w:top w:val="single" w:color="auto" w:sz="8" w:space="0"/>
              <w:left w:val="single" w:color="auto" w:sz="8" w:space="0"/>
              <w:bottom w:val="single" w:color="auto" w:sz="8" w:space="0"/>
              <w:right w:val="single" w:color="auto" w:sz="8" w:space="0"/>
            </w:tcBorders>
            <w:vAlign w:val="center"/>
          </w:tcPr>
          <w:p w14:paraId="1FFD3507">
            <w:pPr>
              <w:pStyle w:val="38"/>
              <w:jc w:val="center"/>
              <w:rPr>
                <w:color w:val="000000"/>
              </w:rPr>
            </w:pPr>
            <w:r>
              <w:rPr>
                <w:rFonts w:hint="eastAsia"/>
                <w:color w:val="000000"/>
              </w:rPr>
              <w:t>10</w:t>
            </w:r>
          </w:p>
        </w:tc>
        <w:tc>
          <w:tcPr>
            <w:tcW w:w="770" w:type="dxa"/>
            <w:vMerge w:val="restart"/>
            <w:tcBorders>
              <w:top w:val="single" w:color="auto" w:sz="8" w:space="0"/>
              <w:left w:val="single" w:color="auto" w:sz="8" w:space="0"/>
              <w:bottom w:val="single" w:color="auto" w:sz="8" w:space="0"/>
              <w:right w:val="single" w:color="auto" w:sz="8" w:space="0"/>
            </w:tcBorders>
            <w:vAlign w:val="center"/>
          </w:tcPr>
          <w:p w14:paraId="641E6E9C">
            <w:pPr>
              <w:pStyle w:val="38"/>
              <w:jc w:val="center"/>
              <w:rPr>
                <w:color w:val="000000"/>
              </w:rPr>
            </w:pPr>
          </w:p>
        </w:tc>
      </w:tr>
      <w:tr w14:paraId="2C231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78C8E342">
            <w:pPr>
              <w:pStyle w:val="38"/>
              <w:jc w:val="center"/>
              <w:rPr>
                <w:color w:val="000000"/>
              </w:rPr>
            </w:pPr>
            <w:r>
              <w:rPr>
                <w:rFonts w:hint="eastAsia"/>
                <w:color w:val="000000"/>
              </w:rPr>
              <w:t>18</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06400131">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496C9BDC">
            <w:pPr>
              <w:pStyle w:val="38"/>
              <w:jc w:val="left"/>
              <w:rPr>
                <w:color w:val="000000"/>
              </w:rPr>
            </w:pPr>
            <w:r>
              <w:rPr>
                <w:color w:val="000000"/>
              </w:rPr>
              <w:t>交接检查记录</w:t>
            </w:r>
            <w:r>
              <w:rPr>
                <w:rFonts w:hint="eastAsia"/>
                <w:color w:val="000000"/>
              </w:rPr>
              <w:t>。</w:t>
            </w:r>
          </w:p>
        </w:tc>
        <w:tc>
          <w:tcPr>
            <w:tcW w:w="2519" w:type="dxa"/>
            <w:tcBorders>
              <w:top w:val="single" w:color="auto" w:sz="8" w:space="0"/>
              <w:left w:val="single" w:color="auto" w:sz="8" w:space="0"/>
              <w:bottom w:val="single" w:color="auto" w:sz="8" w:space="0"/>
              <w:right w:val="single" w:color="auto" w:sz="8" w:space="0"/>
            </w:tcBorders>
            <w:vAlign w:val="center"/>
          </w:tcPr>
          <w:p w14:paraId="5F34CDA6">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19EFE77E">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09EC1FB8">
            <w:pPr>
              <w:pStyle w:val="38"/>
              <w:jc w:val="center"/>
              <w:rPr>
                <w:color w:val="000000"/>
              </w:rPr>
            </w:pPr>
          </w:p>
        </w:tc>
      </w:tr>
      <w:tr w14:paraId="51760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1F9D0DDA">
            <w:pPr>
              <w:pStyle w:val="38"/>
              <w:jc w:val="center"/>
              <w:rPr>
                <w:color w:val="000000"/>
              </w:rPr>
            </w:pPr>
            <w:r>
              <w:rPr>
                <w:rFonts w:hint="eastAsia"/>
                <w:color w:val="000000"/>
              </w:rPr>
              <w:t>19</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475F6A39">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680DC39F">
            <w:pPr>
              <w:pStyle w:val="38"/>
              <w:jc w:val="left"/>
              <w:rPr>
                <w:color w:val="000000"/>
              </w:rPr>
            </w:pPr>
            <w:r>
              <w:rPr>
                <w:color w:val="000000"/>
              </w:rPr>
              <w:t>地基验槽检查记录</w:t>
            </w:r>
            <w:r>
              <w:rPr>
                <w:rFonts w:hint="eastAsia"/>
                <w:color w:val="000000"/>
              </w:rPr>
              <w:t>。</w:t>
            </w:r>
          </w:p>
        </w:tc>
        <w:tc>
          <w:tcPr>
            <w:tcW w:w="2519" w:type="dxa"/>
            <w:tcBorders>
              <w:top w:val="single" w:color="auto" w:sz="8" w:space="0"/>
              <w:left w:val="single" w:color="auto" w:sz="8" w:space="0"/>
              <w:bottom w:val="single" w:color="auto" w:sz="8" w:space="0"/>
              <w:right w:val="single" w:color="auto" w:sz="8" w:space="0"/>
            </w:tcBorders>
            <w:vAlign w:val="center"/>
          </w:tcPr>
          <w:p w14:paraId="1ACE27D1">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3E40B0D6">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23FA39C">
            <w:pPr>
              <w:pStyle w:val="38"/>
              <w:jc w:val="center"/>
              <w:rPr>
                <w:color w:val="000000"/>
              </w:rPr>
            </w:pPr>
          </w:p>
        </w:tc>
      </w:tr>
      <w:tr w14:paraId="29E9D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35867591">
            <w:pPr>
              <w:pStyle w:val="38"/>
              <w:jc w:val="center"/>
              <w:rPr>
                <w:color w:val="000000"/>
              </w:rPr>
            </w:pPr>
            <w:r>
              <w:rPr>
                <w:rFonts w:hint="eastAsia"/>
                <w:color w:val="000000"/>
              </w:rPr>
              <w:t>20</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4410FC4D">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0EA90265">
            <w:pPr>
              <w:pStyle w:val="38"/>
              <w:jc w:val="left"/>
              <w:rPr>
                <w:color w:val="000000"/>
              </w:rPr>
            </w:pPr>
            <w:r>
              <w:rPr>
                <w:color w:val="000000"/>
              </w:rPr>
              <w:t>地基处理记录及钎探记录</w:t>
            </w:r>
            <w:r>
              <w:rPr>
                <w:rFonts w:hint="eastAsia"/>
                <w:color w:val="000000"/>
              </w:rPr>
              <w:t>（附图）。</w:t>
            </w:r>
          </w:p>
        </w:tc>
        <w:tc>
          <w:tcPr>
            <w:tcW w:w="2519" w:type="dxa"/>
            <w:tcBorders>
              <w:top w:val="single" w:color="auto" w:sz="8" w:space="0"/>
              <w:left w:val="single" w:color="auto" w:sz="8" w:space="0"/>
              <w:bottom w:val="single" w:color="auto" w:sz="8" w:space="0"/>
              <w:right w:val="single" w:color="auto" w:sz="8" w:space="0"/>
            </w:tcBorders>
            <w:vAlign w:val="center"/>
          </w:tcPr>
          <w:p w14:paraId="7E3B7A84">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0889FF4D">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2060E24F">
            <w:pPr>
              <w:pStyle w:val="38"/>
              <w:jc w:val="center"/>
              <w:rPr>
                <w:color w:val="000000"/>
              </w:rPr>
            </w:pPr>
          </w:p>
        </w:tc>
      </w:tr>
      <w:tr w14:paraId="674BE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5AD720C6">
            <w:pPr>
              <w:pStyle w:val="38"/>
              <w:jc w:val="center"/>
              <w:rPr>
                <w:color w:val="000000"/>
              </w:rPr>
            </w:pPr>
            <w:r>
              <w:rPr>
                <w:rFonts w:hint="eastAsia"/>
                <w:color w:val="000000"/>
              </w:rPr>
              <w:t>21</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145698A8">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1C86E6EC">
            <w:pPr>
              <w:pStyle w:val="38"/>
              <w:jc w:val="left"/>
              <w:rPr>
                <w:color w:val="000000"/>
              </w:rPr>
            </w:pPr>
            <w:r>
              <w:rPr>
                <w:color w:val="000000"/>
              </w:rPr>
              <w:t>高强螺栓施工记录</w:t>
            </w:r>
            <w:r>
              <w:rPr>
                <w:rFonts w:hint="eastAsia"/>
                <w:color w:val="000000"/>
              </w:rPr>
              <w:t>。</w:t>
            </w:r>
          </w:p>
        </w:tc>
        <w:tc>
          <w:tcPr>
            <w:tcW w:w="2519" w:type="dxa"/>
            <w:tcBorders>
              <w:top w:val="single" w:color="auto" w:sz="8" w:space="0"/>
              <w:left w:val="single" w:color="auto" w:sz="8" w:space="0"/>
              <w:bottom w:val="single" w:color="auto" w:sz="8" w:space="0"/>
              <w:right w:val="single" w:color="auto" w:sz="8" w:space="0"/>
            </w:tcBorders>
            <w:vAlign w:val="center"/>
          </w:tcPr>
          <w:p w14:paraId="1B6CE6E7">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517E7D5A">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170C3F3B">
            <w:pPr>
              <w:pStyle w:val="38"/>
              <w:jc w:val="center"/>
              <w:rPr>
                <w:color w:val="000000"/>
              </w:rPr>
            </w:pPr>
          </w:p>
        </w:tc>
      </w:tr>
      <w:tr w14:paraId="047AB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2B1830AC">
            <w:pPr>
              <w:pStyle w:val="38"/>
              <w:jc w:val="center"/>
              <w:rPr>
                <w:color w:val="000000"/>
              </w:rPr>
            </w:pPr>
            <w:r>
              <w:rPr>
                <w:rFonts w:hint="eastAsia"/>
                <w:color w:val="000000"/>
              </w:rPr>
              <w:t>22</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4665614D">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2C9DC7AD">
            <w:pPr>
              <w:pStyle w:val="38"/>
              <w:jc w:val="left"/>
              <w:rPr>
                <w:color w:val="000000"/>
              </w:rPr>
            </w:pPr>
            <w:r>
              <w:rPr>
                <w:color w:val="000000"/>
              </w:rPr>
              <w:t>焊接相关施工记录</w:t>
            </w:r>
            <w:r>
              <w:rPr>
                <w:rFonts w:hint="eastAsia"/>
                <w:color w:val="000000"/>
              </w:rPr>
              <w:t>。</w:t>
            </w:r>
          </w:p>
        </w:tc>
        <w:tc>
          <w:tcPr>
            <w:tcW w:w="2519" w:type="dxa"/>
            <w:tcBorders>
              <w:top w:val="single" w:color="auto" w:sz="8" w:space="0"/>
              <w:left w:val="single" w:color="auto" w:sz="8" w:space="0"/>
              <w:bottom w:val="single" w:color="auto" w:sz="8" w:space="0"/>
              <w:right w:val="single" w:color="auto" w:sz="8" w:space="0"/>
            </w:tcBorders>
            <w:vAlign w:val="center"/>
          </w:tcPr>
          <w:p w14:paraId="07311635">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473C795B">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6E16D685">
            <w:pPr>
              <w:pStyle w:val="38"/>
              <w:jc w:val="center"/>
              <w:rPr>
                <w:color w:val="000000"/>
              </w:rPr>
            </w:pPr>
          </w:p>
        </w:tc>
      </w:tr>
      <w:tr w14:paraId="0C2B1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0F8287FC">
            <w:pPr>
              <w:pStyle w:val="38"/>
              <w:jc w:val="center"/>
              <w:rPr>
                <w:color w:val="000000"/>
              </w:rPr>
            </w:pPr>
            <w:r>
              <w:rPr>
                <w:rFonts w:hint="eastAsia"/>
                <w:color w:val="000000"/>
              </w:rPr>
              <w:t>23</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4F6ED8FE">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6F1E982F">
            <w:pPr>
              <w:pStyle w:val="38"/>
              <w:jc w:val="left"/>
              <w:rPr>
                <w:color w:val="000000"/>
              </w:rPr>
            </w:pPr>
            <w:r>
              <w:rPr>
                <w:rFonts w:hint="eastAsia"/>
                <w:color w:val="000000"/>
              </w:rPr>
              <w:t>基础补强注浆施工记录。</w:t>
            </w:r>
          </w:p>
        </w:tc>
        <w:tc>
          <w:tcPr>
            <w:tcW w:w="2519" w:type="dxa"/>
            <w:tcBorders>
              <w:top w:val="single" w:color="auto" w:sz="8" w:space="0"/>
              <w:left w:val="single" w:color="auto" w:sz="8" w:space="0"/>
              <w:bottom w:val="single" w:color="auto" w:sz="8" w:space="0"/>
              <w:right w:val="single" w:color="auto" w:sz="8" w:space="0"/>
            </w:tcBorders>
            <w:vAlign w:val="center"/>
          </w:tcPr>
          <w:p w14:paraId="154EFBDF">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469AB854">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03E7DDF1">
            <w:pPr>
              <w:pStyle w:val="38"/>
              <w:jc w:val="center"/>
              <w:rPr>
                <w:color w:val="000000"/>
              </w:rPr>
            </w:pPr>
          </w:p>
        </w:tc>
      </w:tr>
      <w:tr w14:paraId="2DBAC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376E40A6">
            <w:pPr>
              <w:pStyle w:val="38"/>
              <w:jc w:val="center"/>
              <w:rPr>
                <w:color w:val="000000"/>
              </w:rPr>
            </w:pPr>
            <w:r>
              <w:rPr>
                <w:rFonts w:hint="eastAsia"/>
                <w:color w:val="000000"/>
              </w:rPr>
              <w:t>24</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65892C28">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5241F47A">
            <w:pPr>
              <w:pStyle w:val="38"/>
              <w:jc w:val="left"/>
              <w:rPr>
                <w:color w:val="000000"/>
              </w:rPr>
            </w:pPr>
            <w:r>
              <w:rPr>
                <w:rFonts w:hint="eastAsia"/>
                <w:color w:val="000000"/>
              </w:rPr>
              <w:t>扩大基础施工记录。</w:t>
            </w:r>
          </w:p>
        </w:tc>
        <w:tc>
          <w:tcPr>
            <w:tcW w:w="2519" w:type="dxa"/>
            <w:tcBorders>
              <w:top w:val="single" w:color="auto" w:sz="8" w:space="0"/>
              <w:left w:val="single" w:color="auto" w:sz="8" w:space="0"/>
              <w:bottom w:val="single" w:color="auto" w:sz="8" w:space="0"/>
              <w:right w:val="single" w:color="auto" w:sz="8" w:space="0"/>
            </w:tcBorders>
            <w:vAlign w:val="center"/>
          </w:tcPr>
          <w:p w14:paraId="39F55C5B">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34140BEE">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975A67F">
            <w:pPr>
              <w:pStyle w:val="38"/>
              <w:jc w:val="center"/>
              <w:rPr>
                <w:color w:val="000000"/>
              </w:rPr>
            </w:pPr>
          </w:p>
        </w:tc>
      </w:tr>
      <w:tr w14:paraId="3AC9A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09781C8C">
            <w:pPr>
              <w:pStyle w:val="38"/>
              <w:jc w:val="center"/>
              <w:rPr>
                <w:color w:val="000000"/>
              </w:rPr>
            </w:pPr>
            <w:r>
              <w:rPr>
                <w:rFonts w:hint="eastAsia"/>
                <w:color w:val="000000"/>
              </w:rPr>
              <w:t>25</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61A1EEFE">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34DCA0F9">
            <w:pPr>
              <w:pStyle w:val="38"/>
              <w:jc w:val="left"/>
              <w:rPr>
                <w:color w:val="000000"/>
              </w:rPr>
            </w:pPr>
            <w:r>
              <w:rPr>
                <w:rFonts w:hint="eastAsia"/>
                <w:color w:val="000000"/>
              </w:rPr>
              <w:t>锚杆静压桩施工记录。</w:t>
            </w:r>
          </w:p>
        </w:tc>
        <w:tc>
          <w:tcPr>
            <w:tcW w:w="2519" w:type="dxa"/>
            <w:tcBorders>
              <w:top w:val="single" w:color="auto" w:sz="8" w:space="0"/>
              <w:left w:val="single" w:color="auto" w:sz="8" w:space="0"/>
              <w:bottom w:val="single" w:color="auto" w:sz="8" w:space="0"/>
              <w:right w:val="single" w:color="auto" w:sz="8" w:space="0"/>
            </w:tcBorders>
            <w:vAlign w:val="center"/>
          </w:tcPr>
          <w:p w14:paraId="032D800B">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5AAA602D">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0156F7EE">
            <w:pPr>
              <w:pStyle w:val="38"/>
              <w:jc w:val="center"/>
              <w:rPr>
                <w:color w:val="000000"/>
              </w:rPr>
            </w:pPr>
          </w:p>
        </w:tc>
      </w:tr>
      <w:tr w14:paraId="77DD7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6F58872E">
            <w:pPr>
              <w:pStyle w:val="38"/>
              <w:jc w:val="center"/>
              <w:rPr>
                <w:color w:val="000000"/>
              </w:rPr>
            </w:pPr>
            <w:r>
              <w:rPr>
                <w:rFonts w:hint="eastAsia"/>
                <w:color w:val="000000"/>
              </w:rPr>
              <w:t>26</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12B64108">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63DE2C40">
            <w:pPr>
              <w:pStyle w:val="38"/>
              <w:jc w:val="left"/>
              <w:rPr>
                <w:color w:val="000000"/>
              </w:rPr>
            </w:pPr>
            <w:r>
              <w:rPr>
                <w:rFonts w:hint="eastAsia"/>
                <w:color w:val="000000"/>
              </w:rPr>
              <w:t>树根桩施工记录。</w:t>
            </w:r>
          </w:p>
        </w:tc>
        <w:tc>
          <w:tcPr>
            <w:tcW w:w="2519" w:type="dxa"/>
            <w:tcBorders>
              <w:top w:val="single" w:color="auto" w:sz="8" w:space="0"/>
              <w:left w:val="single" w:color="auto" w:sz="8" w:space="0"/>
              <w:bottom w:val="single" w:color="auto" w:sz="8" w:space="0"/>
              <w:right w:val="single" w:color="auto" w:sz="8" w:space="0"/>
            </w:tcBorders>
            <w:vAlign w:val="center"/>
          </w:tcPr>
          <w:p w14:paraId="0556778C">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725A401C">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5A568BF">
            <w:pPr>
              <w:pStyle w:val="38"/>
              <w:jc w:val="center"/>
              <w:rPr>
                <w:color w:val="000000"/>
              </w:rPr>
            </w:pPr>
          </w:p>
        </w:tc>
      </w:tr>
      <w:tr w14:paraId="08005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56DF7CA2">
            <w:pPr>
              <w:pStyle w:val="38"/>
              <w:jc w:val="center"/>
              <w:rPr>
                <w:color w:val="000000"/>
              </w:rPr>
            </w:pPr>
            <w:r>
              <w:rPr>
                <w:rFonts w:hint="eastAsia"/>
                <w:color w:val="000000"/>
              </w:rPr>
              <w:t>27</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371F9267">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23B67D39">
            <w:pPr>
              <w:pStyle w:val="38"/>
              <w:jc w:val="left"/>
              <w:rPr>
                <w:color w:val="000000"/>
              </w:rPr>
            </w:pPr>
            <w:r>
              <w:rPr>
                <w:rFonts w:hint="eastAsia"/>
                <w:color w:val="000000"/>
              </w:rPr>
              <w:t>坑式静压桩施工记录。</w:t>
            </w:r>
          </w:p>
        </w:tc>
        <w:tc>
          <w:tcPr>
            <w:tcW w:w="2519" w:type="dxa"/>
            <w:tcBorders>
              <w:top w:val="single" w:color="auto" w:sz="8" w:space="0"/>
              <w:left w:val="single" w:color="auto" w:sz="8" w:space="0"/>
              <w:bottom w:val="single" w:color="auto" w:sz="8" w:space="0"/>
              <w:right w:val="single" w:color="auto" w:sz="8" w:space="0"/>
            </w:tcBorders>
            <w:vAlign w:val="center"/>
          </w:tcPr>
          <w:p w14:paraId="6FF28F25">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63A0DBA5">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25F0C4B6">
            <w:pPr>
              <w:pStyle w:val="38"/>
              <w:jc w:val="center"/>
              <w:rPr>
                <w:color w:val="000000"/>
              </w:rPr>
            </w:pPr>
          </w:p>
        </w:tc>
      </w:tr>
      <w:tr w14:paraId="7F058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5C5F649D">
            <w:pPr>
              <w:pStyle w:val="38"/>
              <w:jc w:val="center"/>
              <w:rPr>
                <w:color w:val="000000"/>
              </w:rPr>
            </w:pPr>
            <w:r>
              <w:rPr>
                <w:rFonts w:hint="eastAsia"/>
                <w:color w:val="000000"/>
              </w:rPr>
              <w:t>28</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45A31E6B">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6BAE5F26">
            <w:pPr>
              <w:pStyle w:val="38"/>
              <w:jc w:val="left"/>
              <w:rPr>
                <w:color w:val="000000"/>
              </w:rPr>
            </w:pPr>
            <w:r>
              <w:rPr>
                <w:rFonts w:hint="eastAsia"/>
                <w:color w:val="000000"/>
              </w:rPr>
              <w:t>注浆加固施工记录。</w:t>
            </w:r>
          </w:p>
        </w:tc>
        <w:tc>
          <w:tcPr>
            <w:tcW w:w="2519" w:type="dxa"/>
            <w:tcBorders>
              <w:top w:val="single" w:color="auto" w:sz="8" w:space="0"/>
              <w:left w:val="single" w:color="auto" w:sz="8" w:space="0"/>
              <w:bottom w:val="single" w:color="auto" w:sz="8" w:space="0"/>
              <w:right w:val="single" w:color="auto" w:sz="8" w:space="0"/>
            </w:tcBorders>
            <w:vAlign w:val="center"/>
          </w:tcPr>
          <w:p w14:paraId="0609715C">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6591C261">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2A885F2">
            <w:pPr>
              <w:pStyle w:val="38"/>
              <w:jc w:val="center"/>
              <w:rPr>
                <w:color w:val="000000"/>
              </w:rPr>
            </w:pPr>
          </w:p>
        </w:tc>
      </w:tr>
      <w:tr w14:paraId="699C4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6030C5CA">
            <w:pPr>
              <w:pStyle w:val="38"/>
              <w:jc w:val="center"/>
              <w:rPr>
                <w:color w:val="000000"/>
              </w:rPr>
            </w:pPr>
            <w:r>
              <w:rPr>
                <w:rFonts w:hint="eastAsia"/>
                <w:color w:val="000000"/>
              </w:rPr>
              <w:t>29</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1E5C08C4">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179CB16B">
            <w:pPr>
              <w:pStyle w:val="38"/>
              <w:jc w:val="left"/>
              <w:rPr>
                <w:color w:val="000000"/>
              </w:rPr>
            </w:pPr>
            <w:r>
              <w:rPr>
                <w:rFonts w:hint="eastAsia"/>
                <w:color w:val="000000"/>
              </w:rPr>
              <w:t>石灰桩施工记录。</w:t>
            </w:r>
          </w:p>
        </w:tc>
        <w:tc>
          <w:tcPr>
            <w:tcW w:w="2519" w:type="dxa"/>
            <w:tcBorders>
              <w:top w:val="single" w:color="auto" w:sz="8" w:space="0"/>
              <w:left w:val="single" w:color="auto" w:sz="8" w:space="0"/>
              <w:bottom w:val="single" w:color="auto" w:sz="8" w:space="0"/>
              <w:right w:val="single" w:color="auto" w:sz="8" w:space="0"/>
            </w:tcBorders>
            <w:vAlign w:val="center"/>
          </w:tcPr>
          <w:p w14:paraId="7472BFC7">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63A2FD27">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51808DBB">
            <w:pPr>
              <w:pStyle w:val="38"/>
              <w:jc w:val="center"/>
              <w:rPr>
                <w:color w:val="000000"/>
              </w:rPr>
            </w:pPr>
          </w:p>
        </w:tc>
      </w:tr>
      <w:tr w14:paraId="79EBB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3FCEE205">
            <w:pPr>
              <w:pStyle w:val="38"/>
              <w:jc w:val="center"/>
              <w:rPr>
                <w:color w:val="000000"/>
              </w:rPr>
            </w:pPr>
            <w:r>
              <w:rPr>
                <w:rFonts w:hint="eastAsia"/>
                <w:color w:val="000000"/>
              </w:rPr>
              <w:t>30</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21AA65CE">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49D5279A">
            <w:pPr>
              <w:pStyle w:val="38"/>
              <w:jc w:val="left"/>
              <w:rPr>
                <w:color w:val="000000"/>
              </w:rPr>
            </w:pPr>
            <w:r>
              <w:rPr>
                <w:rFonts w:hint="eastAsia"/>
                <w:color w:val="000000"/>
              </w:rPr>
              <w:t>周边建筑物沉降及位移监测记录。</w:t>
            </w:r>
          </w:p>
        </w:tc>
        <w:tc>
          <w:tcPr>
            <w:tcW w:w="2519" w:type="dxa"/>
            <w:tcBorders>
              <w:top w:val="single" w:color="auto" w:sz="8" w:space="0"/>
              <w:left w:val="single" w:color="auto" w:sz="8" w:space="0"/>
              <w:bottom w:val="single" w:color="auto" w:sz="8" w:space="0"/>
              <w:right w:val="single" w:color="auto" w:sz="8" w:space="0"/>
            </w:tcBorders>
            <w:vAlign w:val="center"/>
          </w:tcPr>
          <w:p w14:paraId="601EFDCE">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15FCFB31">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1DB792ED">
            <w:pPr>
              <w:pStyle w:val="38"/>
              <w:jc w:val="center"/>
              <w:rPr>
                <w:color w:val="000000"/>
              </w:rPr>
            </w:pPr>
          </w:p>
        </w:tc>
      </w:tr>
      <w:tr w14:paraId="28582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2D153555">
            <w:pPr>
              <w:pStyle w:val="38"/>
              <w:jc w:val="center"/>
              <w:rPr>
                <w:color w:val="000000"/>
              </w:rPr>
            </w:pPr>
            <w:r>
              <w:rPr>
                <w:rFonts w:hint="eastAsia"/>
                <w:color w:val="000000"/>
              </w:rPr>
              <w:t>31</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2574E8FC">
            <w:pPr>
              <w:pStyle w:val="38"/>
              <w:snapToGrid w:val="0"/>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4943C6B9">
            <w:pPr>
              <w:widowControl/>
              <w:jc w:val="left"/>
              <w:textAlignment w:val="center"/>
              <w:rPr>
                <w:color w:val="000000"/>
                <w:sz w:val="24"/>
              </w:rPr>
            </w:pPr>
            <w:r>
              <w:rPr>
                <w:rFonts w:hint="eastAsia"/>
                <w:color w:val="000000"/>
                <w:szCs w:val="21"/>
              </w:rPr>
              <w:t>新增电梯沉降观测。</w:t>
            </w:r>
          </w:p>
        </w:tc>
        <w:tc>
          <w:tcPr>
            <w:tcW w:w="2519" w:type="dxa"/>
            <w:tcBorders>
              <w:top w:val="single" w:color="auto" w:sz="8" w:space="0"/>
              <w:left w:val="single" w:color="auto" w:sz="8" w:space="0"/>
              <w:bottom w:val="single" w:color="auto" w:sz="8" w:space="0"/>
              <w:right w:val="single" w:color="auto" w:sz="8" w:space="0"/>
            </w:tcBorders>
            <w:vAlign w:val="center"/>
          </w:tcPr>
          <w:p w14:paraId="37DEA1BE">
            <w:pPr>
              <w:pStyle w:val="38"/>
              <w:snapToGrid w:val="0"/>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7E727B0D">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F0DA3BF">
            <w:pPr>
              <w:pStyle w:val="38"/>
              <w:snapToGrid w:val="0"/>
              <w:jc w:val="center"/>
              <w:rPr>
                <w:color w:val="000000"/>
              </w:rPr>
            </w:pPr>
          </w:p>
        </w:tc>
      </w:tr>
      <w:tr w14:paraId="1AA32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61457E94">
            <w:pPr>
              <w:pStyle w:val="38"/>
              <w:jc w:val="center"/>
              <w:rPr>
                <w:color w:val="000000"/>
              </w:rPr>
            </w:pPr>
            <w:r>
              <w:rPr>
                <w:rFonts w:hint="eastAsia"/>
                <w:color w:val="000000"/>
              </w:rPr>
              <w:t>32</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5B742843">
            <w:pPr>
              <w:pStyle w:val="38"/>
              <w:snapToGrid w:val="0"/>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2EDCC0F9">
            <w:pPr>
              <w:widowControl/>
              <w:jc w:val="left"/>
              <w:textAlignment w:val="center"/>
              <w:rPr>
                <w:color w:val="000000"/>
                <w:kern w:val="0"/>
                <w:sz w:val="22"/>
                <w:szCs w:val="22"/>
              </w:rPr>
            </w:pPr>
            <w:r>
              <w:rPr>
                <w:rFonts w:hint="eastAsia"/>
                <w:color w:val="000000"/>
                <w:szCs w:val="21"/>
              </w:rPr>
              <w:t>建筑物沉降观测，建筑物垂直度、标高测量,钢网架、网壳结构挠度值测量记录。</w:t>
            </w:r>
          </w:p>
        </w:tc>
        <w:tc>
          <w:tcPr>
            <w:tcW w:w="2519" w:type="dxa"/>
            <w:tcBorders>
              <w:top w:val="single" w:color="auto" w:sz="8" w:space="0"/>
              <w:left w:val="single" w:color="auto" w:sz="8" w:space="0"/>
              <w:bottom w:val="single" w:color="auto" w:sz="8" w:space="0"/>
              <w:right w:val="single" w:color="auto" w:sz="8" w:space="0"/>
            </w:tcBorders>
            <w:vAlign w:val="center"/>
          </w:tcPr>
          <w:p w14:paraId="77D68E53">
            <w:pPr>
              <w:pStyle w:val="38"/>
              <w:snapToGrid w:val="0"/>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44E9C1B6">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474340E7">
            <w:pPr>
              <w:pStyle w:val="38"/>
              <w:snapToGrid w:val="0"/>
              <w:jc w:val="center"/>
              <w:rPr>
                <w:color w:val="000000"/>
              </w:rPr>
            </w:pPr>
          </w:p>
        </w:tc>
      </w:tr>
      <w:tr w14:paraId="25A91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59"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63DBCDE7">
            <w:pPr>
              <w:pStyle w:val="38"/>
              <w:jc w:val="center"/>
              <w:rPr>
                <w:color w:val="000000"/>
              </w:rPr>
            </w:pPr>
            <w:r>
              <w:rPr>
                <w:rFonts w:hint="eastAsia"/>
                <w:color w:val="000000"/>
              </w:rPr>
              <w:t>33</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76C31818">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3056D865">
            <w:pPr>
              <w:pStyle w:val="38"/>
              <w:jc w:val="left"/>
              <w:rPr>
                <w:color w:val="000000"/>
              </w:rPr>
            </w:pPr>
            <w:r>
              <w:rPr>
                <w:rFonts w:hint="eastAsia"/>
                <w:color w:val="000000"/>
              </w:rPr>
              <w:t>混凝土外加预应力加固的预应力施工记录、预应力张拉记录。</w:t>
            </w:r>
          </w:p>
        </w:tc>
        <w:tc>
          <w:tcPr>
            <w:tcW w:w="2519" w:type="dxa"/>
            <w:tcBorders>
              <w:top w:val="single" w:color="auto" w:sz="8" w:space="0"/>
              <w:left w:val="single" w:color="auto" w:sz="8" w:space="0"/>
              <w:bottom w:val="single" w:color="auto" w:sz="8" w:space="0"/>
              <w:right w:val="single" w:color="auto" w:sz="8" w:space="0"/>
            </w:tcBorders>
            <w:vAlign w:val="center"/>
          </w:tcPr>
          <w:p w14:paraId="2CFFDEA8">
            <w:pPr>
              <w:pStyle w:val="38"/>
              <w:jc w:val="center"/>
              <w:rPr>
                <w:color w:val="00000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1BCC9646">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137692B4">
            <w:pPr>
              <w:pStyle w:val="38"/>
              <w:jc w:val="center"/>
              <w:rPr>
                <w:color w:val="000000"/>
              </w:rPr>
            </w:pPr>
          </w:p>
        </w:tc>
      </w:tr>
      <w:tr w14:paraId="7CD04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83" w:type="dxa"/>
            <w:tcBorders>
              <w:top w:val="single" w:color="auto" w:sz="8" w:space="0"/>
              <w:left w:val="single" w:color="auto" w:sz="8" w:space="0"/>
              <w:bottom w:val="single" w:color="auto" w:sz="8" w:space="0"/>
              <w:right w:val="single" w:color="auto" w:sz="8" w:space="0"/>
            </w:tcBorders>
            <w:noWrap/>
            <w:vAlign w:val="center"/>
          </w:tcPr>
          <w:p w14:paraId="700C6042">
            <w:pPr>
              <w:pStyle w:val="38"/>
              <w:jc w:val="center"/>
              <w:rPr>
                <w:color w:val="000000"/>
              </w:rPr>
            </w:pPr>
            <w:r>
              <w:rPr>
                <w:rFonts w:hint="eastAsia"/>
                <w:color w:val="000000"/>
              </w:rPr>
              <w:t>34</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7C8CCD46">
            <w:pPr>
              <w:pStyle w:val="38"/>
              <w:jc w:val="left"/>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50647053">
            <w:pPr>
              <w:widowControl/>
              <w:jc w:val="left"/>
              <w:textAlignment w:val="center"/>
              <w:rPr>
                <w:color w:val="000000"/>
                <w:kern w:val="0"/>
                <w:szCs w:val="21"/>
              </w:rPr>
            </w:pPr>
            <w:r>
              <w:rPr>
                <w:color w:val="000000"/>
                <w:kern w:val="0"/>
                <w:szCs w:val="21"/>
              </w:rPr>
              <w:t>屋面保温、防水做法及其隐蔽验收记录，</w:t>
            </w:r>
          </w:p>
          <w:p w14:paraId="104BC76C">
            <w:pPr>
              <w:widowControl/>
              <w:jc w:val="left"/>
              <w:textAlignment w:val="center"/>
              <w:rPr>
                <w:color w:val="000000"/>
                <w:kern w:val="0"/>
                <w:szCs w:val="21"/>
              </w:rPr>
            </w:pPr>
            <w:r>
              <w:rPr>
                <w:color w:val="000000"/>
                <w:kern w:val="0"/>
                <w:szCs w:val="21"/>
              </w:rPr>
              <w:t>幕墙、外墙节能做法及其隐蔽验收记录，</w:t>
            </w:r>
          </w:p>
          <w:p w14:paraId="5075FBB9">
            <w:pPr>
              <w:pStyle w:val="38"/>
              <w:jc w:val="left"/>
              <w:rPr>
                <w:color w:val="000000"/>
                <w:kern w:val="0"/>
              </w:rPr>
            </w:pPr>
            <w:r>
              <w:rPr>
                <w:color w:val="000000"/>
                <w:kern w:val="0"/>
              </w:rPr>
              <w:t>屋面、厕浴间防水工程试水检查，外窗淋水，幕墙淋水，幕墙注胶，通风（烟）道检查</w:t>
            </w:r>
            <w:r>
              <w:rPr>
                <w:rFonts w:hint="eastAsia"/>
                <w:color w:val="000000"/>
                <w:kern w:val="0"/>
              </w:rPr>
              <w:t>记录，</w:t>
            </w:r>
            <w:r>
              <w:rPr>
                <w:rFonts w:hint="eastAsia"/>
                <w:color w:val="000000"/>
              </w:rPr>
              <w:t>地下工程渗漏水检测记录。</w:t>
            </w:r>
          </w:p>
        </w:tc>
        <w:tc>
          <w:tcPr>
            <w:tcW w:w="2519" w:type="dxa"/>
            <w:tcBorders>
              <w:top w:val="single" w:color="auto" w:sz="8" w:space="0"/>
              <w:left w:val="single" w:color="auto" w:sz="8" w:space="0"/>
              <w:bottom w:val="single" w:color="auto" w:sz="8" w:space="0"/>
              <w:right w:val="single" w:color="auto" w:sz="8" w:space="0"/>
            </w:tcBorders>
            <w:vAlign w:val="center"/>
          </w:tcPr>
          <w:p w14:paraId="0D4847C3">
            <w:pPr>
              <w:pStyle w:val="38"/>
              <w:jc w:val="left"/>
              <w:rPr>
                <w:color w:val="000000"/>
                <w:kern w:val="0"/>
              </w:rPr>
            </w:pPr>
          </w:p>
        </w:tc>
        <w:tc>
          <w:tcPr>
            <w:tcW w:w="798" w:type="dxa"/>
            <w:vMerge w:val="continue"/>
            <w:tcBorders>
              <w:top w:val="single" w:color="auto" w:sz="8" w:space="0"/>
              <w:left w:val="single" w:color="auto" w:sz="8" w:space="0"/>
              <w:bottom w:val="single" w:color="auto" w:sz="8" w:space="0"/>
              <w:right w:val="single" w:color="auto" w:sz="8" w:space="0"/>
            </w:tcBorders>
            <w:vAlign w:val="center"/>
          </w:tcPr>
          <w:p w14:paraId="2C606D2B">
            <w:pPr>
              <w:pStyle w:val="38"/>
              <w:jc w:val="left"/>
              <w:rPr>
                <w:color w:val="000000"/>
                <w:kern w:val="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00DD843">
            <w:pPr>
              <w:pStyle w:val="38"/>
              <w:jc w:val="left"/>
              <w:rPr>
                <w:color w:val="000000"/>
                <w:kern w:val="0"/>
              </w:rPr>
            </w:pPr>
          </w:p>
        </w:tc>
      </w:tr>
    </w:tbl>
    <w:p w14:paraId="226CF0FC">
      <w:pPr>
        <w:widowControl/>
        <w:suppressAutoHyphens w:val="0"/>
        <w:jc w:val="center"/>
        <w:rPr>
          <w:rFonts w:eastAsia="黑体"/>
          <w:color w:val="000000"/>
          <w:sz w:val="24"/>
          <w:szCs w:val="24"/>
        </w:rPr>
      </w:pPr>
      <w:r>
        <w:rPr>
          <w:color w:val="000000"/>
        </w:rPr>
        <w:br w:type="page"/>
      </w:r>
      <w:r>
        <w:rPr>
          <w:rFonts w:hint="eastAsia" w:eastAsia="黑体"/>
          <w:color w:val="000000"/>
          <w:sz w:val="24"/>
          <w:szCs w:val="24"/>
        </w:rPr>
        <w:t>续表H.0.1</w:t>
      </w:r>
    </w:p>
    <w:p w14:paraId="3AB6E6E0">
      <w:pPr>
        <w:widowControl/>
        <w:spacing w:before="156" w:beforeLines="50" w:after="156" w:afterLines="50"/>
        <w:jc w:val="left"/>
        <w:textAlignment w:val="center"/>
        <w:rPr>
          <w:color w:val="000000"/>
          <w:kern w:val="0"/>
          <w:sz w:val="24"/>
          <w:szCs w:val="24"/>
        </w:rPr>
      </w:pPr>
      <w:r>
        <w:rPr>
          <w:color w:val="000000"/>
          <w:kern w:val="0"/>
          <w:sz w:val="24"/>
          <w:szCs w:val="24"/>
        </w:rPr>
        <w:t>工程名称：                             施工单位：</w:t>
      </w:r>
    </w:p>
    <w:tbl>
      <w:tblPr>
        <w:tblStyle w:val="25"/>
        <w:tblW w:w="9430"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9"/>
        <w:gridCol w:w="406"/>
        <w:gridCol w:w="4368"/>
        <w:gridCol w:w="2547"/>
        <w:gridCol w:w="770"/>
        <w:gridCol w:w="770"/>
      </w:tblGrid>
      <w:tr w14:paraId="79787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7CAF9FA2">
            <w:pPr>
              <w:pStyle w:val="38"/>
              <w:jc w:val="center"/>
              <w:rPr>
                <w:color w:val="000000"/>
              </w:rPr>
            </w:pPr>
            <w:r>
              <w:rPr>
                <w:rFonts w:hint="eastAsia"/>
                <w:color w:val="000000"/>
              </w:rPr>
              <w:t>序号</w:t>
            </w:r>
          </w:p>
        </w:tc>
        <w:tc>
          <w:tcPr>
            <w:tcW w:w="4774" w:type="dxa"/>
            <w:gridSpan w:val="2"/>
            <w:tcBorders>
              <w:top w:val="single" w:color="auto" w:sz="8" w:space="0"/>
              <w:left w:val="single" w:color="auto" w:sz="8" w:space="0"/>
              <w:bottom w:val="single" w:color="auto" w:sz="8" w:space="0"/>
              <w:right w:val="single" w:color="auto" w:sz="8" w:space="0"/>
            </w:tcBorders>
            <w:vAlign w:val="center"/>
          </w:tcPr>
          <w:p w14:paraId="5C8526EE">
            <w:pPr>
              <w:pStyle w:val="38"/>
              <w:jc w:val="center"/>
              <w:rPr>
                <w:color w:val="000000"/>
              </w:rPr>
            </w:pPr>
            <w:r>
              <w:rPr>
                <w:color w:val="000000"/>
              </w:rPr>
              <w:t>检查项目</w:t>
            </w:r>
          </w:p>
        </w:tc>
        <w:tc>
          <w:tcPr>
            <w:tcW w:w="2547" w:type="dxa"/>
            <w:tcBorders>
              <w:top w:val="single" w:color="auto" w:sz="8" w:space="0"/>
              <w:left w:val="single" w:color="auto" w:sz="8" w:space="0"/>
              <w:bottom w:val="single" w:color="auto" w:sz="8" w:space="0"/>
              <w:right w:val="single" w:color="auto" w:sz="8" w:space="0"/>
            </w:tcBorders>
            <w:noWrap/>
            <w:vAlign w:val="center"/>
          </w:tcPr>
          <w:p w14:paraId="4F62C8D7">
            <w:pPr>
              <w:pStyle w:val="38"/>
              <w:jc w:val="center"/>
              <w:rPr>
                <w:color w:val="000000"/>
              </w:rPr>
            </w:pPr>
            <w:r>
              <w:rPr>
                <w:color w:val="000000"/>
              </w:rPr>
              <w:t>检查情况</w:t>
            </w:r>
          </w:p>
        </w:tc>
        <w:tc>
          <w:tcPr>
            <w:tcW w:w="770" w:type="dxa"/>
            <w:tcBorders>
              <w:top w:val="single" w:color="auto" w:sz="8" w:space="0"/>
              <w:left w:val="single" w:color="auto" w:sz="8" w:space="0"/>
              <w:bottom w:val="single" w:color="auto" w:sz="8" w:space="0"/>
              <w:right w:val="single" w:color="auto" w:sz="8" w:space="0"/>
            </w:tcBorders>
            <w:noWrap/>
            <w:vAlign w:val="center"/>
          </w:tcPr>
          <w:p w14:paraId="76E0F31B">
            <w:pPr>
              <w:pStyle w:val="38"/>
              <w:jc w:val="center"/>
              <w:rPr>
                <w:color w:val="000000"/>
              </w:rPr>
            </w:pPr>
            <w:r>
              <w:rPr>
                <w:color w:val="000000"/>
              </w:rPr>
              <w:t>应得分</w:t>
            </w:r>
          </w:p>
        </w:tc>
        <w:tc>
          <w:tcPr>
            <w:tcW w:w="770" w:type="dxa"/>
            <w:tcBorders>
              <w:top w:val="single" w:color="auto" w:sz="8" w:space="0"/>
              <w:left w:val="single" w:color="auto" w:sz="8" w:space="0"/>
              <w:bottom w:val="single" w:color="auto" w:sz="8" w:space="0"/>
              <w:right w:val="single" w:color="auto" w:sz="8" w:space="0"/>
            </w:tcBorders>
            <w:noWrap/>
            <w:vAlign w:val="center"/>
          </w:tcPr>
          <w:p w14:paraId="16EE88DB">
            <w:pPr>
              <w:pStyle w:val="38"/>
              <w:jc w:val="center"/>
              <w:rPr>
                <w:color w:val="000000"/>
              </w:rPr>
            </w:pPr>
            <w:r>
              <w:rPr>
                <w:color w:val="000000"/>
              </w:rPr>
              <w:t>实得分</w:t>
            </w:r>
          </w:p>
        </w:tc>
      </w:tr>
      <w:tr w14:paraId="4C038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77980D9E">
            <w:pPr>
              <w:pStyle w:val="38"/>
              <w:snapToGrid w:val="0"/>
              <w:jc w:val="center"/>
              <w:rPr>
                <w:color w:val="000000"/>
              </w:rPr>
            </w:pPr>
            <w:r>
              <w:rPr>
                <w:rFonts w:hint="eastAsia"/>
                <w:color w:val="000000"/>
              </w:rPr>
              <w:t>35</w:t>
            </w:r>
          </w:p>
        </w:tc>
        <w:tc>
          <w:tcPr>
            <w:tcW w:w="406" w:type="dxa"/>
            <w:vMerge w:val="restart"/>
            <w:tcBorders>
              <w:top w:val="single" w:color="auto" w:sz="8" w:space="0"/>
              <w:left w:val="single" w:color="auto" w:sz="8" w:space="0"/>
              <w:bottom w:val="single" w:color="auto" w:sz="8" w:space="0"/>
              <w:right w:val="single" w:color="auto" w:sz="8" w:space="0"/>
            </w:tcBorders>
            <w:vAlign w:val="center"/>
          </w:tcPr>
          <w:p w14:paraId="3FC67853">
            <w:pPr>
              <w:pStyle w:val="38"/>
              <w:snapToGrid w:val="0"/>
              <w:jc w:val="center"/>
              <w:rPr>
                <w:color w:val="000000"/>
              </w:rPr>
            </w:pPr>
            <w:r>
              <w:rPr>
                <w:rFonts w:hint="eastAsia"/>
                <w:color w:val="000000"/>
              </w:rPr>
              <w:t>施工试验与检测</w:t>
            </w:r>
          </w:p>
        </w:tc>
        <w:tc>
          <w:tcPr>
            <w:tcW w:w="4368" w:type="dxa"/>
            <w:tcBorders>
              <w:top w:val="single" w:color="auto" w:sz="8" w:space="0"/>
              <w:left w:val="single" w:color="auto" w:sz="8" w:space="0"/>
              <w:bottom w:val="single" w:color="auto" w:sz="8" w:space="0"/>
              <w:right w:val="single" w:color="auto" w:sz="8" w:space="0"/>
            </w:tcBorders>
            <w:vAlign w:val="center"/>
          </w:tcPr>
          <w:p w14:paraId="0BF6FD3B">
            <w:pPr>
              <w:pStyle w:val="38"/>
              <w:snapToGrid w:val="0"/>
              <w:jc w:val="left"/>
              <w:rPr>
                <w:color w:val="000000"/>
              </w:rPr>
            </w:pPr>
            <w:r>
              <w:rPr>
                <w:color w:val="000000"/>
              </w:rPr>
              <w:t>钢筋焊接</w:t>
            </w:r>
            <w:r>
              <w:rPr>
                <w:rFonts w:hint="eastAsia"/>
                <w:color w:val="000000"/>
              </w:rPr>
              <w:t>/</w:t>
            </w:r>
            <w:r>
              <w:rPr>
                <w:color w:val="000000"/>
              </w:rPr>
              <w:t>机械连接试验报告</w:t>
            </w:r>
            <w:r>
              <w:rPr>
                <w:rFonts w:hint="eastAsia"/>
                <w:color w:val="000000"/>
              </w:rPr>
              <w:t>。</w:t>
            </w:r>
          </w:p>
        </w:tc>
        <w:tc>
          <w:tcPr>
            <w:tcW w:w="2547" w:type="dxa"/>
            <w:tcBorders>
              <w:top w:val="single" w:color="auto" w:sz="8" w:space="0"/>
              <w:left w:val="single" w:color="auto" w:sz="8" w:space="0"/>
              <w:bottom w:val="single" w:color="auto" w:sz="8" w:space="0"/>
              <w:right w:val="single" w:color="auto" w:sz="8" w:space="0"/>
            </w:tcBorders>
            <w:vAlign w:val="center"/>
          </w:tcPr>
          <w:p w14:paraId="05085D78">
            <w:pPr>
              <w:pStyle w:val="38"/>
              <w:snapToGrid w:val="0"/>
              <w:jc w:val="center"/>
              <w:rPr>
                <w:color w:val="000000"/>
              </w:rPr>
            </w:pPr>
          </w:p>
        </w:tc>
        <w:tc>
          <w:tcPr>
            <w:tcW w:w="770" w:type="dxa"/>
            <w:vMerge w:val="restart"/>
            <w:tcBorders>
              <w:top w:val="single" w:color="auto" w:sz="8" w:space="0"/>
              <w:left w:val="single" w:color="auto" w:sz="8" w:space="0"/>
              <w:bottom w:val="single" w:color="auto" w:sz="8" w:space="0"/>
              <w:right w:val="single" w:color="auto" w:sz="8" w:space="0"/>
            </w:tcBorders>
            <w:vAlign w:val="center"/>
          </w:tcPr>
          <w:p w14:paraId="30E16115">
            <w:pPr>
              <w:pStyle w:val="38"/>
              <w:snapToGrid w:val="0"/>
              <w:jc w:val="center"/>
              <w:rPr>
                <w:color w:val="000000"/>
              </w:rPr>
            </w:pPr>
            <w:r>
              <w:rPr>
                <w:rFonts w:hint="eastAsia"/>
                <w:color w:val="000000"/>
              </w:rPr>
              <w:t>10</w:t>
            </w:r>
          </w:p>
        </w:tc>
        <w:tc>
          <w:tcPr>
            <w:tcW w:w="770" w:type="dxa"/>
            <w:vMerge w:val="restart"/>
            <w:tcBorders>
              <w:top w:val="single" w:color="auto" w:sz="8" w:space="0"/>
              <w:left w:val="single" w:color="auto" w:sz="8" w:space="0"/>
              <w:bottom w:val="single" w:color="auto" w:sz="8" w:space="0"/>
              <w:right w:val="single" w:color="auto" w:sz="8" w:space="0"/>
            </w:tcBorders>
            <w:vAlign w:val="center"/>
          </w:tcPr>
          <w:p w14:paraId="68A5EE02">
            <w:pPr>
              <w:pStyle w:val="38"/>
              <w:snapToGrid w:val="0"/>
              <w:jc w:val="center"/>
              <w:rPr>
                <w:color w:val="000000"/>
              </w:rPr>
            </w:pPr>
          </w:p>
        </w:tc>
      </w:tr>
      <w:tr w14:paraId="538B1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258193C5">
            <w:pPr>
              <w:pStyle w:val="38"/>
              <w:snapToGrid w:val="0"/>
              <w:jc w:val="center"/>
              <w:rPr>
                <w:color w:val="000000"/>
              </w:rPr>
            </w:pPr>
            <w:r>
              <w:rPr>
                <w:rFonts w:hint="eastAsia"/>
                <w:color w:val="000000"/>
              </w:rPr>
              <w:t>36</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6DBF77D9">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3864875F">
            <w:pPr>
              <w:pStyle w:val="38"/>
              <w:snapToGrid w:val="0"/>
              <w:jc w:val="left"/>
              <w:rPr>
                <w:color w:val="000000"/>
              </w:rPr>
            </w:pPr>
            <w:r>
              <w:rPr>
                <w:color w:val="000000"/>
              </w:rPr>
              <w:t>钢筋机械连接型式检验报告</w:t>
            </w:r>
            <w:r>
              <w:rPr>
                <w:rFonts w:hint="eastAsia"/>
                <w:color w:val="000000"/>
              </w:rPr>
              <w:t>。</w:t>
            </w:r>
          </w:p>
        </w:tc>
        <w:tc>
          <w:tcPr>
            <w:tcW w:w="2547" w:type="dxa"/>
            <w:tcBorders>
              <w:top w:val="single" w:color="auto" w:sz="8" w:space="0"/>
              <w:left w:val="single" w:color="auto" w:sz="8" w:space="0"/>
              <w:bottom w:val="single" w:color="auto" w:sz="8" w:space="0"/>
              <w:right w:val="single" w:color="auto" w:sz="8" w:space="0"/>
            </w:tcBorders>
            <w:vAlign w:val="center"/>
          </w:tcPr>
          <w:p w14:paraId="0C6BE062">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10B72E17">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0CF3C13A">
            <w:pPr>
              <w:pStyle w:val="38"/>
              <w:snapToGrid w:val="0"/>
              <w:jc w:val="center"/>
              <w:rPr>
                <w:color w:val="000000"/>
              </w:rPr>
            </w:pPr>
          </w:p>
        </w:tc>
      </w:tr>
      <w:tr w14:paraId="39F6C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256383BD">
            <w:pPr>
              <w:pStyle w:val="38"/>
              <w:snapToGrid w:val="0"/>
              <w:jc w:val="center"/>
              <w:rPr>
                <w:color w:val="000000"/>
              </w:rPr>
            </w:pPr>
            <w:r>
              <w:rPr>
                <w:rFonts w:hint="eastAsia"/>
                <w:color w:val="000000"/>
              </w:rPr>
              <w:t>37</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5D371A0D">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79800CF4">
            <w:pPr>
              <w:pStyle w:val="38"/>
              <w:snapToGrid w:val="0"/>
              <w:jc w:val="left"/>
              <w:rPr>
                <w:color w:val="000000"/>
              </w:rPr>
            </w:pPr>
            <w:r>
              <w:rPr>
                <w:color w:val="000000"/>
              </w:rPr>
              <w:t>混凝土</w:t>
            </w:r>
            <w:r>
              <w:rPr>
                <w:rFonts w:hint="eastAsia"/>
                <w:color w:val="000000"/>
              </w:rPr>
              <w:t>/砂浆抗压强度试验报告。</w:t>
            </w:r>
          </w:p>
        </w:tc>
        <w:tc>
          <w:tcPr>
            <w:tcW w:w="2547" w:type="dxa"/>
            <w:tcBorders>
              <w:top w:val="single" w:color="auto" w:sz="8" w:space="0"/>
              <w:left w:val="single" w:color="auto" w:sz="8" w:space="0"/>
              <w:bottom w:val="single" w:color="auto" w:sz="8" w:space="0"/>
              <w:right w:val="single" w:color="auto" w:sz="8" w:space="0"/>
            </w:tcBorders>
            <w:vAlign w:val="center"/>
          </w:tcPr>
          <w:p w14:paraId="5F43C5CF">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15AE99A8">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48779533">
            <w:pPr>
              <w:pStyle w:val="38"/>
              <w:snapToGrid w:val="0"/>
              <w:jc w:val="center"/>
              <w:rPr>
                <w:color w:val="000000"/>
              </w:rPr>
            </w:pPr>
          </w:p>
        </w:tc>
      </w:tr>
      <w:tr w14:paraId="32DED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0BBD2A41">
            <w:pPr>
              <w:pStyle w:val="38"/>
              <w:snapToGrid w:val="0"/>
              <w:jc w:val="center"/>
              <w:rPr>
                <w:color w:val="000000"/>
              </w:rPr>
            </w:pPr>
            <w:r>
              <w:rPr>
                <w:rFonts w:hint="eastAsia"/>
                <w:color w:val="000000"/>
              </w:rPr>
              <w:t>38</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07F74250">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5CA4469A">
            <w:pPr>
              <w:pStyle w:val="38"/>
              <w:snapToGrid w:val="0"/>
              <w:jc w:val="left"/>
              <w:rPr>
                <w:color w:val="000000"/>
              </w:rPr>
            </w:pPr>
            <w:r>
              <w:rPr>
                <w:color w:val="000000"/>
              </w:rPr>
              <w:t>混凝土强度检验评定记录</w:t>
            </w:r>
            <w:r>
              <w:rPr>
                <w:rFonts w:hint="eastAsia"/>
                <w:color w:val="000000"/>
              </w:rPr>
              <w:t>。</w:t>
            </w:r>
          </w:p>
        </w:tc>
        <w:tc>
          <w:tcPr>
            <w:tcW w:w="2547" w:type="dxa"/>
            <w:tcBorders>
              <w:top w:val="single" w:color="auto" w:sz="8" w:space="0"/>
              <w:left w:val="single" w:color="auto" w:sz="8" w:space="0"/>
              <w:bottom w:val="single" w:color="auto" w:sz="8" w:space="0"/>
              <w:right w:val="single" w:color="auto" w:sz="8" w:space="0"/>
            </w:tcBorders>
            <w:vAlign w:val="center"/>
          </w:tcPr>
          <w:p w14:paraId="4DAD3A33">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5300CE6E">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42FB2FBB">
            <w:pPr>
              <w:pStyle w:val="38"/>
              <w:snapToGrid w:val="0"/>
              <w:jc w:val="center"/>
              <w:rPr>
                <w:color w:val="000000"/>
              </w:rPr>
            </w:pPr>
          </w:p>
        </w:tc>
      </w:tr>
      <w:tr w14:paraId="0D86E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6144BB77">
            <w:pPr>
              <w:pStyle w:val="38"/>
              <w:snapToGrid w:val="0"/>
              <w:jc w:val="center"/>
              <w:rPr>
                <w:color w:val="000000"/>
              </w:rPr>
            </w:pPr>
            <w:r>
              <w:rPr>
                <w:rFonts w:hint="eastAsia"/>
                <w:color w:val="000000"/>
              </w:rPr>
              <w:t>39</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3626C6A7">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5CD25E92">
            <w:pPr>
              <w:pStyle w:val="38"/>
              <w:snapToGrid w:val="0"/>
              <w:jc w:val="left"/>
              <w:rPr>
                <w:color w:val="000000"/>
              </w:rPr>
            </w:pPr>
            <w:r>
              <w:rPr>
                <w:color w:val="000000"/>
              </w:rPr>
              <w:t>混凝土抗渗试块试验记录</w:t>
            </w:r>
            <w:r>
              <w:rPr>
                <w:rFonts w:hint="eastAsia"/>
                <w:color w:val="000000"/>
              </w:rPr>
              <w:t>。</w:t>
            </w:r>
          </w:p>
        </w:tc>
        <w:tc>
          <w:tcPr>
            <w:tcW w:w="2547" w:type="dxa"/>
            <w:tcBorders>
              <w:top w:val="single" w:color="auto" w:sz="8" w:space="0"/>
              <w:left w:val="single" w:color="auto" w:sz="8" w:space="0"/>
              <w:bottom w:val="single" w:color="auto" w:sz="8" w:space="0"/>
              <w:right w:val="single" w:color="auto" w:sz="8" w:space="0"/>
            </w:tcBorders>
            <w:vAlign w:val="center"/>
          </w:tcPr>
          <w:p w14:paraId="21C4778F">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AC82AC2">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ECD28D0">
            <w:pPr>
              <w:pStyle w:val="38"/>
              <w:snapToGrid w:val="0"/>
              <w:jc w:val="center"/>
              <w:rPr>
                <w:color w:val="000000"/>
              </w:rPr>
            </w:pPr>
          </w:p>
        </w:tc>
      </w:tr>
      <w:tr w14:paraId="3687A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50D2D0EC">
            <w:pPr>
              <w:pStyle w:val="38"/>
              <w:snapToGrid w:val="0"/>
              <w:jc w:val="center"/>
              <w:rPr>
                <w:color w:val="000000"/>
              </w:rPr>
            </w:pPr>
            <w:r>
              <w:rPr>
                <w:rFonts w:hint="eastAsia"/>
                <w:color w:val="000000"/>
              </w:rPr>
              <w:t>40</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67F336B5">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5E3148E3">
            <w:pPr>
              <w:pStyle w:val="38"/>
              <w:snapToGrid w:val="0"/>
              <w:jc w:val="left"/>
              <w:rPr>
                <w:color w:val="000000"/>
              </w:rPr>
            </w:pPr>
            <w:r>
              <w:rPr>
                <w:color w:val="000000"/>
              </w:rPr>
              <w:t>钢结构焊接工艺评定报告</w:t>
            </w:r>
            <w:r>
              <w:rPr>
                <w:rFonts w:hint="eastAsia"/>
                <w:color w:val="000000"/>
              </w:rPr>
              <w:t>。</w:t>
            </w:r>
          </w:p>
        </w:tc>
        <w:tc>
          <w:tcPr>
            <w:tcW w:w="2547" w:type="dxa"/>
            <w:tcBorders>
              <w:top w:val="single" w:color="auto" w:sz="8" w:space="0"/>
              <w:left w:val="single" w:color="auto" w:sz="8" w:space="0"/>
              <w:bottom w:val="single" w:color="auto" w:sz="8" w:space="0"/>
              <w:right w:val="single" w:color="auto" w:sz="8" w:space="0"/>
            </w:tcBorders>
            <w:vAlign w:val="center"/>
          </w:tcPr>
          <w:p w14:paraId="236BEE4C">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7BA5086">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5C89109">
            <w:pPr>
              <w:pStyle w:val="38"/>
              <w:snapToGrid w:val="0"/>
              <w:jc w:val="center"/>
              <w:rPr>
                <w:color w:val="000000"/>
              </w:rPr>
            </w:pPr>
          </w:p>
        </w:tc>
      </w:tr>
      <w:tr w14:paraId="03674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0EFD5839">
            <w:pPr>
              <w:pStyle w:val="38"/>
              <w:snapToGrid w:val="0"/>
              <w:jc w:val="center"/>
              <w:rPr>
                <w:color w:val="000000"/>
              </w:rPr>
            </w:pPr>
            <w:r>
              <w:rPr>
                <w:rFonts w:hint="eastAsia"/>
                <w:color w:val="000000"/>
              </w:rPr>
              <w:t>41</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32123119">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4EEF0A45">
            <w:pPr>
              <w:pStyle w:val="38"/>
              <w:snapToGrid w:val="0"/>
              <w:jc w:val="left"/>
              <w:rPr>
                <w:color w:val="000000"/>
              </w:rPr>
            </w:pPr>
            <w:r>
              <w:rPr>
                <w:color w:val="000000"/>
              </w:rPr>
              <w:t>超声波</w:t>
            </w:r>
            <w:r>
              <w:rPr>
                <w:rFonts w:hint="eastAsia"/>
                <w:color w:val="000000"/>
              </w:rPr>
              <w:t>（磁粉）探伤报告。</w:t>
            </w:r>
          </w:p>
        </w:tc>
        <w:tc>
          <w:tcPr>
            <w:tcW w:w="2547" w:type="dxa"/>
            <w:tcBorders>
              <w:top w:val="single" w:color="auto" w:sz="8" w:space="0"/>
              <w:left w:val="single" w:color="auto" w:sz="8" w:space="0"/>
              <w:bottom w:val="single" w:color="auto" w:sz="8" w:space="0"/>
              <w:right w:val="single" w:color="auto" w:sz="8" w:space="0"/>
            </w:tcBorders>
            <w:vAlign w:val="center"/>
          </w:tcPr>
          <w:p w14:paraId="0A431295">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0C5B9AFC">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67491DD9">
            <w:pPr>
              <w:pStyle w:val="38"/>
              <w:snapToGrid w:val="0"/>
              <w:jc w:val="center"/>
              <w:rPr>
                <w:color w:val="000000"/>
              </w:rPr>
            </w:pPr>
          </w:p>
        </w:tc>
      </w:tr>
      <w:tr w14:paraId="7B3FA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7D38FD3D">
            <w:pPr>
              <w:pStyle w:val="38"/>
              <w:snapToGrid w:val="0"/>
              <w:jc w:val="center"/>
              <w:rPr>
                <w:color w:val="000000"/>
              </w:rPr>
            </w:pPr>
            <w:r>
              <w:rPr>
                <w:rFonts w:hint="eastAsia"/>
                <w:color w:val="000000"/>
              </w:rPr>
              <w:t>42</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3742EF5B">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74EF2493">
            <w:pPr>
              <w:pStyle w:val="38"/>
              <w:snapToGrid w:val="0"/>
              <w:jc w:val="left"/>
              <w:rPr>
                <w:color w:val="000000"/>
              </w:rPr>
            </w:pPr>
            <w:r>
              <w:rPr>
                <w:color w:val="000000"/>
              </w:rPr>
              <w:t>摩擦面抗滑移系数检测报告</w:t>
            </w:r>
            <w:r>
              <w:rPr>
                <w:rFonts w:hint="eastAsia"/>
                <w:color w:val="000000"/>
              </w:rPr>
              <w:t>。</w:t>
            </w:r>
          </w:p>
        </w:tc>
        <w:tc>
          <w:tcPr>
            <w:tcW w:w="2547" w:type="dxa"/>
            <w:tcBorders>
              <w:top w:val="single" w:color="auto" w:sz="8" w:space="0"/>
              <w:left w:val="single" w:color="auto" w:sz="8" w:space="0"/>
              <w:bottom w:val="single" w:color="auto" w:sz="8" w:space="0"/>
              <w:right w:val="single" w:color="auto" w:sz="8" w:space="0"/>
            </w:tcBorders>
            <w:vAlign w:val="center"/>
          </w:tcPr>
          <w:p w14:paraId="4C4BBE53">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A5C5720">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822AB9A">
            <w:pPr>
              <w:pStyle w:val="38"/>
              <w:snapToGrid w:val="0"/>
              <w:jc w:val="center"/>
              <w:rPr>
                <w:color w:val="000000"/>
              </w:rPr>
            </w:pPr>
          </w:p>
        </w:tc>
      </w:tr>
      <w:tr w14:paraId="6866D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0D2EF862">
            <w:pPr>
              <w:pStyle w:val="38"/>
              <w:snapToGrid w:val="0"/>
              <w:jc w:val="center"/>
              <w:rPr>
                <w:color w:val="000000"/>
              </w:rPr>
            </w:pPr>
            <w:r>
              <w:rPr>
                <w:rFonts w:hint="eastAsia"/>
                <w:color w:val="000000"/>
              </w:rPr>
              <w:t>43</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7C43969D">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627BA7FD">
            <w:pPr>
              <w:pStyle w:val="38"/>
              <w:snapToGrid w:val="0"/>
              <w:jc w:val="left"/>
              <w:rPr>
                <w:color w:val="000000"/>
              </w:rPr>
            </w:pPr>
            <w:r>
              <w:rPr>
                <w:color w:val="000000"/>
              </w:rPr>
              <w:t>防火涂料厚度检测报告</w:t>
            </w:r>
            <w:r>
              <w:rPr>
                <w:rFonts w:hint="eastAsia"/>
                <w:color w:val="000000"/>
              </w:rPr>
              <w:t>。</w:t>
            </w:r>
          </w:p>
        </w:tc>
        <w:tc>
          <w:tcPr>
            <w:tcW w:w="2547" w:type="dxa"/>
            <w:tcBorders>
              <w:top w:val="single" w:color="auto" w:sz="8" w:space="0"/>
              <w:left w:val="single" w:color="auto" w:sz="8" w:space="0"/>
              <w:bottom w:val="single" w:color="auto" w:sz="8" w:space="0"/>
              <w:right w:val="single" w:color="auto" w:sz="8" w:space="0"/>
            </w:tcBorders>
            <w:vAlign w:val="center"/>
          </w:tcPr>
          <w:p w14:paraId="76D804E6">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9238FCE">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5678CCED">
            <w:pPr>
              <w:pStyle w:val="38"/>
              <w:snapToGrid w:val="0"/>
              <w:jc w:val="center"/>
              <w:rPr>
                <w:color w:val="000000"/>
              </w:rPr>
            </w:pPr>
          </w:p>
        </w:tc>
      </w:tr>
      <w:tr w14:paraId="38841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7B36557F">
            <w:pPr>
              <w:pStyle w:val="38"/>
              <w:snapToGrid w:val="0"/>
              <w:jc w:val="center"/>
              <w:rPr>
                <w:color w:val="000000"/>
              </w:rPr>
            </w:pPr>
            <w:r>
              <w:rPr>
                <w:rFonts w:hint="eastAsia"/>
                <w:color w:val="000000"/>
              </w:rPr>
              <w:t>44</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200F0FBE">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4677BCFE">
            <w:pPr>
              <w:pStyle w:val="38"/>
              <w:snapToGrid w:val="0"/>
              <w:jc w:val="left"/>
              <w:rPr>
                <w:color w:val="000000"/>
              </w:rPr>
            </w:pPr>
            <w:r>
              <w:rPr>
                <w:color w:val="000000"/>
              </w:rPr>
              <w:t>防腐涂料干漆膜厚度检测记录</w:t>
            </w:r>
            <w:r>
              <w:rPr>
                <w:rFonts w:hint="eastAsia"/>
                <w:color w:val="000000"/>
              </w:rPr>
              <w:t>。</w:t>
            </w:r>
          </w:p>
        </w:tc>
        <w:tc>
          <w:tcPr>
            <w:tcW w:w="2547" w:type="dxa"/>
            <w:tcBorders>
              <w:top w:val="single" w:color="auto" w:sz="8" w:space="0"/>
              <w:left w:val="single" w:color="auto" w:sz="8" w:space="0"/>
              <w:bottom w:val="single" w:color="auto" w:sz="8" w:space="0"/>
              <w:right w:val="single" w:color="auto" w:sz="8" w:space="0"/>
            </w:tcBorders>
            <w:vAlign w:val="center"/>
          </w:tcPr>
          <w:p w14:paraId="3547A986">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4D3242C8">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63D0775C">
            <w:pPr>
              <w:pStyle w:val="38"/>
              <w:snapToGrid w:val="0"/>
              <w:jc w:val="center"/>
              <w:rPr>
                <w:color w:val="000000"/>
              </w:rPr>
            </w:pPr>
          </w:p>
        </w:tc>
      </w:tr>
      <w:tr w14:paraId="15C65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098DB477">
            <w:pPr>
              <w:pStyle w:val="38"/>
              <w:snapToGrid w:val="0"/>
              <w:jc w:val="center"/>
              <w:rPr>
                <w:color w:val="000000"/>
              </w:rPr>
            </w:pPr>
            <w:r>
              <w:rPr>
                <w:rFonts w:hint="eastAsia"/>
                <w:color w:val="000000"/>
              </w:rPr>
              <w:t>45</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4AF1CC07">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49E4A4DA">
            <w:pPr>
              <w:pStyle w:val="38"/>
              <w:snapToGrid w:val="0"/>
              <w:jc w:val="left"/>
              <w:rPr>
                <w:color w:val="000000"/>
              </w:rPr>
            </w:pPr>
            <w:r>
              <w:rPr>
                <w:color w:val="000000"/>
              </w:rPr>
              <w:t>防火涂料与防腐涂料相容性试验报告</w:t>
            </w:r>
            <w:r>
              <w:rPr>
                <w:rFonts w:hint="eastAsia"/>
                <w:color w:val="000000"/>
              </w:rPr>
              <w:t>。</w:t>
            </w:r>
          </w:p>
        </w:tc>
        <w:tc>
          <w:tcPr>
            <w:tcW w:w="2547" w:type="dxa"/>
            <w:tcBorders>
              <w:top w:val="single" w:color="auto" w:sz="8" w:space="0"/>
              <w:left w:val="single" w:color="auto" w:sz="8" w:space="0"/>
              <w:bottom w:val="single" w:color="auto" w:sz="8" w:space="0"/>
              <w:right w:val="single" w:color="auto" w:sz="8" w:space="0"/>
            </w:tcBorders>
            <w:vAlign w:val="center"/>
          </w:tcPr>
          <w:p w14:paraId="1EDE124F">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8702243">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6081B4C">
            <w:pPr>
              <w:pStyle w:val="38"/>
              <w:snapToGrid w:val="0"/>
              <w:jc w:val="center"/>
              <w:rPr>
                <w:color w:val="000000"/>
              </w:rPr>
            </w:pPr>
          </w:p>
        </w:tc>
      </w:tr>
      <w:tr w14:paraId="16D46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3BC731AD">
            <w:pPr>
              <w:pStyle w:val="38"/>
              <w:snapToGrid w:val="0"/>
              <w:jc w:val="center"/>
              <w:rPr>
                <w:color w:val="000000"/>
              </w:rPr>
            </w:pPr>
            <w:r>
              <w:rPr>
                <w:rFonts w:hint="eastAsia"/>
                <w:color w:val="000000"/>
              </w:rPr>
              <w:t>46</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47432C3B">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470F4A80">
            <w:pPr>
              <w:pStyle w:val="38"/>
              <w:snapToGrid w:val="0"/>
              <w:jc w:val="left"/>
              <w:rPr>
                <w:color w:val="000000"/>
              </w:rPr>
            </w:pPr>
            <w:r>
              <w:rPr>
                <w:rFonts w:hint="eastAsia"/>
                <w:color w:val="000000"/>
              </w:rPr>
              <w:t>基础补强注浆加固地基承载力检测报告。</w:t>
            </w:r>
          </w:p>
        </w:tc>
        <w:tc>
          <w:tcPr>
            <w:tcW w:w="2547" w:type="dxa"/>
            <w:tcBorders>
              <w:top w:val="single" w:color="auto" w:sz="8" w:space="0"/>
              <w:left w:val="single" w:color="auto" w:sz="8" w:space="0"/>
              <w:bottom w:val="single" w:color="auto" w:sz="8" w:space="0"/>
              <w:right w:val="single" w:color="auto" w:sz="8" w:space="0"/>
            </w:tcBorders>
            <w:vAlign w:val="center"/>
          </w:tcPr>
          <w:p w14:paraId="20E6832E">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DA8AFC1">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F20AC36">
            <w:pPr>
              <w:pStyle w:val="38"/>
              <w:snapToGrid w:val="0"/>
              <w:jc w:val="center"/>
              <w:rPr>
                <w:color w:val="000000"/>
              </w:rPr>
            </w:pPr>
          </w:p>
        </w:tc>
      </w:tr>
      <w:tr w14:paraId="06EFC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6B8BE8AC">
            <w:pPr>
              <w:pStyle w:val="38"/>
              <w:snapToGrid w:val="0"/>
              <w:jc w:val="center"/>
              <w:rPr>
                <w:color w:val="000000"/>
              </w:rPr>
            </w:pPr>
            <w:r>
              <w:rPr>
                <w:rFonts w:hint="eastAsia"/>
                <w:color w:val="000000"/>
              </w:rPr>
              <w:t>47</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46395F51">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6359582A">
            <w:pPr>
              <w:pStyle w:val="38"/>
              <w:snapToGrid w:val="0"/>
              <w:jc w:val="left"/>
              <w:rPr>
                <w:color w:val="000000"/>
              </w:rPr>
            </w:pPr>
            <w:r>
              <w:rPr>
                <w:rFonts w:hint="eastAsia"/>
                <w:color w:val="000000"/>
              </w:rPr>
              <w:t>锚杆静压桩单桩承载力检测报告。</w:t>
            </w:r>
          </w:p>
        </w:tc>
        <w:tc>
          <w:tcPr>
            <w:tcW w:w="2547" w:type="dxa"/>
            <w:tcBorders>
              <w:top w:val="single" w:color="auto" w:sz="8" w:space="0"/>
              <w:left w:val="single" w:color="auto" w:sz="8" w:space="0"/>
              <w:bottom w:val="single" w:color="auto" w:sz="8" w:space="0"/>
              <w:right w:val="single" w:color="auto" w:sz="8" w:space="0"/>
            </w:tcBorders>
            <w:vAlign w:val="center"/>
          </w:tcPr>
          <w:p w14:paraId="6A00E088">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0570997A">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63F81F20">
            <w:pPr>
              <w:pStyle w:val="38"/>
              <w:snapToGrid w:val="0"/>
              <w:jc w:val="center"/>
              <w:rPr>
                <w:color w:val="000000"/>
              </w:rPr>
            </w:pPr>
          </w:p>
        </w:tc>
      </w:tr>
      <w:tr w14:paraId="54AC7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6476D8C2">
            <w:pPr>
              <w:pStyle w:val="38"/>
              <w:snapToGrid w:val="0"/>
              <w:jc w:val="center"/>
              <w:rPr>
                <w:color w:val="000000"/>
              </w:rPr>
            </w:pPr>
            <w:r>
              <w:rPr>
                <w:rFonts w:hint="eastAsia"/>
                <w:color w:val="000000"/>
              </w:rPr>
              <w:t>48</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74B3B678">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44E10CAE">
            <w:pPr>
              <w:pStyle w:val="38"/>
              <w:snapToGrid w:val="0"/>
              <w:jc w:val="left"/>
              <w:rPr>
                <w:color w:val="000000"/>
              </w:rPr>
            </w:pPr>
            <w:r>
              <w:rPr>
                <w:rFonts w:hint="eastAsia"/>
                <w:color w:val="000000"/>
              </w:rPr>
              <w:t>树根桩竖向承载力检测报告及动测法检验桩身质量检测报告。</w:t>
            </w:r>
          </w:p>
        </w:tc>
        <w:tc>
          <w:tcPr>
            <w:tcW w:w="2547" w:type="dxa"/>
            <w:tcBorders>
              <w:top w:val="single" w:color="auto" w:sz="8" w:space="0"/>
              <w:left w:val="single" w:color="auto" w:sz="8" w:space="0"/>
              <w:bottom w:val="single" w:color="auto" w:sz="8" w:space="0"/>
              <w:right w:val="single" w:color="auto" w:sz="8" w:space="0"/>
            </w:tcBorders>
            <w:vAlign w:val="center"/>
          </w:tcPr>
          <w:p w14:paraId="2A82D85D">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A95B40F">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E49DF6B">
            <w:pPr>
              <w:pStyle w:val="38"/>
              <w:snapToGrid w:val="0"/>
              <w:jc w:val="center"/>
              <w:rPr>
                <w:color w:val="000000"/>
              </w:rPr>
            </w:pPr>
          </w:p>
        </w:tc>
      </w:tr>
      <w:tr w14:paraId="68C8D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0F53E596">
            <w:pPr>
              <w:pStyle w:val="38"/>
              <w:snapToGrid w:val="0"/>
              <w:jc w:val="center"/>
              <w:rPr>
                <w:color w:val="000000"/>
              </w:rPr>
            </w:pPr>
            <w:r>
              <w:rPr>
                <w:rFonts w:hint="eastAsia"/>
                <w:color w:val="000000"/>
              </w:rPr>
              <w:t>49</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54062774">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1B09E1D2">
            <w:pPr>
              <w:pStyle w:val="38"/>
              <w:snapToGrid w:val="0"/>
              <w:jc w:val="left"/>
              <w:rPr>
                <w:color w:val="000000"/>
              </w:rPr>
            </w:pPr>
            <w:r>
              <w:rPr>
                <w:rFonts w:hint="eastAsia"/>
                <w:color w:val="000000"/>
              </w:rPr>
              <w:t>水泥浆抗压强度试验报告。</w:t>
            </w:r>
          </w:p>
        </w:tc>
        <w:tc>
          <w:tcPr>
            <w:tcW w:w="2547" w:type="dxa"/>
            <w:tcBorders>
              <w:top w:val="single" w:color="auto" w:sz="8" w:space="0"/>
              <w:left w:val="single" w:color="auto" w:sz="8" w:space="0"/>
              <w:bottom w:val="single" w:color="auto" w:sz="8" w:space="0"/>
              <w:right w:val="single" w:color="auto" w:sz="8" w:space="0"/>
            </w:tcBorders>
            <w:vAlign w:val="center"/>
          </w:tcPr>
          <w:p w14:paraId="129D121A">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2C844472">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102E8808">
            <w:pPr>
              <w:pStyle w:val="38"/>
              <w:snapToGrid w:val="0"/>
              <w:jc w:val="center"/>
              <w:rPr>
                <w:color w:val="000000"/>
              </w:rPr>
            </w:pPr>
          </w:p>
        </w:tc>
      </w:tr>
      <w:tr w14:paraId="09F30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41EB8E40">
            <w:pPr>
              <w:pStyle w:val="38"/>
              <w:snapToGrid w:val="0"/>
              <w:jc w:val="center"/>
              <w:rPr>
                <w:color w:val="000000"/>
              </w:rPr>
            </w:pPr>
            <w:r>
              <w:rPr>
                <w:rFonts w:hint="eastAsia"/>
                <w:color w:val="000000"/>
              </w:rPr>
              <w:t>50</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62EF8C0F">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4DD933C3">
            <w:pPr>
              <w:pStyle w:val="38"/>
              <w:snapToGrid w:val="0"/>
              <w:jc w:val="left"/>
              <w:rPr>
                <w:color w:val="000000"/>
              </w:rPr>
            </w:pPr>
            <w:r>
              <w:rPr>
                <w:rFonts w:hint="eastAsia"/>
                <w:color w:val="000000"/>
              </w:rPr>
              <w:t>注浆加固地基承载力检测报告。</w:t>
            </w:r>
          </w:p>
        </w:tc>
        <w:tc>
          <w:tcPr>
            <w:tcW w:w="2547" w:type="dxa"/>
            <w:tcBorders>
              <w:top w:val="single" w:color="auto" w:sz="8" w:space="0"/>
              <w:left w:val="single" w:color="auto" w:sz="8" w:space="0"/>
              <w:bottom w:val="single" w:color="auto" w:sz="8" w:space="0"/>
              <w:right w:val="single" w:color="auto" w:sz="8" w:space="0"/>
            </w:tcBorders>
            <w:vAlign w:val="center"/>
          </w:tcPr>
          <w:p w14:paraId="08E5F4A1">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B72B0DB">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CD8B1FA">
            <w:pPr>
              <w:pStyle w:val="38"/>
              <w:snapToGrid w:val="0"/>
              <w:jc w:val="center"/>
              <w:rPr>
                <w:color w:val="000000"/>
              </w:rPr>
            </w:pPr>
          </w:p>
        </w:tc>
      </w:tr>
      <w:tr w14:paraId="57F7A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55130377">
            <w:pPr>
              <w:pStyle w:val="38"/>
              <w:snapToGrid w:val="0"/>
              <w:jc w:val="center"/>
              <w:rPr>
                <w:color w:val="000000"/>
              </w:rPr>
            </w:pPr>
            <w:r>
              <w:rPr>
                <w:rFonts w:hint="eastAsia"/>
                <w:color w:val="000000"/>
              </w:rPr>
              <w:t>51</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2134B46A">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3E1C5FFD">
            <w:pPr>
              <w:pStyle w:val="38"/>
              <w:snapToGrid w:val="0"/>
              <w:jc w:val="left"/>
              <w:rPr>
                <w:color w:val="000000"/>
              </w:rPr>
            </w:pPr>
            <w:r>
              <w:rPr>
                <w:rFonts w:hint="eastAsia"/>
                <w:color w:val="000000"/>
              </w:rPr>
              <w:t>石灰桩复合地基承载力检测报告。</w:t>
            </w:r>
          </w:p>
        </w:tc>
        <w:tc>
          <w:tcPr>
            <w:tcW w:w="2547" w:type="dxa"/>
            <w:tcBorders>
              <w:top w:val="single" w:color="auto" w:sz="8" w:space="0"/>
              <w:left w:val="single" w:color="auto" w:sz="8" w:space="0"/>
              <w:bottom w:val="single" w:color="auto" w:sz="8" w:space="0"/>
              <w:right w:val="single" w:color="auto" w:sz="8" w:space="0"/>
            </w:tcBorders>
            <w:vAlign w:val="center"/>
          </w:tcPr>
          <w:p w14:paraId="6F3ADFAA">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18A49A1">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027C2D13">
            <w:pPr>
              <w:pStyle w:val="38"/>
              <w:snapToGrid w:val="0"/>
              <w:jc w:val="center"/>
              <w:rPr>
                <w:color w:val="000000"/>
              </w:rPr>
            </w:pPr>
          </w:p>
        </w:tc>
      </w:tr>
      <w:tr w14:paraId="57C63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08C7489D">
            <w:pPr>
              <w:pStyle w:val="38"/>
              <w:snapToGrid w:val="0"/>
              <w:jc w:val="center"/>
              <w:rPr>
                <w:color w:val="000000"/>
              </w:rPr>
            </w:pPr>
            <w:r>
              <w:rPr>
                <w:rFonts w:hint="eastAsia"/>
                <w:color w:val="000000"/>
              </w:rPr>
              <w:t>52</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37B4EE4C">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0E14206C">
            <w:pPr>
              <w:pStyle w:val="38"/>
              <w:snapToGrid w:val="0"/>
              <w:jc w:val="left"/>
              <w:rPr>
                <w:color w:val="000000"/>
              </w:rPr>
            </w:pPr>
            <w:r>
              <w:rPr>
                <w:rFonts w:hint="eastAsia"/>
                <w:color w:val="000000"/>
              </w:rPr>
              <w:t>构件增大截面加固法新、旧混凝土结合面粘接质量检测报告及正拉粘结强度检测报告。</w:t>
            </w:r>
          </w:p>
        </w:tc>
        <w:tc>
          <w:tcPr>
            <w:tcW w:w="2547" w:type="dxa"/>
            <w:tcBorders>
              <w:top w:val="single" w:color="auto" w:sz="8" w:space="0"/>
              <w:left w:val="single" w:color="auto" w:sz="8" w:space="0"/>
              <w:bottom w:val="single" w:color="auto" w:sz="8" w:space="0"/>
              <w:right w:val="single" w:color="auto" w:sz="8" w:space="0"/>
            </w:tcBorders>
            <w:vAlign w:val="center"/>
          </w:tcPr>
          <w:p w14:paraId="36B1CF45">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46155B74">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405E380C">
            <w:pPr>
              <w:pStyle w:val="38"/>
              <w:snapToGrid w:val="0"/>
              <w:jc w:val="center"/>
              <w:rPr>
                <w:color w:val="000000"/>
              </w:rPr>
            </w:pPr>
          </w:p>
        </w:tc>
      </w:tr>
      <w:tr w14:paraId="6E5DF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67B9CD17">
            <w:pPr>
              <w:pStyle w:val="38"/>
              <w:snapToGrid w:val="0"/>
              <w:jc w:val="center"/>
              <w:rPr>
                <w:color w:val="000000"/>
              </w:rPr>
            </w:pPr>
            <w:r>
              <w:rPr>
                <w:rFonts w:hint="eastAsia"/>
                <w:color w:val="000000"/>
              </w:rPr>
              <w:t>53</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0D9F4567">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7D7EA419">
            <w:pPr>
              <w:pStyle w:val="38"/>
              <w:snapToGrid w:val="0"/>
              <w:jc w:val="left"/>
              <w:rPr>
                <w:color w:val="000000"/>
              </w:rPr>
            </w:pPr>
            <w:r>
              <w:rPr>
                <w:rFonts w:hint="eastAsia"/>
                <w:color w:val="000000"/>
              </w:rPr>
              <w:t>外包型钢加固工程的注胶饱满度检测报告及胶粘强度检测报告。</w:t>
            </w:r>
          </w:p>
        </w:tc>
        <w:tc>
          <w:tcPr>
            <w:tcW w:w="2547" w:type="dxa"/>
            <w:tcBorders>
              <w:top w:val="single" w:color="auto" w:sz="8" w:space="0"/>
              <w:left w:val="single" w:color="auto" w:sz="8" w:space="0"/>
              <w:bottom w:val="single" w:color="auto" w:sz="8" w:space="0"/>
              <w:right w:val="single" w:color="auto" w:sz="8" w:space="0"/>
            </w:tcBorders>
            <w:vAlign w:val="center"/>
          </w:tcPr>
          <w:p w14:paraId="202DE872">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57863167">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254B9EF0">
            <w:pPr>
              <w:pStyle w:val="38"/>
              <w:snapToGrid w:val="0"/>
              <w:jc w:val="center"/>
              <w:rPr>
                <w:color w:val="000000"/>
              </w:rPr>
            </w:pPr>
          </w:p>
        </w:tc>
      </w:tr>
      <w:tr w14:paraId="1F1BB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27C4DB83">
            <w:pPr>
              <w:pStyle w:val="38"/>
              <w:snapToGrid w:val="0"/>
              <w:jc w:val="center"/>
              <w:rPr>
                <w:color w:val="000000"/>
              </w:rPr>
            </w:pPr>
            <w:r>
              <w:rPr>
                <w:rFonts w:hint="eastAsia"/>
                <w:color w:val="000000"/>
              </w:rPr>
              <w:t>54</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3F135D45">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396946B1">
            <w:pPr>
              <w:pStyle w:val="38"/>
              <w:snapToGrid w:val="0"/>
              <w:jc w:val="left"/>
              <w:rPr>
                <w:color w:val="000000"/>
              </w:rPr>
            </w:pPr>
            <w:r>
              <w:rPr>
                <w:rFonts w:hint="eastAsia"/>
                <w:color w:val="000000"/>
              </w:rPr>
              <w:t>外粘钢板加固工程的有效粘接面积检测报告及正拉粘结强度检测报告。</w:t>
            </w:r>
          </w:p>
        </w:tc>
        <w:tc>
          <w:tcPr>
            <w:tcW w:w="2547" w:type="dxa"/>
            <w:tcBorders>
              <w:top w:val="single" w:color="auto" w:sz="8" w:space="0"/>
              <w:left w:val="single" w:color="auto" w:sz="8" w:space="0"/>
              <w:bottom w:val="single" w:color="auto" w:sz="8" w:space="0"/>
              <w:right w:val="single" w:color="auto" w:sz="8" w:space="0"/>
            </w:tcBorders>
            <w:vAlign w:val="center"/>
          </w:tcPr>
          <w:p w14:paraId="6A6836D2">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140876A9">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6DD5D8BB">
            <w:pPr>
              <w:pStyle w:val="38"/>
              <w:snapToGrid w:val="0"/>
              <w:jc w:val="center"/>
              <w:rPr>
                <w:color w:val="000000"/>
              </w:rPr>
            </w:pPr>
          </w:p>
        </w:tc>
      </w:tr>
      <w:tr w14:paraId="54A9E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44C44373">
            <w:pPr>
              <w:pStyle w:val="38"/>
              <w:snapToGrid w:val="0"/>
              <w:jc w:val="center"/>
              <w:rPr>
                <w:color w:val="000000"/>
              </w:rPr>
            </w:pPr>
            <w:r>
              <w:rPr>
                <w:rFonts w:hint="eastAsia"/>
                <w:color w:val="000000"/>
              </w:rPr>
              <w:t>55</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0333A34B">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15448665">
            <w:pPr>
              <w:pStyle w:val="38"/>
              <w:snapToGrid w:val="0"/>
              <w:jc w:val="left"/>
              <w:rPr>
                <w:color w:val="000000"/>
              </w:rPr>
            </w:pPr>
            <w:r>
              <w:rPr>
                <w:rFonts w:hint="eastAsia"/>
                <w:color w:val="000000"/>
              </w:rPr>
              <w:t>外粘纤维复合材加固的有效粘接面积检测报告及正拉粘结强度检测报告。</w:t>
            </w:r>
          </w:p>
        </w:tc>
        <w:tc>
          <w:tcPr>
            <w:tcW w:w="2547" w:type="dxa"/>
            <w:tcBorders>
              <w:top w:val="single" w:color="auto" w:sz="8" w:space="0"/>
              <w:left w:val="single" w:color="auto" w:sz="8" w:space="0"/>
              <w:bottom w:val="single" w:color="auto" w:sz="8" w:space="0"/>
              <w:right w:val="single" w:color="auto" w:sz="8" w:space="0"/>
            </w:tcBorders>
            <w:vAlign w:val="center"/>
          </w:tcPr>
          <w:p w14:paraId="0C99B470">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0A1AA622">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0E4FCB82">
            <w:pPr>
              <w:pStyle w:val="38"/>
              <w:snapToGrid w:val="0"/>
              <w:jc w:val="center"/>
              <w:rPr>
                <w:color w:val="000000"/>
              </w:rPr>
            </w:pPr>
          </w:p>
        </w:tc>
      </w:tr>
      <w:tr w14:paraId="5B543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42783685">
            <w:pPr>
              <w:pStyle w:val="38"/>
              <w:snapToGrid w:val="0"/>
              <w:jc w:val="center"/>
              <w:rPr>
                <w:color w:val="000000"/>
              </w:rPr>
            </w:pPr>
            <w:r>
              <w:rPr>
                <w:rFonts w:hint="eastAsia"/>
                <w:color w:val="000000"/>
              </w:rPr>
              <w:t>56</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6637C262">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6D065B6B">
            <w:pPr>
              <w:pStyle w:val="38"/>
              <w:snapToGrid w:val="0"/>
              <w:jc w:val="left"/>
              <w:rPr>
                <w:color w:val="000000"/>
              </w:rPr>
            </w:pPr>
            <w:r>
              <w:rPr>
                <w:rFonts w:hint="eastAsia"/>
                <w:color w:val="000000"/>
              </w:rPr>
              <w:t>植筋加固锚固承载力现场拉拔检测报告。</w:t>
            </w:r>
          </w:p>
        </w:tc>
        <w:tc>
          <w:tcPr>
            <w:tcW w:w="2547" w:type="dxa"/>
            <w:tcBorders>
              <w:top w:val="single" w:color="auto" w:sz="8" w:space="0"/>
              <w:left w:val="single" w:color="auto" w:sz="8" w:space="0"/>
              <w:bottom w:val="single" w:color="auto" w:sz="8" w:space="0"/>
              <w:right w:val="single" w:color="auto" w:sz="8" w:space="0"/>
            </w:tcBorders>
            <w:vAlign w:val="center"/>
          </w:tcPr>
          <w:p w14:paraId="17B62D33">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46ABC9F4">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1D168F16">
            <w:pPr>
              <w:pStyle w:val="38"/>
              <w:snapToGrid w:val="0"/>
              <w:jc w:val="center"/>
              <w:rPr>
                <w:color w:val="000000"/>
              </w:rPr>
            </w:pPr>
          </w:p>
        </w:tc>
      </w:tr>
      <w:tr w14:paraId="039D5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7D89AE9A">
            <w:pPr>
              <w:pStyle w:val="38"/>
              <w:snapToGrid w:val="0"/>
              <w:jc w:val="center"/>
              <w:rPr>
                <w:color w:val="000000"/>
              </w:rPr>
            </w:pPr>
            <w:r>
              <w:rPr>
                <w:rFonts w:hint="eastAsia"/>
                <w:color w:val="000000"/>
              </w:rPr>
              <w:t>57</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1ED74905">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5E56862B">
            <w:pPr>
              <w:pStyle w:val="38"/>
              <w:snapToGrid w:val="0"/>
              <w:jc w:val="left"/>
              <w:rPr>
                <w:color w:val="000000"/>
              </w:rPr>
            </w:pPr>
            <w:r>
              <w:rPr>
                <w:rFonts w:hint="eastAsia"/>
                <w:color w:val="000000"/>
              </w:rPr>
              <w:t>砌体结构外加钢筋网-砂浆面层加固的加固材料与基层的正拉粘结强度检测报告。</w:t>
            </w:r>
          </w:p>
        </w:tc>
        <w:tc>
          <w:tcPr>
            <w:tcW w:w="2547" w:type="dxa"/>
            <w:tcBorders>
              <w:top w:val="single" w:color="auto" w:sz="8" w:space="0"/>
              <w:left w:val="single" w:color="auto" w:sz="8" w:space="0"/>
              <w:bottom w:val="single" w:color="auto" w:sz="8" w:space="0"/>
              <w:right w:val="single" w:color="auto" w:sz="8" w:space="0"/>
            </w:tcBorders>
            <w:vAlign w:val="center"/>
          </w:tcPr>
          <w:p w14:paraId="561674B8">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34CC3FD4">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391D794">
            <w:pPr>
              <w:pStyle w:val="38"/>
              <w:snapToGrid w:val="0"/>
              <w:jc w:val="center"/>
              <w:rPr>
                <w:color w:val="000000"/>
              </w:rPr>
            </w:pPr>
          </w:p>
        </w:tc>
      </w:tr>
      <w:tr w14:paraId="3E7231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5A9C54D4">
            <w:pPr>
              <w:pStyle w:val="38"/>
              <w:snapToGrid w:val="0"/>
              <w:jc w:val="center"/>
              <w:rPr>
                <w:color w:val="000000"/>
              </w:rPr>
            </w:pPr>
            <w:r>
              <w:rPr>
                <w:rFonts w:hint="eastAsia"/>
                <w:color w:val="000000"/>
              </w:rPr>
              <w:t>58</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1E0B9B27">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185B6DCC">
            <w:pPr>
              <w:widowControl/>
              <w:snapToGrid w:val="0"/>
              <w:jc w:val="left"/>
              <w:textAlignment w:val="center"/>
              <w:rPr>
                <w:color w:val="000000"/>
                <w:sz w:val="24"/>
              </w:rPr>
            </w:pPr>
            <w:r>
              <w:rPr>
                <w:color w:val="000000"/>
                <w:kern w:val="0"/>
                <w:sz w:val="22"/>
                <w:szCs w:val="22"/>
              </w:rPr>
              <w:t>外墙面砖粘结强度拉拔，后置埋件锚固承载力试验</w:t>
            </w:r>
            <w:r>
              <w:rPr>
                <w:rFonts w:hint="eastAsia"/>
                <w:color w:val="000000"/>
                <w:kern w:val="0"/>
                <w:sz w:val="22"/>
                <w:szCs w:val="22"/>
              </w:rPr>
              <w:t>。</w:t>
            </w:r>
          </w:p>
        </w:tc>
        <w:tc>
          <w:tcPr>
            <w:tcW w:w="2547" w:type="dxa"/>
            <w:tcBorders>
              <w:top w:val="single" w:color="auto" w:sz="8" w:space="0"/>
              <w:left w:val="single" w:color="auto" w:sz="8" w:space="0"/>
              <w:bottom w:val="single" w:color="auto" w:sz="8" w:space="0"/>
              <w:right w:val="single" w:color="auto" w:sz="8" w:space="0"/>
            </w:tcBorders>
            <w:vAlign w:val="center"/>
          </w:tcPr>
          <w:p w14:paraId="3A843C57">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73BBCCAB">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22682527">
            <w:pPr>
              <w:pStyle w:val="38"/>
              <w:snapToGrid w:val="0"/>
              <w:jc w:val="center"/>
              <w:rPr>
                <w:color w:val="000000"/>
              </w:rPr>
            </w:pPr>
          </w:p>
        </w:tc>
      </w:tr>
      <w:tr w14:paraId="310D3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29"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6A705CFE">
            <w:pPr>
              <w:pStyle w:val="38"/>
              <w:snapToGrid w:val="0"/>
              <w:jc w:val="center"/>
              <w:rPr>
                <w:color w:val="000000"/>
              </w:rPr>
            </w:pPr>
            <w:r>
              <w:rPr>
                <w:rFonts w:hint="eastAsia"/>
                <w:color w:val="000000"/>
              </w:rPr>
              <w:t>59</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7441DB18">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354BAD95">
            <w:pPr>
              <w:widowControl/>
              <w:snapToGrid w:val="0"/>
              <w:jc w:val="left"/>
              <w:textAlignment w:val="center"/>
              <w:rPr>
                <w:color w:val="000000"/>
                <w:kern w:val="0"/>
                <w:sz w:val="22"/>
                <w:szCs w:val="22"/>
              </w:rPr>
            </w:pPr>
            <w:r>
              <w:rPr>
                <w:color w:val="000000"/>
                <w:kern w:val="0"/>
                <w:sz w:val="22"/>
                <w:szCs w:val="22"/>
              </w:rPr>
              <w:t>幕墙：气密性能、水密性能、抗风压性能、层间变形性能及设计有要求的其他性能（保温、隔声、耐冲击性等）</w:t>
            </w:r>
            <w:r>
              <w:rPr>
                <w:rFonts w:hint="eastAsia"/>
                <w:color w:val="000000"/>
                <w:kern w:val="0"/>
                <w:sz w:val="22"/>
                <w:szCs w:val="22"/>
              </w:rPr>
              <w:t>、</w:t>
            </w:r>
            <w:r>
              <w:rPr>
                <w:color w:val="000000"/>
                <w:kern w:val="0"/>
                <w:sz w:val="22"/>
                <w:szCs w:val="22"/>
              </w:rPr>
              <w:t>金属屋面抗风揭性能试验</w:t>
            </w:r>
            <w:r>
              <w:rPr>
                <w:rFonts w:hint="eastAsia"/>
                <w:color w:val="000000"/>
                <w:kern w:val="0"/>
                <w:sz w:val="22"/>
                <w:szCs w:val="22"/>
              </w:rPr>
              <w:t>。</w:t>
            </w:r>
          </w:p>
        </w:tc>
        <w:tc>
          <w:tcPr>
            <w:tcW w:w="2547" w:type="dxa"/>
            <w:tcBorders>
              <w:top w:val="single" w:color="auto" w:sz="8" w:space="0"/>
              <w:left w:val="single" w:color="auto" w:sz="8" w:space="0"/>
              <w:bottom w:val="single" w:color="auto" w:sz="8" w:space="0"/>
              <w:right w:val="single" w:color="auto" w:sz="8" w:space="0"/>
            </w:tcBorders>
            <w:vAlign w:val="center"/>
          </w:tcPr>
          <w:p w14:paraId="2342A19D">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46E6F6CB">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4D3EF58F">
            <w:pPr>
              <w:pStyle w:val="38"/>
              <w:snapToGrid w:val="0"/>
              <w:jc w:val="center"/>
              <w:rPr>
                <w:color w:val="000000"/>
              </w:rPr>
            </w:pPr>
          </w:p>
        </w:tc>
      </w:tr>
      <w:tr w14:paraId="7F0E8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9"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79A33AF1">
            <w:pPr>
              <w:pStyle w:val="38"/>
              <w:snapToGrid w:val="0"/>
              <w:jc w:val="center"/>
              <w:rPr>
                <w:color w:val="000000"/>
              </w:rPr>
            </w:pPr>
            <w:r>
              <w:rPr>
                <w:rFonts w:hint="eastAsia"/>
                <w:color w:val="000000"/>
              </w:rPr>
              <w:t>60</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643D64B3">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669F01D4">
            <w:pPr>
              <w:widowControl/>
              <w:snapToGrid w:val="0"/>
              <w:jc w:val="left"/>
              <w:textAlignment w:val="center"/>
              <w:rPr>
                <w:color w:val="000000"/>
                <w:sz w:val="24"/>
              </w:rPr>
            </w:pPr>
            <w:r>
              <w:rPr>
                <w:color w:val="000000"/>
                <w:kern w:val="0"/>
                <w:sz w:val="22"/>
                <w:szCs w:val="22"/>
              </w:rPr>
              <w:t>节能：保温板粘接强度拉拔、锚栓锚固力拉拔，外墙节能构造实体检验，外窗气密性、水密性实体检验，机电系统节能性能</w:t>
            </w:r>
            <w:r>
              <w:rPr>
                <w:rFonts w:hint="eastAsia"/>
                <w:color w:val="000000"/>
                <w:kern w:val="0"/>
                <w:sz w:val="22"/>
                <w:szCs w:val="22"/>
              </w:rPr>
              <w:t>。</w:t>
            </w:r>
          </w:p>
        </w:tc>
        <w:tc>
          <w:tcPr>
            <w:tcW w:w="2547" w:type="dxa"/>
            <w:tcBorders>
              <w:top w:val="single" w:color="auto" w:sz="8" w:space="0"/>
              <w:left w:val="single" w:color="auto" w:sz="8" w:space="0"/>
              <w:bottom w:val="single" w:color="auto" w:sz="8" w:space="0"/>
              <w:right w:val="single" w:color="auto" w:sz="8" w:space="0"/>
            </w:tcBorders>
            <w:vAlign w:val="center"/>
          </w:tcPr>
          <w:p w14:paraId="513D8ACE">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52776001">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04C8FB26">
            <w:pPr>
              <w:pStyle w:val="38"/>
              <w:snapToGrid w:val="0"/>
              <w:jc w:val="center"/>
              <w:rPr>
                <w:color w:val="000000"/>
              </w:rPr>
            </w:pPr>
          </w:p>
        </w:tc>
      </w:tr>
      <w:tr w14:paraId="1A059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569" w:type="dxa"/>
            <w:tcBorders>
              <w:top w:val="single" w:color="auto" w:sz="8" w:space="0"/>
              <w:left w:val="single" w:color="auto" w:sz="8" w:space="0"/>
              <w:bottom w:val="single" w:color="auto" w:sz="8" w:space="0"/>
              <w:right w:val="single" w:color="auto" w:sz="8" w:space="0"/>
            </w:tcBorders>
            <w:noWrap/>
            <w:vAlign w:val="center"/>
          </w:tcPr>
          <w:p w14:paraId="218F8724">
            <w:pPr>
              <w:pStyle w:val="38"/>
              <w:snapToGrid w:val="0"/>
              <w:jc w:val="center"/>
              <w:rPr>
                <w:color w:val="000000"/>
              </w:rPr>
            </w:pPr>
            <w:r>
              <w:rPr>
                <w:rFonts w:hint="eastAsia"/>
                <w:color w:val="000000"/>
              </w:rPr>
              <w:t>61</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22CA5842">
            <w:pPr>
              <w:pStyle w:val="38"/>
              <w:snapToGrid w:val="0"/>
              <w:jc w:val="center"/>
              <w:rPr>
                <w:color w:val="000000"/>
              </w:rPr>
            </w:pPr>
          </w:p>
        </w:tc>
        <w:tc>
          <w:tcPr>
            <w:tcW w:w="4368" w:type="dxa"/>
            <w:tcBorders>
              <w:top w:val="single" w:color="auto" w:sz="8" w:space="0"/>
              <w:left w:val="single" w:color="auto" w:sz="8" w:space="0"/>
              <w:bottom w:val="single" w:color="auto" w:sz="8" w:space="0"/>
              <w:right w:val="single" w:color="auto" w:sz="8" w:space="0"/>
            </w:tcBorders>
            <w:vAlign w:val="center"/>
          </w:tcPr>
          <w:p w14:paraId="14CDFFAC">
            <w:pPr>
              <w:widowControl/>
              <w:snapToGrid w:val="0"/>
              <w:jc w:val="left"/>
              <w:textAlignment w:val="center"/>
              <w:rPr>
                <w:color w:val="000000"/>
                <w:kern w:val="0"/>
                <w:sz w:val="22"/>
                <w:szCs w:val="22"/>
              </w:rPr>
            </w:pPr>
            <w:r>
              <w:rPr>
                <w:rFonts w:hint="eastAsia"/>
                <w:color w:val="000000"/>
                <w:kern w:val="0"/>
                <w:sz w:val="22"/>
                <w:szCs w:val="22"/>
              </w:rPr>
              <w:t>回填土试验。</w:t>
            </w:r>
          </w:p>
        </w:tc>
        <w:tc>
          <w:tcPr>
            <w:tcW w:w="2547" w:type="dxa"/>
            <w:tcBorders>
              <w:top w:val="single" w:color="auto" w:sz="8" w:space="0"/>
              <w:left w:val="single" w:color="auto" w:sz="8" w:space="0"/>
              <w:bottom w:val="single" w:color="auto" w:sz="8" w:space="0"/>
              <w:right w:val="single" w:color="auto" w:sz="8" w:space="0"/>
            </w:tcBorders>
            <w:vAlign w:val="center"/>
          </w:tcPr>
          <w:p w14:paraId="1A4928FA">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043B00E9">
            <w:pPr>
              <w:pStyle w:val="38"/>
              <w:snapToGrid w:val="0"/>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692D3823">
            <w:pPr>
              <w:pStyle w:val="38"/>
              <w:snapToGrid w:val="0"/>
              <w:jc w:val="center"/>
              <w:rPr>
                <w:color w:val="000000"/>
              </w:rPr>
            </w:pPr>
          </w:p>
        </w:tc>
      </w:tr>
    </w:tbl>
    <w:p w14:paraId="5F22799E">
      <w:pPr>
        <w:widowControl/>
        <w:suppressAutoHyphens w:val="0"/>
        <w:jc w:val="center"/>
        <w:rPr>
          <w:rFonts w:eastAsia="黑体"/>
          <w:color w:val="000000"/>
          <w:sz w:val="24"/>
          <w:szCs w:val="24"/>
        </w:rPr>
      </w:pPr>
      <w:r>
        <w:rPr>
          <w:color w:val="000000"/>
        </w:rPr>
        <w:br w:type="page"/>
      </w:r>
      <w:r>
        <w:rPr>
          <w:rFonts w:hint="eastAsia" w:eastAsia="黑体"/>
          <w:color w:val="000000"/>
          <w:sz w:val="24"/>
          <w:szCs w:val="24"/>
        </w:rPr>
        <w:t>续表H.0.1</w:t>
      </w:r>
    </w:p>
    <w:p w14:paraId="0BD8A5E6">
      <w:pPr>
        <w:widowControl/>
        <w:spacing w:before="156" w:beforeLines="50" w:after="156" w:afterLines="50"/>
        <w:jc w:val="left"/>
        <w:textAlignment w:val="center"/>
        <w:rPr>
          <w:color w:val="000000"/>
          <w:kern w:val="0"/>
          <w:sz w:val="24"/>
          <w:szCs w:val="24"/>
        </w:rPr>
      </w:pPr>
      <w:r>
        <w:rPr>
          <w:color w:val="000000"/>
          <w:kern w:val="0"/>
          <w:sz w:val="24"/>
          <w:szCs w:val="24"/>
        </w:rPr>
        <w:t>工程名称：                             施工单位：</w:t>
      </w:r>
    </w:p>
    <w:tbl>
      <w:tblPr>
        <w:tblStyle w:val="25"/>
        <w:tblW w:w="9435"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74"/>
        <w:gridCol w:w="406"/>
        <w:gridCol w:w="4354"/>
        <w:gridCol w:w="2603"/>
        <w:gridCol w:w="728"/>
        <w:gridCol w:w="770"/>
      </w:tblGrid>
      <w:tr w14:paraId="6233E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574" w:type="dxa"/>
            <w:tcBorders>
              <w:top w:val="single" w:color="auto" w:sz="8" w:space="0"/>
              <w:left w:val="single" w:color="auto" w:sz="8" w:space="0"/>
              <w:bottom w:val="single" w:color="auto" w:sz="8" w:space="0"/>
              <w:right w:val="single" w:color="auto" w:sz="8" w:space="0"/>
            </w:tcBorders>
            <w:noWrap/>
            <w:vAlign w:val="center"/>
          </w:tcPr>
          <w:p w14:paraId="1822206D">
            <w:pPr>
              <w:pStyle w:val="38"/>
              <w:jc w:val="center"/>
              <w:rPr>
                <w:color w:val="000000"/>
              </w:rPr>
            </w:pPr>
            <w:r>
              <w:rPr>
                <w:rFonts w:hint="eastAsia"/>
                <w:color w:val="000000"/>
              </w:rPr>
              <w:t>序号</w:t>
            </w:r>
          </w:p>
        </w:tc>
        <w:tc>
          <w:tcPr>
            <w:tcW w:w="4760" w:type="dxa"/>
            <w:gridSpan w:val="2"/>
            <w:tcBorders>
              <w:top w:val="single" w:color="auto" w:sz="8" w:space="0"/>
              <w:left w:val="single" w:color="auto" w:sz="8" w:space="0"/>
              <w:bottom w:val="single" w:color="auto" w:sz="8" w:space="0"/>
              <w:right w:val="single" w:color="auto" w:sz="8" w:space="0"/>
            </w:tcBorders>
            <w:vAlign w:val="center"/>
          </w:tcPr>
          <w:p w14:paraId="3C7B6822">
            <w:pPr>
              <w:pStyle w:val="38"/>
              <w:jc w:val="center"/>
              <w:rPr>
                <w:color w:val="000000"/>
              </w:rPr>
            </w:pPr>
            <w:r>
              <w:rPr>
                <w:color w:val="000000"/>
              </w:rPr>
              <w:t>检查项目</w:t>
            </w:r>
          </w:p>
        </w:tc>
        <w:tc>
          <w:tcPr>
            <w:tcW w:w="2603" w:type="dxa"/>
            <w:tcBorders>
              <w:top w:val="single" w:color="auto" w:sz="8" w:space="0"/>
              <w:left w:val="single" w:color="auto" w:sz="8" w:space="0"/>
              <w:bottom w:val="single" w:color="auto" w:sz="8" w:space="0"/>
              <w:right w:val="single" w:color="auto" w:sz="8" w:space="0"/>
            </w:tcBorders>
            <w:noWrap/>
            <w:vAlign w:val="center"/>
          </w:tcPr>
          <w:p w14:paraId="781D3F8A">
            <w:pPr>
              <w:pStyle w:val="38"/>
              <w:jc w:val="center"/>
              <w:rPr>
                <w:color w:val="000000"/>
              </w:rPr>
            </w:pPr>
            <w:r>
              <w:rPr>
                <w:color w:val="000000"/>
              </w:rPr>
              <w:t>检查情况</w:t>
            </w:r>
          </w:p>
        </w:tc>
        <w:tc>
          <w:tcPr>
            <w:tcW w:w="728" w:type="dxa"/>
            <w:tcBorders>
              <w:top w:val="single" w:color="auto" w:sz="8" w:space="0"/>
              <w:left w:val="single" w:color="auto" w:sz="8" w:space="0"/>
              <w:bottom w:val="single" w:color="auto" w:sz="8" w:space="0"/>
              <w:right w:val="single" w:color="auto" w:sz="8" w:space="0"/>
            </w:tcBorders>
            <w:noWrap/>
            <w:vAlign w:val="center"/>
          </w:tcPr>
          <w:p w14:paraId="74BE921C">
            <w:pPr>
              <w:pStyle w:val="38"/>
              <w:jc w:val="center"/>
              <w:rPr>
                <w:color w:val="000000"/>
              </w:rPr>
            </w:pPr>
            <w:r>
              <w:rPr>
                <w:color w:val="000000"/>
              </w:rPr>
              <w:t>应得分</w:t>
            </w:r>
          </w:p>
        </w:tc>
        <w:tc>
          <w:tcPr>
            <w:tcW w:w="770" w:type="dxa"/>
            <w:tcBorders>
              <w:top w:val="single" w:color="auto" w:sz="8" w:space="0"/>
              <w:left w:val="single" w:color="auto" w:sz="8" w:space="0"/>
              <w:bottom w:val="single" w:color="auto" w:sz="8" w:space="0"/>
              <w:right w:val="single" w:color="auto" w:sz="8" w:space="0"/>
            </w:tcBorders>
            <w:noWrap/>
            <w:vAlign w:val="center"/>
          </w:tcPr>
          <w:p w14:paraId="294B57E7">
            <w:pPr>
              <w:pStyle w:val="38"/>
              <w:jc w:val="center"/>
              <w:rPr>
                <w:color w:val="000000"/>
              </w:rPr>
            </w:pPr>
            <w:r>
              <w:rPr>
                <w:color w:val="000000"/>
              </w:rPr>
              <w:t>实得分</w:t>
            </w:r>
          </w:p>
        </w:tc>
      </w:tr>
      <w:tr w14:paraId="0EBA1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574" w:type="dxa"/>
            <w:tcBorders>
              <w:top w:val="single" w:color="auto" w:sz="8" w:space="0"/>
              <w:left w:val="single" w:color="auto" w:sz="8" w:space="0"/>
              <w:bottom w:val="single" w:color="auto" w:sz="8" w:space="0"/>
              <w:right w:val="single" w:color="auto" w:sz="8" w:space="0"/>
            </w:tcBorders>
            <w:noWrap/>
            <w:vAlign w:val="center"/>
          </w:tcPr>
          <w:p w14:paraId="5C28CCE7">
            <w:pPr>
              <w:pStyle w:val="38"/>
              <w:jc w:val="center"/>
              <w:rPr>
                <w:color w:val="000000"/>
                <w:u w:val="single"/>
              </w:rPr>
            </w:pPr>
            <w:r>
              <w:rPr>
                <w:rFonts w:hint="eastAsia"/>
                <w:color w:val="000000"/>
              </w:rPr>
              <w:t>62</w:t>
            </w:r>
          </w:p>
        </w:tc>
        <w:tc>
          <w:tcPr>
            <w:tcW w:w="406" w:type="dxa"/>
            <w:vMerge w:val="restart"/>
            <w:tcBorders>
              <w:top w:val="single" w:color="auto" w:sz="8" w:space="0"/>
              <w:left w:val="single" w:color="auto" w:sz="8" w:space="0"/>
              <w:bottom w:val="single" w:color="auto" w:sz="8" w:space="0"/>
              <w:right w:val="single" w:color="auto" w:sz="8" w:space="0"/>
            </w:tcBorders>
            <w:vAlign w:val="center"/>
          </w:tcPr>
          <w:p w14:paraId="3CBC966A">
            <w:pPr>
              <w:pStyle w:val="38"/>
              <w:jc w:val="center"/>
              <w:rPr>
                <w:color w:val="000000"/>
              </w:rPr>
            </w:pPr>
            <w:r>
              <w:rPr>
                <w:rFonts w:hint="eastAsia"/>
                <w:color w:val="000000"/>
              </w:rPr>
              <w:t>过程验收</w:t>
            </w:r>
          </w:p>
        </w:tc>
        <w:tc>
          <w:tcPr>
            <w:tcW w:w="4354" w:type="dxa"/>
            <w:tcBorders>
              <w:top w:val="single" w:color="auto" w:sz="8" w:space="0"/>
              <w:left w:val="single" w:color="auto" w:sz="8" w:space="0"/>
              <w:bottom w:val="single" w:color="auto" w:sz="8" w:space="0"/>
              <w:right w:val="single" w:color="auto" w:sz="8" w:space="0"/>
            </w:tcBorders>
            <w:vAlign w:val="center"/>
          </w:tcPr>
          <w:p w14:paraId="18F6A8E8">
            <w:pPr>
              <w:pStyle w:val="38"/>
              <w:jc w:val="left"/>
              <w:rPr>
                <w:color w:val="000000"/>
              </w:rPr>
            </w:pPr>
            <w:r>
              <w:rPr>
                <w:rFonts w:hint="eastAsia"/>
                <w:color w:val="000000"/>
              </w:rPr>
              <w:t>结构加固工程检验批、分项、分部工程验收记录。</w:t>
            </w:r>
          </w:p>
        </w:tc>
        <w:tc>
          <w:tcPr>
            <w:tcW w:w="2603" w:type="dxa"/>
            <w:tcBorders>
              <w:top w:val="single" w:color="auto" w:sz="8" w:space="0"/>
              <w:left w:val="single" w:color="auto" w:sz="8" w:space="0"/>
              <w:bottom w:val="single" w:color="auto" w:sz="8" w:space="0"/>
              <w:right w:val="single" w:color="auto" w:sz="8" w:space="0"/>
            </w:tcBorders>
            <w:vAlign w:val="center"/>
          </w:tcPr>
          <w:p w14:paraId="1FA1A99C">
            <w:pPr>
              <w:pStyle w:val="38"/>
              <w:jc w:val="center"/>
              <w:rPr>
                <w:color w:val="000000"/>
              </w:rPr>
            </w:pPr>
          </w:p>
        </w:tc>
        <w:tc>
          <w:tcPr>
            <w:tcW w:w="728" w:type="dxa"/>
            <w:vMerge w:val="restart"/>
            <w:tcBorders>
              <w:top w:val="single" w:color="auto" w:sz="8" w:space="0"/>
              <w:left w:val="single" w:color="auto" w:sz="8" w:space="0"/>
              <w:bottom w:val="single" w:color="auto" w:sz="8" w:space="0"/>
              <w:right w:val="single" w:color="auto" w:sz="8" w:space="0"/>
            </w:tcBorders>
            <w:vAlign w:val="center"/>
          </w:tcPr>
          <w:p w14:paraId="6C441C12">
            <w:pPr>
              <w:pStyle w:val="38"/>
              <w:jc w:val="center"/>
              <w:rPr>
                <w:color w:val="000000"/>
              </w:rPr>
            </w:pPr>
            <w:r>
              <w:rPr>
                <w:rFonts w:hint="eastAsia" w:eastAsia="仿宋_GB2312"/>
                <w:color w:val="000000"/>
                <w:sz w:val="24"/>
              </w:rPr>
              <w:t>5</w:t>
            </w:r>
          </w:p>
        </w:tc>
        <w:tc>
          <w:tcPr>
            <w:tcW w:w="770" w:type="dxa"/>
            <w:vMerge w:val="restart"/>
            <w:tcBorders>
              <w:top w:val="single" w:color="auto" w:sz="8" w:space="0"/>
              <w:left w:val="single" w:color="auto" w:sz="8" w:space="0"/>
              <w:bottom w:val="single" w:color="auto" w:sz="8" w:space="0"/>
              <w:right w:val="single" w:color="auto" w:sz="8" w:space="0"/>
            </w:tcBorders>
            <w:vAlign w:val="center"/>
          </w:tcPr>
          <w:p w14:paraId="5442D7DD">
            <w:pPr>
              <w:pStyle w:val="38"/>
              <w:jc w:val="center"/>
              <w:rPr>
                <w:color w:val="000000"/>
                <w:u w:val="single"/>
              </w:rPr>
            </w:pPr>
          </w:p>
        </w:tc>
      </w:tr>
      <w:tr w14:paraId="1BDC9C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46" w:hRule="atLeast"/>
        </w:trPr>
        <w:tc>
          <w:tcPr>
            <w:tcW w:w="574" w:type="dxa"/>
            <w:tcBorders>
              <w:top w:val="single" w:color="auto" w:sz="8" w:space="0"/>
              <w:left w:val="single" w:color="auto" w:sz="8" w:space="0"/>
              <w:bottom w:val="single" w:color="auto" w:sz="8" w:space="0"/>
              <w:right w:val="single" w:color="auto" w:sz="8" w:space="0"/>
            </w:tcBorders>
            <w:noWrap/>
            <w:vAlign w:val="center"/>
          </w:tcPr>
          <w:p w14:paraId="540CF822">
            <w:pPr>
              <w:pStyle w:val="38"/>
              <w:jc w:val="center"/>
              <w:rPr>
                <w:color w:val="000000"/>
              </w:rPr>
            </w:pPr>
            <w:r>
              <w:rPr>
                <w:rFonts w:hint="eastAsia"/>
                <w:color w:val="000000"/>
              </w:rPr>
              <w:t>63</w:t>
            </w:r>
          </w:p>
        </w:tc>
        <w:tc>
          <w:tcPr>
            <w:tcW w:w="406" w:type="dxa"/>
            <w:vMerge w:val="continue"/>
            <w:tcBorders>
              <w:top w:val="single" w:color="auto" w:sz="8" w:space="0"/>
              <w:left w:val="single" w:color="auto" w:sz="8" w:space="0"/>
              <w:bottom w:val="single" w:color="auto" w:sz="8" w:space="0"/>
              <w:right w:val="single" w:color="auto" w:sz="8" w:space="0"/>
            </w:tcBorders>
            <w:vAlign w:val="center"/>
          </w:tcPr>
          <w:p w14:paraId="4A133A9F">
            <w:pPr>
              <w:pStyle w:val="38"/>
              <w:jc w:val="center"/>
              <w:rPr>
                <w:color w:val="000000"/>
              </w:rPr>
            </w:pPr>
          </w:p>
        </w:tc>
        <w:tc>
          <w:tcPr>
            <w:tcW w:w="4354" w:type="dxa"/>
            <w:tcBorders>
              <w:top w:val="single" w:color="auto" w:sz="8" w:space="0"/>
              <w:left w:val="single" w:color="auto" w:sz="8" w:space="0"/>
              <w:bottom w:val="single" w:color="auto" w:sz="8" w:space="0"/>
              <w:right w:val="single" w:color="auto" w:sz="8" w:space="0"/>
            </w:tcBorders>
            <w:vAlign w:val="center"/>
          </w:tcPr>
          <w:p w14:paraId="22334FE5">
            <w:pPr>
              <w:pStyle w:val="38"/>
              <w:jc w:val="left"/>
              <w:rPr>
                <w:color w:val="000000"/>
              </w:rPr>
            </w:pPr>
            <w:r>
              <w:rPr>
                <w:rFonts w:hint="eastAsia"/>
                <w:color w:val="000000"/>
                <w:kern w:val="0"/>
              </w:rPr>
              <w:t>装饰装修、屋面工程</w:t>
            </w:r>
            <w:r>
              <w:rPr>
                <w:color w:val="000000"/>
                <w:kern w:val="0"/>
              </w:rPr>
              <w:t>检验批、分项、分部工程验收记录</w:t>
            </w:r>
            <w:r>
              <w:rPr>
                <w:rFonts w:hint="eastAsia"/>
                <w:color w:val="000000"/>
                <w:kern w:val="0"/>
              </w:rPr>
              <w:t>。</w:t>
            </w:r>
          </w:p>
        </w:tc>
        <w:tc>
          <w:tcPr>
            <w:tcW w:w="2603" w:type="dxa"/>
            <w:tcBorders>
              <w:top w:val="single" w:color="auto" w:sz="8" w:space="0"/>
              <w:left w:val="single" w:color="auto" w:sz="8" w:space="0"/>
              <w:bottom w:val="single" w:color="auto" w:sz="8" w:space="0"/>
              <w:right w:val="single" w:color="auto" w:sz="8" w:space="0"/>
            </w:tcBorders>
            <w:vAlign w:val="center"/>
          </w:tcPr>
          <w:p w14:paraId="433F5C5C">
            <w:pPr>
              <w:pStyle w:val="38"/>
              <w:jc w:val="center"/>
              <w:rPr>
                <w:color w:val="000000"/>
              </w:rPr>
            </w:pPr>
          </w:p>
        </w:tc>
        <w:tc>
          <w:tcPr>
            <w:tcW w:w="728" w:type="dxa"/>
            <w:vMerge w:val="continue"/>
            <w:tcBorders>
              <w:top w:val="single" w:color="auto" w:sz="8" w:space="0"/>
              <w:left w:val="single" w:color="auto" w:sz="8" w:space="0"/>
              <w:bottom w:val="single" w:color="auto" w:sz="8" w:space="0"/>
              <w:right w:val="single" w:color="auto" w:sz="8" w:space="0"/>
            </w:tcBorders>
            <w:vAlign w:val="center"/>
          </w:tcPr>
          <w:p w14:paraId="635F9FAE">
            <w:pPr>
              <w:pStyle w:val="38"/>
              <w:jc w:val="center"/>
              <w:rPr>
                <w:color w:val="000000"/>
              </w:rPr>
            </w:pPr>
          </w:p>
        </w:tc>
        <w:tc>
          <w:tcPr>
            <w:tcW w:w="770" w:type="dxa"/>
            <w:vMerge w:val="continue"/>
            <w:tcBorders>
              <w:top w:val="single" w:color="auto" w:sz="8" w:space="0"/>
              <w:left w:val="single" w:color="auto" w:sz="8" w:space="0"/>
              <w:bottom w:val="single" w:color="auto" w:sz="8" w:space="0"/>
              <w:right w:val="single" w:color="auto" w:sz="8" w:space="0"/>
            </w:tcBorders>
            <w:vAlign w:val="center"/>
          </w:tcPr>
          <w:p w14:paraId="1E9EA520">
            <w:pPr>
              <w:pStyle w:val="38"/>
              <w:jc w:val="center"/>
              <w:rPr>
                <w:color w:val="000000"/>
                <w:u w:val="single"/>
              </w:rPr>
            </w:pPr>
          </w:p>
        </w:tc>
      </w:tr>
      <w:tr w14:paraId="4472A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23" w:hRule="atLeast"/>
        </w:trPr>
        <w:tc>
          <w:tcPr>
            <w:tcW w:w="574" w:type="dxa"/>
            <w:tcBorders>
              <w:top w:val="single" w:color="auto" w:sz="8" w:space="0"/>
              <w:left w:val="single" w:color="auto" w:sz="8" w:space="0"/>
              <w:bottom w:val="single" w:color="auto" w:sz="8" w:space="0"/>
              <w:right w:val="single" w:color="auto" w:sz="8" w:space="0"/>
            </w:tcBorders>
            <w:noWrap/>
            <w:vAlign w:val="center"/>
          </w:tcPr>
          <w:p w14:paraId="071C30B4">
            <w:pPr>
              <w:pStyle w:val="38"/>
              <w:jc w:val="center"/>
              <w:rPr>
                <w:color w:val="000000"/>
              </w:rPr>
            </w:pPr>
            <w:r>
              <w:rPr>
                <w:rFonts w:hint="eastAsia"/>
                <w:color w:val="000000"/>
              </w:rPr>
              <w:t>64</w:t>
            </w:r>
          </w:p>
        </w:tc>
        <w:tc>
          <w:tcPr>
            <w:tcW w:w="406" w:type="dxa"/>
            <w:tcBorders>
              <w:top w:val="single" w:color="auto" w:sz="8" w:space="0"/>
              <w:left w:val="single" w:color="auto" w:sz="8" w:space="0"/>
              <w:bottom w:val="single" w:color="auto" w:sz="8" w:space="0"/>
              <w:right w:val="single" w:color="auto" w:sz="8" w:space="0"/>
            </w:tcBorders>
            <w:vAlign w:val="center"/>
          </w:tcPr>
          <w:p w14:paraId="448FE0F8">
            <w:pPr>
              <w:pStyle w:val="38"/>
              <w:jc w:val="center"/>
              <w:rPr>
                <w:color w:val="000000"/>
              </w:rPr>
            </w:pPr>
            <w:r>
              <w:rPr>
                <w:rFonts w:hint="eastAsia"/>
                <w:color w:val="000000"/>
              </w:rPr>
              <w:t>竣工验收</w:t>
            </w:r>
          </w:p>
        </w:tc>
        <w:tc>
          <w:tcPr>
            <w:tcW w:w="4354" w:type="dxa"/>
            <w:tcBorders>
              <w:top w:val="single" w:color="auto" w:sz="8" w:space="0"/>
              <w:left w:val="single" w:color="auto" w:sz="8" w:space="0"/>
              <w:bottom w:val="single" w:color="auto" w:sz="8" w:space="0"/>
              <w:right w:val="single" w:color="auto" w:sz="8" w:space="0"/>
            </w:tcBorders>
            <w:vAlign w:val="center"/>
          </w:tcPr>
          <w:p w14:paraId="57A57DEF">
            <w:pPr>
              <w:widowControl/>
              <w:jc w:val="left"/>
              <w:textAlignment w:val="center"/>
              <w:rPr>
                <w:color w:val="000000"/>
                <w:kern w:val="0"/>
                <w:szCs w:val="21"/>
              </w:rPr>
            </w:pPr>
            <w:r>
              <w:rPr>
                <w:rFonts w:hint="eastAsia" w:ascii="宋体" w:hAnsi="宋体" w:cs="宋体"/>
                <w:bCs/>
                <w:color w:val="000000"/>
                <w:szCs w:val="21"/>
              </w:rPr>
              <w:t>单位工程质量竣工验收记录</w:t>
            </w:r>
            <w:r>
              <w:rPr>
                <w:color w:val="000000"/>
                <w:kern w:val="0"/>
                <w:szCs w:val="21"/>
              </w:rPr>
              <w:t>、综合验收结论，质量控制资料核查、安全和使用功能核（抽）查、观感验收、室内环境检测，竣工质量报告、竣工图</w:t>
            </w:r>
            <w:r>
              <w:rPr>
                <w:rFonts w:hint="eastAsia"/>
                <w:color w:val="000000"/>
                <w:kern w:val="0"/>
                <w:szCs w:val="21"/>
              </w:rPr>
              <w:t>。</w:t>
            </w:r>
          </w:p>
        </w:tc>
        <w:tc>
          <w:tcPr>
            <w:tcW w:w="2603" w:type="dxa"/>
            <w:tcBorders>
              <w:top w:val="single" w:color="auto" w:sz="8" w:space="0"/>
              <w:left w:val="single" w:color="auto" w:sz="8" w:space="0"/>
              <w:bottom w:val="single" w:color="auto" w:sz="8" w:space="0"/>
              <w:right w:val="single" w:color="auto" w:sz="8" w:space="0"/>
            </w:tcBorders>
            <w:vAlign w:val="center"/>
          </w:tcPr>
          <w:p w14:paraId="377C27CC">
            <w:pPr>
              <w:pStyle w:val="38"/>
              <w:jc w:val="center"/>
              <w:rPr>
                <w:color w:val="000000"/>
              </w:rPr>
            </w:pPr>
          </w:p>
        </w:tc>
        <w:tc>
          <w:tcPr>
            <w:tcW w:w="728" w:type="dxa"/>
            <w:tcBorders>
              <w:top w:val="single" w:color="auto" w:sz="8" w:space="0"/>
              <w:left w:val="single" w:color="auto" w:sz="8" w:space="0"/>
              <w:bottom w:val="single" w:color="auto" w:sz="8" w:space="0"/>
              <w:right w:val="single" w:color="auto" w:sz="8" w:space="0"/>
            </w:tcBorders>
            <w:vAlign w:val="center"/>
          </w:tcPr>
          <w:p w14:paraId="1A75C7A0">
            <w:pPr>
              <w:pStyle w:val="38"/>
              <w:jc w:val="center"/>
              <w:rPr>
                <w:color w:val="000000"/>
              </w:rPr>
            </w:pPr>
            <w:r>
              <w:rPr>
                <w:rFonts w:hint="eastAsia"/>
                <w:color w:val="000000"/>
              </w:rPr>
              <w:t>5</w:t>
            </w:r>
          </w:p>
        </w:tc>
        <w:tc>
          <w:tcPr>
            <w:tcW w:w="770" w:type="dxa"/>
            <w:tcBorders>
              <w:top w:val="single" w:color="auto" w:sz="8" w:space="0"/>
              <w:left w:val="single" w:color="auto" w:sz="8" w:space="0"/>
              <w:bottom w:val="single" w:color="auto" w:sz="8" w:space="0"/>
              <w:right w:val="single" w:color="auto" w:sz="8" w:space="0"/>
            </w:tcBorders>
            <w:vAlign w:val="center"/>
          </w:tcPr>
          <w:p w14:paraId="73EB639E">
            <w:pPr>
              <w:pStyle w:val="38"/>
              <w:jc w:val="center"/>
              <w:rPr>
                <w:color w:val="000000"/>
                <w:u w:val="single"/>
              </w:rPr>
            </w:pPr>
          </w:p>
        </w:tc>
      </w:tr>
      <w:tr w14:paraId="6CF73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136" w:hRule="atLeast"/>
        </w:trPr>
        <w:tc>
          <w:tcPr>
            <w:tcW w:w="574" w:type="dxa"/>
            <w:tcBorders>
              <w:top w:val="single" w:color="auto" w:sz="8" w:space="0"/>
              <w:left w:val="single" w:color="auto" w:sz="8" w:space="0"/>
              <w:bottom w:val="single" w:color="auto" w:sz="8" w:space="0"/>
              <w:right w:val="single" w:color="auto" w:sz="8" w:space="0"/>
            </w:tcBorders>
            <w:noWrap/>
            <w:vAlign w:val="center"/>
          </w:tcPr>
          <w:p w14:paraId="64E578FC">
            <w:pPr>
              <w:pStyle w:val="38"/>
              <w:jc w:val="center"/>
              <w:rPr>
                <w:color w:val="000000"/>
              </w:rPr>
            </w:pPr>
            <w:r>
              <w:rPr>
                <w:rFonts w:hint="eastAsia"/>
                <w:color w:val="000000"/>
              </w:rPr>
              <w:t>65</w:t>
            </w:r>
          </w:p>
        </w:tc>
        <w:tc>
          <w:tcPr>
            <w:tcW w:w="406" w:type="dxa"/>
            <w:tcBorders>
              <w:top w:val="single" w:color="auto" w:sz="8" w:space="0"/>
              <w:left w:val="single" w:color="auto" w:sz="8" w:space="0"/>
              <w:bottom w:val="single" w:color="auto" w:sz="8" w:space="0"/>
              <w:right w:val="single" w:color="auto" w:sz="8" w:space="0"/>
            </w:tcBorders>
            <w:vAlign w:val="center"/>
          </w:tcPr>
          <w:p w14:paraId="65992E2B">
            <w:pPr>
              <w:pStyle w:val="38"/>
              <w:jc w:val="center"/>
              <w:rPr>
                <w:color w:val="000000"/>
              </w:rPr>
            </w:pPr>
            <w:r>
              <w:rPr>
                <w:rFonts w:hint="eastAsia"/>
                <w:color w:val="000000"/>
              </w:rPr>
              <w:t>其他</w:t>
            </w:r>
          </w:p>
        </w:tc>
        <w:tc>
          <w:tcPr>
            <w:tcW w:w="4354" w:type="dxa"/>
            <w:tcBorders>
              <w:top w:val="single" w:color="auto" w:sz="8" w:space="0"/>
              <w:left w:val="single" w:color="auto" w:sz="8" w:space="0"/>
              <w:bottom w:val="single" w:color="auto" w:sz="8" w:space="0"/>
              <w:right w:val="single" w:color="auto" w:sz="8" w:space="0"/>
            </w:tcBorders>
            <w:vAlign w:val="center"/>
          </w:tcPr>
          <w:p w14:paraId="1D7ECCDE">
            <w:pPr>
              <w:widowControl/>
              <w:jc w:val="left"/>
              <w:textAlignment w:val="center"/>
              <w:rPr>
                <w:color w:val="000000"/>
                <w:kern w:val="0"/>
                <w:szCs w:val="21"/>
              </w:rPr>
            </w:pPr>
            <w:r>
              <w:rPr>
                <w:color w:val="000000"/>
                <w:kern w:val="0"/>
                <w:szCs w:val="21"/>
              </w:rPr>
              <w:t>资料三级目录及组卷、施工日志、监理通知、监理不合格项处理记录</w:t>
            </w:r>
            <w:r>
              <w:rPr>
                <w:rFonts w:hint="eastAsia"/>
                <w:color w:val="000000"/>
                <w:kern w:val="0"/>
                <w:szCs w:val="21"/>
              </w:rPr>
              <w:t>、物资不合格退场记录、</w:t>
            </w:r>
            <w:r>
              <w:rPr>
                <w:rFonts w:hint="eastAsia"/>
                <w:color w:val="000000"/>
                <w:kern w:val="0"/>
                <w:sz w:val="22"/>
                <w:szCs w:val="22"/>
              </w:rPr>
              <w:t>拆除工程图像资料等。</w:t>
            </w:r>
          </w:p>
        </w:tc>
        <w:tc>
          <w:tcPr>
            <w:tcW w:w="2603" w:type="dxa"/>
            <w:tcBorders>
              <w:top w:val="single" w:color="auto" w:sz="8" w:space="0"/>
              <w:left w:val="single" w:color="auto" w:sz="8" w:space="0"/>
              <w:bottom w:val="single" w:color="auto" w:sz="8" w:space="0"/>
              <w:right w:val="single" w:color="auto" w:sz="8" w:space="0"/>
            </w:tcBorders>
            <w:vAlign w:val="center"/>
          </w:tcPr>
          <w:p w14:paraId="6812CB22">
            <w:pPr>
              <w:pStyle w:val="38"/>
              <w:jc w:val="center"/>
              <w:rPr>
                <w:color w:val="000000"/>
              </w:rPr>
            </w:pPr>
          </w:p>
        </w:tc>
        <w:tc>
          <w:tcPr>
            <w:tcW w:w="728" w:type="dxa"/>
            <w:tcBorders>
              <w:top w:val="single" w:color="auto" w:sz="8" w:space="0"/>
              <w:left w:val="single" w:color="auto" w:sz="8" w:space="0"/>
              <w:bottom w:val="single" w:color="auto" w:sz="8" w:space="0"/>
              <w:right w:val="single" w:color="auto" w:sz="8" w:space="0"/>
            </w:tcBorders>
            <w:vAlign w:val="center"/>
          </w:tcPr>
          <w:p w14:paraId="64C840D3">
            <w:pPr>
              <w:pStyle w:val="38"/>
              <w:jc w:val="center"/>
              <w:rPr>
                <w:color w:val="000000"/>
              </w:rPr>
            </w:pPr>
            <w:r>
              <w:rPr>
                <w:rFonts w:hint="eastAsia"/>
                <w:color w:val="000000"/>
              </w:rPr>
              <w:t>5</w:t>
            </w:r>
          </w:p>
        </w:tc>
        <w:tc>
          <w:tcPr>
            <w:tcW w:w="770" w:type="dxa"/>
            <w:tcBorders>
              <w:top w:val="single" w:color="auto" w:sz="8" w:space="0"/>
              <w:left w:val="single" w:color="auto" w:sz="8" w:space="0"/>
              <w:bottom w:val="single" w:color="auto" w:sz="8" w:space="0"/>
              <w:right w:val="single" w:color="auto" w:sz="8" w:space="0"/>
            </w:tcBorders>
            <w:vAlign w:val="center"/>
          </w:tcPr>
          <w:p w14:paraId="31775971">
            <w:pPr>
              <w:pStyle w:val="38"/>
              <w:jc w:val="center"/>
              <w:rPr>
                <w:color w:val="000000"/>
                <w:u w:val="single"/>
              </w:rPr>
            </w:pPr>
          </w:p>
        </w:tc>
      </w:tr>
      <w:tr w14:paraId="5DC9E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7937" w:type="dxa"/>
            <w:gridSpan w:val="4"/>
            <w:tcBorders>
              <w:top w:val="single" w:color="auto" w:sz="8" w:space="0"/>
              <w:left w:val="single" w:color="auto" w:sz="8" w:space="0"/>
              <w:bottom w:val="single" w:color="auto" w:sz="8" w:space="0"/>
              <w:right w:val="single" w:color="auto" w:sz="8" w:space="0"/>
            </w:tcBorders>
            <w:noWrap/>
            <w:vAlign w:val="center"/>
          </w:tcPr>
          <w:p w14:paraId="2C1596F3">
            <w:pPr>
              <w:pStyle w:val="38"/>
              <w:jc w:val="center"/>
              <w:rPr>
                <w:color w:val="000000"/>
              </w:rPr>
            </w:pPr>
            <w:r>
              <w:rPr>
                <w:rFonts w:hint="eastAsia"/>
                <w:color w:val="000000"/>
              </w:rPr>
              <w:t>合计</w:t>
            </w:r>
          </w:p>
        </w:tc>
        <w:tc>
          <w:tcPr>
            <w:tcW w:w="728" w:type="dxa"/>
            <w:tcBorders>
              <w:top w:val="single" w:color="auto" w:sz="8" w:space="0"/>
              <w:left w:val="single" w:color="auto" w:sz="8" w:space="0"/>
              <w:bottom w:val="single" w:color="auto" w:sz="8" w:space="0"/>
              <w:right w:val="single" w:color="auto" w:sz="8" w:space="0"/>
            </w:tcBorders>
            <w:vAlign w:val="center"/>
          </w:tcPr>
          <w:p w14:paraId="58A31004">
            <w:pPr>
              <w:pStyle w:val="38"/>
              <w:jc w:val="center"/>
              <w:rPr>
                <w:color w:val="000000"/>
              </w:rPr>
            </w:pPr>
            <w:r>
              <w:rPr>
                <w:rFonts w:hint="eastAsia"/>
                <w:color w:val="000000"/>
              </w:rPr>
              <w:t>50</w:t>
            </w:r>
          </w:p>
        </w:tc>
        <w:tc>
          <w:tcPr>
            <w:tcW w:w="770" w:type="dxa"/>
            <w:tcBorders>
              <w:top w:val="single" w:color="auto" w:sz="8" w:space="0"/>
              <w:left w:val="single" w:color="auto" w:sz="8" w:space="0"/>
              <w:bottom w:val="single" w:color="auto" w:sz="8" w:space="0"/>
              <w:right w:val="single" w:color="auto" w:sz="8" w:space="0"/>
            </w:tcBorders>
            <w:vAlign w:val="center"/>
          </w:tcPr>
          <w:p w14:paraId="555DDB68">
            <w:pPr>
              <w:pStyle w:val="38"/>
              <w:jc w:val="center"/>
              <w:rPr>
                <w:color w:val="000000"/>
              </w:rPr>
            </w:pPr>
          </w:p>
        </w:tc>
      </w:tr>
      <w:tr w14:paraId="0EB95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9435" w:type="dxa"/>
            <w:gridSpan w:val="6"/>
            <w:tcBorders>
              <w:top w:val="single" w:color="auto" w:sz="8" w:space="0"/>
              <w:left w:val="single" w:color="auto" w:sz="8" w:space="0"/>
              <w:bottom w:val="single" w:color="auto" w:sz="8" w:space="0"/>
              <w:right w:val="single" w:color="auto" w:sz="8" w:space="0"/>
            </w:tcBorders>
            <w:noWrap/>
          </w:tcPr>
          <w:p w14:paraId="7255BBBB">
            <w:pPr>
              <w:widowControl/>
              <w:jc w:val="left"/>
              <w:textAlignment w:val="center"/>
              <w:rPr>
                <w:color w:val="000000"/>
              </w:rPr>
            </w:pPr>
            <w:r>
              <w:rPr>
                <w:rFonts w:hint="eastAsia" w:ascii="宋体" w:hAnsi="宋体" w:cs="宋体"/>
                <w:color w:val="000000"/>
                <w:kern w:val="0"/>
                <w:szCs w:val="21"/>
              </w:rPr>
              <w:t>综合评价：意见和建议（工程亮点、存在问题、改正方法、提高方向）</w:t>
            </w:r>
          </w:p>
          <w:p w14:paraId="6C63947E">
            <w:pPr>
              <w:pStyle w:val="2"/>
              <w:ind w:left="134" w:firstLine="283"/>
              <w:jc w:val="center"/>
              <w:rPr>
                <w:color w:val="000000"/>
              </w:rPr>
            </w:pPr>
          </w:p>
          <w:p w14:paraId="6BEDD948">
            <w:pPr>
              <w:pStyle w:val="2"/>
              <w:ind w:left="134" w:firstLine="283"/>
              <w:jc w:val="center"/>
              <w:rPr>
                <w:color w:val="000000"/>
              </w:rPr>
            </w:pPr>
          </w:p>
          <w:p w14:paraId="708F66E1">
            <w:pPr>
              <w:pStyle w:val="2"/>
              <w:ind w:left="134" w:firstLine="283"/>
              <w:jc w:val="center"/>
              <w:rPr>
                <w:color w:val="000000"/>
              </w:rPr>
            </w:pPr>
          </w:p>
          <w:p w14:paraId="36219031">
            <w:pPr>
              <w:pStyle w:val="2"/>
              <w:ind w:left="134" w:firstLine="283"/>
              <w:jc w:val="center"/>
              <w:rPr>
                <w:color w:val="000000"/>
              </w:rPr>
            </w:pPr>
          </w:p>
          <w:p w14:paraId="5B21CE90">
            <w:pPr>
              <w:pStyle w:val="2"/>
              <w:ind w:left="134" w:firstLine="283"/>
              <w:jc w:val="center"/>
              <w:rPr>
                <w:color w:val="000000"/>
              </w:rPr>
            </w:pPr>
          </w:p>
          <w:p w14:paraId="7E183BD2">
            <w:pPr>
              <w:pStyle w:val="2"/>
              <w:ind w:left="134" w:firstLine="283"/>
              <w:jc w:val="center"/>
              <w:rPr>
                <w:color w:val="000000"/>
              </w:rPr>
            </w:pPr>
          </w:p>
          <w:p w14:paraId="08F89140">
            <w:pPr>
              <w:pStyle w:val="2"/>
              <w:ind w:left="134" w:firstLine="283"/>
              <w:jc w:val="center"/>
              <w:rPr>
                <w:color w:val="000000"/>
              </w:rPr>
            </w:pPr>
          </w:p>
          <w:p w14:paraId="0AD46BE0">
            <w:pPr>
              <w:pStyle w:val="2"/>
              <w:ind w:left="134" w:firstLine="283"/>
              <w:jc w:val="center"/>
              <w:rPr>
                <w:color w:val="000000"/>
              </w:rPr>
            </w:pPr>
          </w:p>
          <w:p w14:paraId="41FFE270">
            <w:pPr>
              <w:pStyle w:val="2"/>
              <w:ind w:left="134" w:firstLine="283"/>
              <w:jc w:val="center"/>
              <w:rPr>
                <w:color w:val="000000"/>
              </w:rPr>
            </w:pPr>
          </w:p>
          <w:p w14:paraId="697A2DC5">
            <w:pPr>
              <w:jc w:val="center"/>
              <w:rPr>
                <w:color w:val="000000"/>
              </w:rPr>
            </w:pPr>
          </w:p>
          <w:p w14:paraId="136CFDFE">
            <w:pPr>
              <w:pStyle w:val="2"/>
              <w:ind w:left="134" w:firstLine="283"/>
              <w:jc w:val="center"/>
              <w:rPr>
                <w:color w:val="000000"/>
              </w:rPr>
            </w:pPr>
          </w:p>
          <w:p w14:paraId="18899477">
            <w:pPr>
              <w:pStyle w:val="2"/>
              <w:ind w:left="134" w:firstLine="283"/>
              <w:jc w:val="center"/>
              <w:rPr>
                <w:color w:val="000000"/>
              </w:rPr>
            </w:pPr>
          </w:p>
          <w:p w14:paraId="3F0D4A83">
            <w:pPr>
              <w:pStyle w:val="2"/>
              <w:ind w:left="134" w:firstLine="283"/>
              <w:jc w:val="center"/>
              <w:rPr>
                <w:color w:val="000000"/>
              </w:rPr>
            </w:pPr>
          </w:p>
          <w:p w14:paraId="0A010842">
            <w:pPr>
              <w:jc w:val="center"/>
              <w:rPr>
                <w:color w:val="000000"/>
              </w:rPr>
            </w:pPr>
          </w:p>
          <w:p w14:paraId="11CBB46E">
            <w:pPr>
              <w:widowControl/>
              <w:jc w:val="center"/>
              <w:textAlignment w:val="center"/>
              <w:rPr>
                <w:rFonts w:ascii="宋体" w:hAnsi="宋体"/>
                <w:color w:val="000000"/>
                <w:kern w:val="0"/>
                <w:szCs w:val="21"/>
              </w:rPr>
            </w:pPr>
            <w:r>
              <w:rPr>
                <w:rFonts w:hint="eastAsia" w:ascii="宋体" w:hAnsi="宋体" w:cs="宋体"/>
                <w:color w:val="000000"/>
                <w:kern w:val="0"/>
                <w:szCs w:val="21"/>
              </w:rPr>
              <w:t xml:space="preserve">                                        检查人：</w:t>
            </w:r>
          </w:p>
          <w:p w14:paraId="7AB27C43">
            <w:pPr>
              <w:pStyle w:val="38"/>
              <w:jc w:val="center"/>
              <w:rPr>
                <w:color w:val="000000"/>
              </w:rPr>
            </w:pPr>
            <w:r>
              <w:rPr>
                <w:rFonts w:hint="eastAsia" w:ascii="宋体" w:hAnsi="宋体" w:cs="宋体"/>
                <w:color w:val="000000"/>
                <w:kern w:val="0"/>
              </w:rPr>
              <w:t xml:space="preserve">                                                           年  月   日</w:t>
            </w:r>
          </w:p>
        </w:tc>
      </w:tr>
    </w:tbl>
    <w:p w14:paraId="458A761F">
      <w:pPr>
        <w:jc w:val="left"/>
        <w:rPr>
          <w:color w:val="000000"/>
        </w:rPr>
      </w:pPr>
      <w:r>
        <w:rPr>
          <w:color w:val="000000"/>
        </w:rPr>
        <w:t>注：本表评价打分采取扣分制，存在一项不符合扣1分</w:t>
      </w:r>
    </w:p>
    <w:p w14:paraId="2A6C14F2">
      <w:pPr>
        <w:jc w:val="center"/>
        <w:rPr>
          <w:rFonts w:ascii="黑体" w:hAnsi="黑体" w:eastAsia="黑体" w:cs="宋体"/>
          <w:color w:val="000000"/>
          <w:kern w:val="0"/>
          <w:sz w:val="24"/>
          <w:szCs w:val="24"/>
        </w:rPr>
      </w:pPr>
      <w:r>
        <w:rPr>
          <w:color w:val="000000"/>
        </w:rPr>
        <w:br w:type="page"/>
      </w:r>
      <w:r>
        <w:rPr>
          <w:rFonts w:ascii="黑体" w:hAnsi="黑体" w:eastAsia="黑体" w:cs="宋体"/>
          <w:color w:val="000000"/>
          <w:kern w:val="0"/>
          <w:sz w:val="24"/>
          <w:szCs w:val="24"/>
        </w:rPr>
        <w:t xml:space="preserve">表H.0.2  </w:t>
      </w:r>
      <w:r>
        <w:rPr>
          <w:rFonts w:hint="eastAsia" w:ascii="黑体" w:hAnsi="黑体" w:eastAsia="黑体" w:cs="宋体"/>
          <w:color w:val="000000"/>
          <w:kern w:val="0"/>
          <w:sz w:val="24"/>
          <w:szCs w:val="24"/>
        </w:rPr>
        <w:t>改造工程电气设备安装资料现场检查表</w:t>
      </w:r>
    </w:p>
    <w:p w14:paraId="6077228B">
      <w:pPr>
        <w:widowControl/>
        <w:spacing w:before="156" w:beforeLines="50" w:after="156" w:afterLines="50"/>
        <w:jc w:val="left"/>
        <w:textAlignment w:val="center"/>
        <w:rPr>
          <w:rFonts w:ascii="宋体" w:hAnsi="宋体"/>
          <w:color w:val="000000"/>
          <w:kern w:val="0"/>
          <w:sz w:val="24"/>
          <w:szCs w:val="24"/>
        </w:rPr>
      </w:pPr>
      <w:r>
        <w:rPr>
          <w:rFonts w:ascii="宋体" w:hAnsi="宋体"/>
          <w:color w:val="000000"/>
          <w:kern w:val="0"/>
          <w:sz w:val="24"/>
          <w:szCs w:val="24"/>
        </w:rPr>
        <w:t>工程名称：                             施工单位</w:t>
      </w:r>
      <w:r>
        <w:rPr>
          <w:rFonts w:hint="eastAsia" w:ascii="宋体" w:hAnsi="宋体"/>
          <w:color w:val="000000"/>
          <w:kern w:val="0"/>
          <w:sz w:val="24"/>
          <w:szCs w:val="24"/>
        </w:rPr>
        <w:t>：</w:t>
      </w:r>
    </w:p>
    <w:tbl>
      <w:tblPr>
        <w:tblStyle w:val="25"/>
        <w:tblW w:w="9421"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74"/>
        <w:gridCol w:w="392"/>
        <w:gridCol w:w="4368"/>
        <w:gridCol w:w="2617"/>
        <w:gridCol w:w="728"/>
        <w:gridCol w:w="742"/>
      </w:tblGrid>
      <w:tr w14:paraId="2216E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1943917">
            <w:pPr>
              <w:widowControl/>
              <w:jc w:val="center"/>
              <w:textAlignment w:val="center"/>
              <w:rPr>
                <w:color w:val="000000"/>
                <w:sz w:val="24"/>
              </w:rPr>
            </w:pPr>
            <w:r>
              <w:rPr>
                <w:color w:val="000000"/>
                <w:kern w:val="0"/>
                <w:sz w:val="24"/>
              </w:rPr>
              <w:t>序号</w:t>
            </w:r>
          </w:p>
        </w:tc>
        <w:tc>
          <w:tcPr>
            <w:tcW w:w="4760" w:type="dxa"/>
            <w:gridSpan w:val="2"/>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682902D">
            <w:pPr>
              <w:widowControl/>
              <w:jc w:val="center"/>
              <w:textAlignment w:val="center"/>
              <w:rPr>
                <w:color w:val="000000"/>
                <w:sz w:val="24"/>
              </w:rPr>
            </w:pPr>
            <w:r>
              <w:rPr>
                <w:color w:val="000000"/>
                <w:kern w:val="0"/>
                <w:sz w:val="24"/>
              </w:rPr>
              <w:t>检查项目</w:t>
            </w:r>
          </w:p>
        </w:tc>
        <w:tc>
          <w:tcPr>
            <w:tcW w:w="2617"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68EB4F1">
            <w:pPr>
              <w:widowControl/>
              <w:jc w:val="center"/>
              <w:textAlignment w:val="center"/>
              <w:rPr>
                <w:color w:val="000000"/>
                <w:sz w:val="24"/>
              </w:rPr>
            </w:pPr>
            <w:r>
              <w:rPr>
                <w:color w:val="000000"/>
                <w:kern w:val="0"/>
                <w:sz w:val="24"/>
              </w:rPr>
              <w:t>检查情况</w:t>
            </w:r>
          </w:p>
        </w:tc>
        <w:tc>
          <w:tcPr>
            <w:tcW w:w="728"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BC38726">
            <w:pPr>
              <w:widowControl/>
              <w:jc w:val="center"/>
              <w:textAlignment w:val="center"/>
              <w:rPr>
                <w:color w:val="000000"/>
                <w:kern w:val="0"/>
                <w:sz w:val="24"/>
              </w:rPr>
            </w:pPr>
            <w:r>
              <w:rPr>
                <w:color w:val="000000"/>
                <w:kern w:val="0"/>
                <w:szCs w:val="21"/>
              </w:rPr>
              <w:t>应得分</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0601156">
            <w:pPr>
              <w:widowControl/>
              <w:jc w:val="center"/>
              <w:textAlignment w:val="center"/>
              <w:rPr>
                <w:color w:val="000000"/>
                <w:sz w:val="24"/>
              </w:rPr>
            </w:pPr>
            <w:r>
              <w:rPr>
                <w:color w:val="000000"/>
                <w:kern w:val="0"/>
                <w:szCs w:val="21"/>
              </w:rPr>
              <w:t>实得分</w:t>
            </w:r>
          </w:p>
        </w:tc>
      </w:tr>
      <w:tr w14:paraId="34D41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93"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97E7300">
            <w:pPr>
              <w:widowControl/>
              <w:jc w:val="center"/>
              <w:textAlignment w:val="center"/>
              <w:rPr>
                <w:color w:val="000000"/>
                <w:szCs w:val="21"/>
              </w:rPr>
            </w:pPr>
            <w:r>
              <w:rPr>
                <w:color w:val="000000"/>
                <w:kern w:val="0"/>
                <w:szCs w:val="21"/>
              </w:rPr>
              <w:t>1</w:t>
            </w:r>
          </w:p>
        </w:tc>
        <w:tc>
          <w:tcPr>
            <w:tcW w:w="39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622218B">
            <w:pPr>
              <w:jc w:val="center"/>
              <w:rPr>
                <w:color w:val="000000"/>
              </w:rPr>
            </w:pPr>
            <w:r>
              <w:rPr>
                <w:color w:val="000000"/>
              </w:rPr>
              <w:t>电气</w:t>
            </w:r>
            <w:r>
              <w:rPr>
                <w:rFonts w:hint="eastAsia"/>
                <w:color w:val="000000"/>
              </w:rPr>
              <w:t>改</w:t>
            </w:r>
            <w:r>
              <w:rPr>
                <w:color w:val="000000"/>
              </w:rPr>
              <w:t>造工程</w:t>
            </w: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4622F57">
            <w:pPr>
              <w:widowControl/>
              <w:jc w:val="left"/>
              <w:textAlignment w:val="center"/>
              <w:rPr>
                <w:color w:val="000000"/>
                <w:szCs w:val="21"/>
              </w:rPr>
            </w:pPr>
            <w:r>
              <w:rPr>
                <w:rFonts w:hint="eastAsia"/>
                <w:color w:val="000000"/>
                <w:kern w:val="0"/>
                <w:szCs w:val="21"/>
              </w:rPr>
              <w:t>改造工程施工</w:t>
            </w:r>
            <w:r>
              <w:rPr>
                <w:color w:val="000000"/>
                <w:kern w:val="0"/>
                <w:szCs w:val="21"/>
              </w:rPr>
              <w:t>方案编制及交底，测试仪器仪表校准证书</w:t>
            </w:r>
            <w:r>
              <w:rPr>
                <w:rFonts w:hint="eastAsia"/>
                <w:color w:val="000000"/>
                <w:kern w:val="0"/>
                <w:szCs w:val="21"/>
              </w:rPr>
              <w:t>。</w:t>
            </w:r>
          </w:p>
        </w:tc>
        <w:tc>
          <w:tcPr>
            <w:tcW w:w="261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7399D4D">
            <w:pPr>
              <w:jc w:val="center"/>
              <w:rPr>
                <w:color w:val="000000"/>
                <w:szCs w:val="21"/>
              </w:rPr>
            </w:pPr>
          </w:p>
        </w:tc>
        <w:tc>
          <w:tcPr>
            <w:tcW w:w="72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7F54320">
            <w:pPr>
              <w:jc w:val="center"/>
              <w:rPr>
                <w:color w:val="000000"/>
                <w:szCs w:val="21"/>
              </w:rPr>
            </w:pPr>
            <w:r>
              <w:rPr>
                <w:rFonts w:hint="eastAsia"/>
                <w:color w:val="000000"/>
                <w:szCs w:val="21"/>
              </w:rPr>
              <w:t>1</w:t>
            </w: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5B86E31">
            <w:pPr>
              <w:rPr>
                <w:color w:val="000000"/>
                <w:szCs w:val="21"/>
              </w:rPr>
            </w:pPr>
          </w:p>
        </w:tc>
      </w:tr>
      <w:tr w14:paraId="16C96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B18D4CF">
            <w:pPr>
              <w:widowControl/>
              <w:jc w:val="center"/>
              <w:textAlignment w:val="center"/>
              <w:rPr>
                <w:color w:val="000000"/>
                <w:szCs w:val="21"/>
              </w:rPr>
            </w:pPr>
            <w:r>
              <w:rPr>
                <w:color w:val="000000"/>
                <w:kern w:val="0"/>
                <w:szCs w:val="21"/>
              </w:rPr>
              <w:t>2</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7788542">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7CEA6C">
            <w:pPr>
              <w:widowControl/>
              <w:jc w:val="left"/>
              <w:textAlignment w:val="center"/>
              <w:rPr>
                <w:color w:val="000000"/>
                <w:szCs w:val="21"/>
              </w:rPr>
            </w:pPr>
            <w:r>
              <w:rPr>
                <w:rFonts w:hint="eastAsia"/>
                <w:color w:val="000000"/>
                <w:kern w:val="0"/>
                <w:szCs w:val="21"/>
              </w:rPr>
              <w:t>改造工程材料质量证明文件、进场检验记录。</w:t>
            </w:r>
          </w:p>
        </w:tc>
        <w:tc>
          <w:tcPr>
            <w:tcW w:w="261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17C64DF">
            <w:pPr>
              <w:jc w:val="center"/>
              <w:rPr>
                <w:color w:val="000000"/>
                <w:szCs w:val="21"/>
              </w:rPr>
            </w:pPr>
          </w:p>
        </w:tc>
        <w:tc>
          <w:tcPr>
            <w:tcW w:w="72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DB4C5F9">
            <w:pPr>
              <w:jc w:val="center"/>
              <w:rPr>
                <w:color w:val="000000"/>
                <w:szCs w:val="21"/>
              </w:rPr>
            </w:pPr>
            <w:r>
              <w:rPr>
                <w:rFonts w:hint="eastAsia"/>
                <w:color w:val="000000"/>
                <w:szCs w:val="21"/>
              </w:rPr>
              <w:t>1</w:t>
            </w: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4BB468C">
            <w:pPr>
              <w:rPr>
                <w:color w:val="000000"/>
                <w:szCs w:val="21"/>
              </w:rPr>
            </w:pPr>
          </w:p>
        </w:tc>
      </w:tr>
      <w:tr w14:paraId="09614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D69993A">
            <w:pPr>
              <w:widowControl/>
              <w:jc w:val="center"/>
              <w:textAlignment w:val="center"/>
              <w:rPr>
                <w:color w:val="000000"/>
                <w:szCs w:val="21"/>
              </w:rPr>
            </w:pPr>
            <w:r>
              <w:rPr>
                <w:color w:val="000000"/>
                <w:kern w:val="0"/>
                <w:szCs w:val="21"/>
              </w:rPr>
              <w:t>3</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7B08016">
            <w:pPr>
              <w:widowControl/>
              <w:jc w:val="center"/>
              <w:textAlignment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A74EC72">
            <w:pPr>
              <w:widowControl/>
              <w:jc w:val="left"/>
              <w:textAlignment w:val="center"/>
              <w:rPr>
                <w:color w:val="000000"/>
                <w:szCs w:val="21"/>
              </w:rPr>
            </w:pPr>
            <w:r>
              <w:rPr>
                <w:rFonts w:hint="eastAsia"/>
                <w:color w:val="000000"/>
                <w:kern w:val="0"/>
                <w:szCs w:val="21"/>
              </w:rPr>
              <w:t>改造工程</w:t>
            </w:r>
            <w:r>
              <w:rPr>
                <w:color w:val="000000"/>
                <w:kern w:val="0"/>
                <w:szCs w:val="21"/>
              </w:rPr>
              <w:t>电线、电缆节能复试报告</w:t>
            </w:r>
            <w:r>
              <w:rPr>
                <w:rFonts w:hint="eastAsia"/>
                <w:color w:val="000000"/>
                <w:kern w:val="0"/>
                <w:szCs w:val="21"/>
              </w:rPr>
              <w:t>。</w:t>
            </w:r>
          </w:p>
        </w:tc>
        <w:tc>
          <w:tcPr>
            <w:tcW w:w="2617"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359FAA6">
            <w:pPr>
              <w:jc w:val="center"/>
              <w:rPr>
                <w:color w:val="000000"/>
                <w:szCs w:val="21"/>
              </w:rPr>
            </w:pPr>
          </w:p>
        </w:tc>
        <w:tc>
          <w:tcPr>
            <w:tcW w:w="728"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0BE76AF">
            <w:pPr>
              <w:jc w:val="center"/>
              <w:rPr>
                <w:color w:val="000000"/>
                <w:szCs w:val="21"/>
              </w:rPr>
            </w:pPr>
            <w:r>
              <w:rPr>
                <w:rFonts w:hint="eastAsia"/>
                <w:color w:val="000000"/>
                <w:szCs w:val="21"/>
              </w:rPr>
              <w:t>5</w:t>
            </w:r>
          </w:p>
        </w:tc>
        <w:tc>
          <w:tcPr>
            <w:tcW w:w="742"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A51777E">
            <w:pPr>
              <w:rPr>
                <w:color w:val="000000"/>
                <w:szCs w:val="21"/>
              </w:rPr>
            </w:pPr>
          </w:p>
        </w:tc>
      </w:tr>
      <w:tr w14:paraId="619C1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5"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CFD46E4">
            <w:pPr>
              <w:widowControl/>
              <w:jc w:val="center"/>
              <w:textAlignment w:val="center"/>
              <w:rPr>
                <w:color w:val="000000"/>
                <w:szCs w:val="21"/>
              </w:rPr>
            </w:pPr>
            <w:r>
              <w:rPr>
                <w:color w:val="000000"/>
                <w:kern w:val="0"/>
                <w:szCs w:val="21"/>
              </w:rPr>
              <w:t>4</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2E64FBF">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73C9D9E">
            <w:pPr>
              <w:widowControl/>
              <w:jc w:val="left"/>
              <w:textAlignment w:val="center"/>
              <w:rPr>
                <w:color w:val="000000"/>
                <w:szCs w:val="21"/>
              </w:rPr>
            </w:pPr>
            <w:r>
              <w:rPr>
                <w:color w:val="000000"/>
                <w:kern w:val="0"/>
                <w:szCs w:val="21"/>
              </w:rPr>
              <w:t>防雷接地电阻测试记录</w:t>
            </w:r>
            <w:r>
              <w:rPr>
                <w:rFonts w:hint="eastAsia"/>
                <w:color w:val="000000"/>
                <w:kern w:val="0"/>
                <w:szCs w:val="21"/>
              </w:rPr>
              <w:t>。</w:t>
            </w:r>
          </w:p>
        </w:tc>
        <w:tc>
          <w:tcPr>
            <w:tcW w:w="2617"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E6106FB">
            <w:pPr>
              <w:jc w:val="center"/>
              <w:rPr>
                <w:color w:val="000000"/>
                <w:szCs w:val="21"/>
              </w:rPr>
            </w:pPr>
          </w:p>
        </w:tc>
        <w:tc>
          <w:tcPr>
            <w:tcW w:w="728"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6C5B593">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F699031">
            <w:pPr>
              <w:rPr>
                <w:color w:val="000000"/>
                <w:szCs w:val="21"/>
              </w:rPr>
            </w:pPr>
          </w:p>
        </w:tc>
      </w:tr>
      <w:tr w14:paraId="671F3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96D1E93">
            <w:pPr>
              <w:widowControl/>
              <w:jc w:val="center"/>
              <w:textAlignment w:val="center"/>
              <w:rPr>
                <w:color w:val="000000"/>
                <w:szCs w:val="21"/>
              </w:rPr>
            </w:pPr>
            <w:r>
              <w:rPr>
                <w:color w:val="000000"/>
                <w:kern w:val="0"/>
                <w:szCs w:val="21"/>
              </w:rPr>
              <w:t>5</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E70DBD2">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3C4458B">
            <w:pPr>
              <w:widowControl/>
              <w:jc w:val="left"/>
              <w:textAlignment w:val="center"/>
              <w:rPr>
                <w:color w:val="000000"/>
                <w:szCs w:val="21"/>
              </w:rPr>
            </w:pPr>
            <w:r>
              <w:rPr>
                <w:color w:val="000000"/>
                <w:kern w:val="0"/>
                <w:szCs w:val="21"/>
              </w:rPr>
              <w:t>绝缘电阻测试记录</w:t>
            </w:r>
            <w:r>
              <w:rPr>
                <w:rFonts w:hint="eastAsia"/>
                <w:color w:val="000000"/>
                <w:kern w:val="0"/>
                <w:szCs w:val="21"/>
              </w:rPr>
              <w:t>。</w:t>
            </w:r>
          </w:p>
        </w:tc>
        <w:tc>
          <w:tcPr>
            <w:tcW w:w="2617"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1207F26">
            <w:pPr>
              <w:jc w:val="center"/>
              <w:rPr>
                <w:color w:val="000000"/>
                <w:szCs w:val="21"/>
              </w:rPr>
            </w:pPr>
          </w:p>
        </w:tc>
        <w:tc>
          <w:tcPr>
            <w:tcW w:w="728"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DD3614F">
            <w:pP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0ADD4D4">
            <w:pPr>
              <w:rPr>
                <w:color w:val="000000"/>
                <w:szCs w:val="21"/>
              </w:rPr>
            </w:pPr>
          </w:p>
        </w:tc>
      </w:tr>
      <w:tr w14:paraId="69F6D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0F6B54B">
            <w:pPr>
              <w:widowControl/>
              <w:jc w:val="center"/>
              <w:textAlignment w:val="center"/>
              <w:rPr>
                <w:color w:val="000000"/>
                <w:szCs w:val="21"/>
              </w:rPr>
            </w:pPr>
            <w:r>
              <w:rPr>
                <w:color w:val="000000"/>
                <w:kern w:val="0"/>
                <w:szCs w:val="21"/>
              </w:rPr>
              <w:t>6</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36D18B1">
            <w:pPr>
              <w:widowControl/>
              <w:jc w:val="center"/>
              <w:textAlignment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CA36E1B">
            <w:pPr>
              <w:widowControl/>
              <w:jc w:val="left"/>
              <w:textAlignment w:val="center"/>
              <w:rPr>
                <w:color w:val="000000"/>
                <w:szCs w:val="21"/>
              </w:rPr>
            </w:pPr>
            <w:r>
              <w:rPr>
                <w:color w:val="000000"/>
                <w:kern w:val="0"/>
                <w:szCs w:val="21"/>
              </w:rPr>
              <w:t>接闪带支架拉力测试记录</w:t>
            </w:r>
            <w:r>
              <w:rPr>
                <w:rFonts w:hint="eastAsia"/>
                <w:color w:val="000000"/>
                <w:kern w:val="0"/>
                <w:szCs w:val="21"/>
              </w:rPr>
              <w:t>。</w:t>
            </w:r>
          </w:p>
        </w:tc>
        <w:tc>
          <w:tcPr>
            <w:tcW w:w="2617"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7461B33">
            <w:pPr>
              <w:jc w:val="center"/>
              <w:rPr>
                <w:color w:val="000000"/>
                <w:szCs w:val="21"/>
              </w:rPr>
            </w:pPr>
          </w:p>
        </w:tc>
        <w:tc>
          <w:tcPr>
            <w:tcW w:w="728"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44E47C0">
            <w:pP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B23C0AE">
            <w:pPr>
              <w:rPr>
                <w:color w:val="000000"/>
                <w:szCs w:val="21"/>
              </w:rPr>
            </w:pPr>
          </w:p>
        </w:tc>
      </w:tr>
      <w:tr w14:paraId="5D299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A684A8F">
            <w:pPr>
              <w:widowControl/>
              <w:jc w:val="center"/>
              <w:textAlignment w:val="center"/>
              <w:rPr>
                <w:color w:val="000000"/>
                <w:szCs w:val="21"/>
              </w:rPr>
            </w:pPr>
            <w:r>
              <w:rPr>
                <w:color w:val="000000"/>
                <w:kern w:val="0"/>
                <w:szCs w:val="21"/>
              </w:rPr>
              <w:t>7</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3DCE073">
            <w:pPr>
              <w:widowControl/>
              <w:jc w:val="center"/>
              <w:textAlignment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4771A1C">
            <w:pPr>
              <w:widowControl/>
              <w:jc w:val="left"/>
              <w:textAlignment w:val="center"/>
              <w:rPr>
                <w:color w:val="000000"/>
                <w:szCs w:val="21"/>
              </w:rPr>
            </w:pPr>
            <w:r>
              <w:rPr>
                <w:rFonts w:hint="eastAsia"/>
                <w:color w:val="000000"/>
                <w:szCs w:val="21"/>
              </w:rPr>
              <w:t>防雷装置检测报告。</w:t>
            </w:r>
          </w:p>
        </w:tc>
        <w:tc>
          <w:tcPr>
            <w:tcW w:w="261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402F46C">
            <w:pPr>
              <w:jc w:val="center"/>
              <w:rPr>
                <w:rFonts w:eastAsia="仿宋_GB2312"/>
                <w:color w:val="000000"/>
                <w:szCs w:val="21"/>
              </w:rPr>
            </w:pPr>
          </w:p>
        </w:tc>
        <w:tc>
          <w:tcPr>
            <w:tcW w:w="728"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E8502FD">
            <w:pP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AE5C863">
            <w:pPr>
              <w:rPr>
                <w:color w:val="000000"/>
                <w:szCs w:val="21"/>
              </w:rPr>
            </w:pPr>
          </w:p>
        </w:tc>
      </w:tr>
      <w:tr w14:paraId="72BEF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3"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EEC76A5">
            <w:pPr>
              <w:widowControl/>
              <w:jc w:val="center"/>
              <w:textAlignment w:val="center"/>
              <w:rPr>
                <w:color w:val="000000"/>
                <w:szCs w:val="21"/>
              </w:rPr>
            </w:pPr>
            <w:r>
              <w:rPr>
                <w:color w:val="000000"/>
                <w:kern w:val="0"/>
                <w:szCs w:val="21"/>
              </w:rPr>
              <w:t>8</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CDE2DE5">
            <w:pPr>
              <w:widowControl/>
              <w:jc w:val="center"/>
              <w:textAlignment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B650EB9">
            <w:pPr>
              <w:widowControl/>
              <w:jc w:val="left"/>
              <w:textAlignment w:val="center"/>
              <w:rPr>
                <w:strike/>
                <w:color w:val="000000"/>
                <w:szCs w:val="21"/>
              </w:rPr>
            </w:pPr>
            <w:r>
              <w:rPr>
                <w:color w:val="000000"/>
                <w:kern w:val="0"/>
                <w:szCs w:val="21"/>
              </w:rPr>
              <w:t>电气设备空载试运行记录</w:t>
            </w:r>
            <w:r>
              <w:rPr>
                <w:rFonts w:hint="eastAsia"/>
                <w:color w:val="000000"/>
                <w:kern w:val="0"/>
                <w:szCs w:val="21"/>
              </w:rPr>
              <w:t>。</w:t>
            </w:r>
          </w:p>
        </w:tc>
        <w:tc>
          <w:tcPr>
            <w:tcW w:w="261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96D53A8">
            <w:pPr>
              <w:jc w:val="center"/>
              <w:rPr>
                <w:color w:val="000000"/>
                <w:szCs w:val="21"/>
              </w:rPr>
            </w:pPr>
          </w:p>
        </w:tc>
        <w:tc>
          <w:tcPr>
            <w:tcW w:w="728"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8B0708D">
            <w:pPr>
              <w:jc w:val="center"/>
              <w:rPr>
                <w:color w:val="000000"/>
                <w:szCs w:val="21"/>
              </w:rPr>
            </w:pPr>
            <w:r>
              <w:rPr>
                <w:rFonts w:hint="eastAsia"/>
                <w:color w:val="000000"/>
                <w:szCs w:val="21"/>
              </w:rPr>
              <w:t>5</w:t>
            </w:r>
          </w:p>
        </w:tc>
        <w:tc>
          <w:tcPr>
            <w:tcW w:w="74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5BAA45D">
            <w:pPr>
              <w:rPr>
                <w:color w:val="000000"/>
                <w:szCs w:val="21"/>
              </w:rPr>
            </w:pPr>
          </w:p>
        </w:tc>
      </w:tr>
      <w:tr w14:paraId="1C0B9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A8492F5">
            <w:pPr>
              <w:widowControl/>
              <w:jc w:val="center"/>
              <w:textAlignment w:val="center"/>
              <w:rPr>
                <w:color w:val="000000"/>
                <w:szCs w:val="21"/>
              </w:rPr>
            </w:pPr>
            <w:r>
              <w:rPr>
                <w:color w:val="000000"/>
                <w:kern w:val="0"/>
                <w:szCs w:val="21"/>
              </w:rPr>
              <w:t>9</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F9D028F">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515FBC9">
            <w:pPr>
              <w:widowControl/>
              <w:jc w:val="left"/>
              <w:textAlignment w:val="center"/>
              <w:rPr>
                <w:color w:val="000000"/>
                <w:szCs w:val="21"/>
              </w:rPr>
            </w:pPr>
            <w:r>
              <w:rPr>
                <w:color w:val="000000"/>
                <w:kern w:val="0"/>
                <w:szCs w:val="21"/>
              </w:rPr>
              <w:t>建筑物照明通电试运行记录</w:t>
            </w:r>
            <w:r>
              <w:rPr>
                <w:rFonts w:hint="eastAsia"/>
                <w:color w:val="000000"/>
                <w:kern w:val="0"/>
                <w:szCs w:val="21"/>
              </w:rPr>
              <w:t>。</w:t>
            </w:r>
          </w:p>
        </w:tc>
        <w:tc>
          <w:tcPr>
            <w:tcW w:w="261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E615D1E">
            <w:pPr>
              <w:jc w:val="center"/>
              <w:rPr>
                <w:color w:val="000000"/>
                <w:szCs w:val="21"/>
              </w:rPr>
            </w:pPr>
          </w:p>
        </w:tc>
        <w:tc>
          <w:tcPr>
            <w:tcW w:w="728"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0678F90">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7AF5EEE">
            <w:pPr>
              <w:rPr>
                <w:color w:val="000000"/>
                <w:szCs w:val="21"/>
              </w:rPr>
            </w:pPr>
          </w:p>
        </w:tc>
      </w:tr>
      <w:tr w14:paraId="3B6C3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2E4D526">
            <w:pPr>
              <w:widowControl/>
              <w:jc w:val="center"/>
              <w:textAlignment w:val="center"/>
              <w:rPr>
                <w:color w:val="000000"/>
                <w:szCs w:val="21"/>
              </w:rPr>
            </w:pPr>
            <w:r>
              <w:rPr>
                <w:color w:val="000000"/>
                <w:kern w:val="0"/>
                <w:szCs w:val="21"/>
              </w:rPr>
              <w:t>10</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8E478C0">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DD528C5">
            <w:pPr>
              <w:widowControl/>
              <w:jc w:val="left"/>
              <w:textAlignment w:val="center"/>
              <w:rPr>
                <w:strike/>
                <w:color w:val="000000"/>
                <w:szCs w:val="21"/>
              </w:rPr>
            </w:pPr>
            <w:r>
              <w:rPr>
                <w:rFonts w:hint="eastAsia"/>
                <w:color w:val="000000"/>
                <w:kern w:val="0"/>
                <w:szCs w:val="21"/>
              </w:rPr>
              <w:t>改造工程</w:t>
            </w:r>
            <w:r>
              <w:rPr>
                <w:color w:val="000000"/>
                <w:kern w:val="0"/>
                <w:szCs w:val="21"/>
              </w:rPr>
              <w:t>大型灯具承载试验记录</w:t>
            </w:r>
            <w:r>
              <w:rPr>
                <w:rFonts w:hint="eastAsia"/>
                <w:color w:val="000000"/>
                <w:kern w:val="0"/>
                <w:szCs w:val="21"/>
              </w:rPr>
              <w:t>。</w:t>
            </w:r>
          </w:p>
        </w:tc>
        <w:tc>
          <w:tcPr>
            <w:tcW w:w="2617"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014D177">
            <w:pPr>
              <w:rPr>
                <w:color w:val="000000"/>
                <w:szCs w:val="21"/>
              </w:rPr>
            </w:pPr>
          </w:p>
        </w:tc>
        <w:tc>
          <w:tcPr>
            <w:tcW w:w="728"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11BAA90">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83CEF8D">
            <w:pPr>
              <w:rPr>
                <w:color w:val="000000"/>
                <w:szCs w:val="21"/>
              </w:rPr>
            </w:pPr>
          </w:p>
        </w:tc>
      </w:tr>
      <w:tr w14:paraId="0BF32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5"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4805554">
            <w:pPr>
              <w:widowControl/>
              <w:jc w:val="center"/>
              <w:textAlignment w:val="center"/>
              <w:rPr>
                <w:color w:val="000000"/>
                <w:szCs w:val="21"/>
              </w:rPr>
            </w:pPr>
            <w:r>
              <w:rPr>
                <w:color w:val="000000"/>
                <w:kern w:val="0"/>
                <w:szCs w:val="21"/>
              </w:rPr>
              <w:t>11</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8551ED6">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603D472">
            <w:pPr>
              <w:widowControl/>
              <w:jc w:val="left"/>
              <w:textAlignment w:val="center"/>
              <w:rPr>
                <w:color w:val="000000"/>
                <w:szCs w:val="21"/>
              </w:rPr>
            </w:pPr>
            <w:r>
              <w:rPr>
                <w:rFonts w:hint="eastAsia"/>
                <w:color w:val="000000"/>
                <w:kern w:val="0"/>
                <w:szCs w:val="21"/>
              </w:rPr>
              <w:t>改造工程</w:t>
            </w:r>
            <w:r>
              <w:rPr>
                <w:color w:val="000000"/>
                <w:kern w:val="0"/>
                <w:szCs w:val="21"/>
              </w:rPr>
              <w:t>漏电开关（RCD）模拟试验记录</w:t>
            </w:r>
            <w:r>
              <w:rPr>
                <w:rFonts w:hint="eastAsia"/>
                <w:color w:val="000000"/>
                <w:kern w:val="0"/>
                <w:szCs w:val="21"/>
              </w:rPr>
              <w:t>。</w:t>
            </w:r>
          </w:p>
        </w:tc>
        <w:tc>
          <w:tcPr>
            <w:tcW w:w="261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45F62E8">
            <w:pPr>
              <w:jc w:val="center"/>
              <w:rPr>
                <w:color w:val="000000"/>
                <w:szCs w:val="21"/>
              </w:rPr>
            </w:pPr>
          </w:p>
        </w:tc>
        <w:tc>
          <w:tcPr>
            <w:tcW w:w="728"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25B5060">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A6C10F0">
            <w:pPr>
              <w:rPr>
                <w:color w:val="000000"/>
                <w:szCs w:val="21"/>
              </w:rPr>
            </w:pPr>
          </w:p>
        </w:tc>
      </w:tr>
      <w:tr w14:paraId="389E9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4FA5DE2">
            <w:pPr>
              <w:widowControl/>
              <w:jc w:val="center"/>
              <w:textAlignment w:val="center"/>
              <w:rPr>
                <w:color w:val="000000"/>
                <w:szCs w:val="21"/>
              </w:rPr>
            </w:pPr>
            <w:r>
              <w:rPr>
                <w:color w:val="000000"/>
                <w:kern w:val="0"/>
                <w:szCs w:val="21"/>
              </w:rPr>
              <w:t>12</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3311DFD">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E9D0BA0">
            <w:pPr>
              <w:widowControl/>
              <w:jc w:val="left"/>
              <w:textAlignment w:val="center"/>
              <w:rPr>
                <w:strike/>
                <w:color w:val="000000"/>
                <w:szCs w:val="21"/>
              </w:rPr>
            </w:pPr>
            <w:r>
              <w:rPr>
                <w:rFonts w:hint="eastAsia"/>
                <w:color w:val="000000"/>
                <w:kern w:val="0"/>
                <w:szCs w:val="21"/>
              </w:rPr>
              <w:t>改造工程电气器具通电安全检查记录。</w:t>
            </w:r>
          </w:p>
        </w:tc>
        <w:tc>
          <w:tcPr>
            <w:tcW w:w="261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3AE3782">
            <w:pPr>
              <w:jc w:val="center"/>
              <w:rPr>
                <w:color w:val="000000"/>
                <w:szCs w:val="21"/>
              </w:rPr>
            </w:pPr>
          </w:p>
        </w:tc>
        <w:tc>
          <w:tcPr>
            <w:tcW w:w="728"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C9A2029">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9EED8EA">
            <w:pPr>
              <w:rPr>
                <w:color w:val="000000"/>
                <w:szCs w:val="21"/>
              </w:rPr>
            </w:pPr>
          </w:p>
        </w:tc>
      </w:tr>
      <w:tr w14:paraId="5E3F0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CB25EB2">
            <w:pPr>
              <w:widowControl/>
              <w:jc w:val="center"/>
              <w:textAlignment w:val="center"/>
              <w:rPr>
                <w:color w:val="000000"/>
                <w:kern w:val="0"/>
                <w:szCs w:val="21"/>
              </w:rPr>
            </w:pPr>
            <w:r>
              <w:rPr>
                <w:color w:val="000000"/>
                <w:kern w:val="0"/>
                <w:szCs w:val="21"/>
              </w:rPr>
              <w:t>13</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4F5D58D">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2EB1FD8">
            <w:pPr>
              <w:widowControl/>
              <w:jc w:val="left"/>
              <w:textAlignment w:val="center"/>
              <w:rPr>
                <w:color w:val="000000"/>
                <w:szCs w:val="21"/>
              </w:rPr>
            </w:pPr>
            <w:r>
              <w:rPr>
                <w:rFonts w:hint="eastAsia"/>
                <w:color w:val="000000"/>
                <w:kern w:val="0"/>
                <w:szCs w:val="21"/>
              </w:rPr>
              <w:t>改造工程</w:t>
            </w:r>
            <w:r>
              <w:rPr>
                <w:color w:val="000000"/>
                <w:kern w:val="0"/>
                <w:szCs w:val="21"/>
              </w:rPr>
              <w:t>双电源互投试验记录</w:t>
            </w:r>
            <w:r>
              <w:rPr>
                <w:rFonts w:hint="eastAsia"/>
                <w:color w:val="000000"/>
                <w:kern w:val="0"/>
                <w:szCs w:val="21"/>
              </w:rPr>
              <w:t>。</w:t>
            </w:r>
          </w:p>
        </w:tc>
        <w:tc>
          <w:tcPr>
            <w:tcW w:w="261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0FE4B13">
            <w:pPr>
              <w:jc w:val="center"/>
              <w:rPr>
                <w:color w:val="000000"/>
                <w:szCs w:val="21"/>
              </w:rPr>
            </w:pPr>
          </w:p>
        </w:tc>
        <w:tc>
          <w:tcPr>
            <w:tcW w:w="728"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21D73AB">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7C0ACC4">
            <w:pPr>
              <w:rPr>
                <w:color w:val="000000"/>
                <w:szCs w:val="21"/>
              </w:rPr>
            </w:pPr>
          </w:p>
        </w:tc>
      </w:tr>
      <w:tr w14:paraId="46EF2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7"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09CDFE3">
            <w:pPr>
              <w:widowControl/>
              <w:jc w:val="center"/>
              <w:textAlignment w:val="center"/>
              <w:rPr>
                <w:color w:val="000000"/>
                <w:kern w:val="0"/>
                <w:szCs w:val="21"/>
              </w:rPr>
            </w:pPr>
            <w:r>
              <w:rPr>
                <w:color w:val="000000"/>
                <w:kern w:val="0"/>
                <w:szCs w:val="21"/>
              </w:rPr>
              <w:t>14</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207BFD2">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D03A220">
            <w:pPr>
              <w:widowControl/>
              <w:jc w:val="left"/>
              <w:textAlignment w:val="center"/>
              <w:rPr>
                <w:color w:val="000000"/>
                <w:szCs w:val="21"/>
              </w:rPr>
            </w:pPr>
            <w:r>
              <w:rPr>
                <w:rFonts w:hint="eastAsia"/>
                <w:color w:val="000000"/>
                <w:kern w:val="0"/>
                <w:szCs w:val="21"/>
              </w:rPr>
              <w:t>改造工程</w:t>
            </w:r>
            <w:r>
              <w:rPr>
                <w:color w:val="000000"/>
                <w:kern w:val="0"/>
                <w:szCs w:val="21"/>
              </w:rPr>
              <w:t>隐蔽验收记录</w:t>
            </w:r>
            <w:r>
              <w:rPr>
                <w:rFonts w:hint="eastAsia"/>
                <w:color w:val="000000"/>
                <w:kern w:val="0"/>
                <w:szCs w:val="21"/>
              </w:rPr>
              <w:t>。</w:t>
            </w:r>
          </w:p>
        </w:tc>
        <w:tc>
          <w:tcPr>
            <w:tcW w:w="261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972B229">
            <w:pPr>
              <w:jc w:val="center"/>
              <w:rPr>
                <w:color w:val="000000"/>
                <w:szCs w:val="21"/>
              </w:rPr>
            </w:pPr>
          </w:p>
        </w:tc>
        <w:tc>
          <w:tcPr>
            <w:tcW w:w="72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872B56D">
            <w:pPr>
              <w:jc w:val="center"/>
              <w:rPr>
                <w:color w:val="000000"/>
                <w:szCs w:val="21"/>
              </w:rPr>
            </w:pPr>
            <w:r>
              <w:rPr>
                <w:rFonts w:hint="eastAsia"/>
                <w:color w:val="000000"/>
                <w:szCs w:val="21"/>
              </w:rPr>
              <w:t>1</w:t>
            </w: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42403A2">
            <w:pPr>
              <w:rPr>
                <w:color w:val="000000"/>
                <w:szCs w:val="21"/>
              </w:rPr>
            </w:pPr>
          </w:p>
        </w:tc>
      </w:tr>
      <w:tr w14:paraId="78AB8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3"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F07A1AA">
            <w:pPr>
              <w:widowControl/>
              <w:jc w:val="center"/>
              <w:textAlignment w:val="center"/>
              <w:rPr>
                <w:color w:val="000000"/>
                <w:kern w:val="0"/>
                <w:szCs w:val="21"/>
              </w:rPr>
            </w:pPr>
            <w:r>
              <w:rPr>
                <w:color w:val="000000"/>
                <w:kern w:val="0"/>
                <w:szCs w:val="21"/>
              </w:rPr>
              <w:t>15</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4C70E60">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C287FAC">
            <w:pPr>
              <w:widowControl/>
              <w:jc w:val="left"/>
              <w:textAlignment w:val="center"/>
              <w:rPr>
                <w:color w:val="000000"/>
                <w:szCs w:val="21"/>
              </w:rPr>
            </w:pPr>
            <w:r>
              <w:rPr>
                <w:rFonts w:hint="eastAsia"/>
                <w:color w:val="000000"/>
              </w:rPr>
              <w:t>检验批、分项、分部工程验收记录。</w:t>
            </w:r>
          </w:p>
        </w:tc>
        <w:tc>
          <w:tcPr>
            <w:tcW w:w="261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FB13988">
            <w:pPr>
              <w:jc w:val="center"/>
              <w:rPr>
                <w:color w:val="000000"/>
                <w:szCs w:val="21"/>
              </w:rPr>
            </w:pPr>
          </w:p>
        </w:tc>
        <w:tc>
          <w:tcPr>
            <w:tcW w:w="72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E786069">
            <w:pPr>
              <w:jc w:val="center"/>
              <w:rPr>
                <w:color w:val="000000"/>
                <w:szCs w:val="21"/>
              </w:rPr>
            </w:pPr>
            <w:r>
              <w:rPr>
                <w:rFonts w:hint="eastAsia"/>
                <w:color w:val="000000"/>
                <w:szCs w:val="21"/>
              </w:rPr>
              <w:t>1</w:t>
            </w: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DF47F44">
            <w:pPr>
              <w:rPr>
                <w:color w:val="000000"/>
                <w:szCs w:val="21"/>
              </w:rPr>
            </w:pPr>
          </w:p>
        </w:tc>
      </w:tr>
      <w:tr w14:paraId="505C4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9"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7C6257B">
            <w:pPr>
              <w:widowControl/>
              <w:jc w:val="center"/>
              <w:textAlignment w:val="center"/>
              <w:rPr>
                <w:color w:val="000000"/>
                <w:kern w:val="0"/>
                <w:szCs w:val="21"/>
              </w:rPr>
            </w:pPr>
            <w:r>
              <w:rPr>
                <w:color w:val="000000"/>
                <w:kern w:val="0"/>
                <w:szCs w:val="21"/>
              </w:rPr>
              <w:t>16</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9C15563">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3732F3B">
            <w:pPr>
              <w:widowControl/>
              <w:jc w:val="left"/>
              <w:textAlignment w:val="center"/>
              <w:rPr>
                <w:color w:val="000000"/>
                <w:szCs w:val="21"/>
              </w:rPr>
            </w:pPr>
            <w:r>
              <w:rPr>
                <w:color w:val="000000"/>
                <w:kern w:val="0"/>
                <w:szCs w:val="21"/>
              </w:rPr>
              <w:t>竣工图、施工日志</w:t>
            </w:r>
            <w:r>
              <w:rPr>
                <w:rFonts w:hint="eastAsia"/>
                <w:color w:val="000000"/>
                <w:kern w:val="0"/>
                <w:szCs w:val="21"/>
              </w:rPr>
              <w:t>。</w:t>
            </w:r>
          </w:p>
        </w:tc>
        <w:tc>
          <w:tcPr>
            <w:tcW w:w="261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0F24FD3">
            <w:pPr>
              <w:jc w:val="center"/>
              <w:rPr>
                <w:color w:val="000000"/>
                <w:szCs w:val="21"/>
              </w:rPr>
            </w:pPr>
          </w:p>
        </w:tc>
        <w:tc>
          <w:tcPr>
            <w:tcW w:w="72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113E3EF">
            <w:pPr>
              <w:jc w:val="center"/>
              <w:rPr>
                <w:color w:val="000000"/>
                <w:szCs w:val="21"/>
              </w:rPr>
            </w:pPr>
            <w:r>
              <w:rPr>
                <w:rFonts w:hint="eastAsia"/>
                <w:color w:val="000000"/>
                <w:szCs w:val="21"/>
              </w:rPr>
              <w:t>1</w:t>
            </w: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A1E9E5B">
            <w:pPr>
              <w:rPr>
                <w:color w:val="000000"/>
                <w:szCs w:val="21"/>
              </w:rPr>
            </w:pPr>
          </w:p>
        </w:tc>
      </w:tr>
    </w:tbl>
    <w:p w14:paraId="643EF8FE">
      <w:pPr>
        <w:widowControl/>
        <w:suppressAutoHyphens w:val="0"/>
        <w:jc w:val="left"/>
        <w:rPr>
          <w:color w:val="000000"/>
        </w:rPr>
      </w:pPr>
    </w:p>
    <w:p w14:paraId="74DDCC31">
      <w:pPr>
        <w:widowControl/>
        <w:jc w:val="center"/>
        <w:textAlignment w:val="center"/>
        <w:rPr>
          <w:rFonts w:ascii="黑体" w:hAnsi="黑体" w:eastAsia="黑体" w:cs="宋体"/>
          <w:color w:val="000000"/>
          <w:kern w:val="0"/>
          <w:sz w:val="24"/>
          <w:szCs w:val="24"/>
        </w:rPr>
      </w:pPr>
      <w:r>
        <w:rPr>
          <w:rFonts w:ascii="黑体" w:hAnsi="黑体" w:eastAsia="黑体" w:cs="宋体"/>
          <w:color w:val="000000"/>
          <w:kern w:val="0"/>
          <w:sz w:val="24"/>
          <w:szCs w:val="24"/>
        </w:rPr>
        <w:br w:type="page"/>
      </w:r>
      <w:r>
        <w:rPr>
          <w:rFonts w:ascii="黑体" w:hAnsi="黑体" w:eastAsia="黑体" w:cs="宋体"/>
          <w:color w:val="000000"/>
          <w:kern w:val="0"/>
          <w:sz w:val="24"/>
          <w:szCs w:val="24"/>
        </w:rPr>
        <w:t>续表H.0.2</w:t>
      </w:r>
    </w:p>
    <w:p w14:paraId="489DCFFA">
      <w:pPr>
        <w:widowControl/>
        <w:spacing w:before="156" w:beforeLines="50" w:after="156" w:afterLines="50"/>
        <w:jc w:val="left"/>
        <w:textAlignment w:val="center"/>
        <w:rPr>
          <w:rFonts w:ascii="宋体" w:hAnsi="宋体"/>
          <w:color w:val="000000"/>
          <w:kern w:val="0"/>
          <w:sz w:val="24"/>
          <w:szCs w:val="24"/>
        </w:rPr>
      </w:pPr>
      <w:r>
        <w:rPr>
          <w:rFonts w:ascii="宋体" w:hAnsi="宋体"/>
          <w:color w:val="000000"/>
          <w:kern w:val="0"/>
          <w:sz w:val="24"/>
          <w:szCs w:val="24"/>
        </w:rPr>
        <w:t>工程名称：                             施工单位</w:t>
      </w:r>
      <w:r>
        <w:rPr>
          <w:rFonts w:hint="eastAsia" w:ascii="宋体" w:hAnsi="宋体"/>
          <w:color w:val="000000"/>
          <w:kern w:val="0"/>
          <w:sz w:val="24"/>
          <w:szCs w:val="24"/>
        </w:rPr>
        <w:t>：</w:t>
      </w:r>
    </w:p>
    <w:tbl>
      <w:tblPr>
        <w:tblStyle w:val="25"/>
        <w:tblW w:w="9407" w:type="dxa"/>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0"/>
        <w:gridCol w:w="392"/>
        <w:gridCol w:w="4368"/>
        <w:gridCol w:w="2603"/>
        <w:gridCol w:w="742"/>
        <w:gridCol w:w="742"/>
      </w:tblGrid>
      <w:tr w14:paraId="2CFA3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CAB0FC0">
            <w:pPr>
              <w:widowControl/>
              <w:jc w:val="center"/>
              <w:textAlignment w:val="center"/>
              <w:rPr>
                <w:color w:val="000000"/>
                <w:szCs w:val="21"/>
              </w:rPr>
            </w:pPr>
            <w:r>
              <w:rPr>
                <w:color w:val="000000"/>
                <w:kern w:val="0"/>
                <w:szCs w:val="21"/>
              </w:rPr>
              <w:t>序号</w:t>
            </w:r>
          </w:p>
        </w:tc>
        <w:tc>
          <w:tcPr>
            <w:tcW w:w="4760" w:type="dxa"/>
            <w:gridSpan w:val="2"/>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B68FE9F">
            <w:pPr>
              <w:widowControl/>
              <w:jc w:val="center"/>
              <w:textAlignment w:val="center"/>
              <w:rPr>
                <w:color w:val="000000"/>
                <w:szCs w:val="21"/>
              </w:rPr>
            </w:pPr>
            <w:r>
              <w:rPr>
                <w:color w:val="000000"/>
                <w:kern w:val="0"/>
                <w:szCs w:val="21"/>
              </w:rPr>
              <w:t>检查项目</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74C02CC">
            <w:pPr>
              <w:widowControl/>
              <w:jc w:val="center"/>
              <w:textAlignment w:val="center"/>
              <w:rPr>
                <w:color w:val="000000"/>
                <w:szCs w:val="21"/>
              </w:rPr>
            </w:pPr>
            <w:r>
              <w:rPr>
                <w:color w:val="000000"/>
                <w:kern w:val="0"/>
                <w:szCs w:val="21"/>
              </w:rPr>
              <w:t>检查情况</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0D66334">
            <w:pPr>
              <w:widowControl/>
              <w:jc w:val="center"/>
              <w:textAlignment w:val="center"/>
              <w:rPr>
                <w:color w:val="000000"/>
                <w:kern w:val="0"/>
                <w:szCs w:val="21"/>
              </w:rPr>
            </w:pPr>
            <w:r>
              <w:rPr>
                <w:color w:val="000000"/>
                <w:kern w:val="0"/>
                <w:szCs w:val="21"/>
              </w:rPr>
              <w:t>应得分</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73EDEBF">
            <w:pPr>
              <w:widowControl/>
              <w:jc w:val="center"/>
              <w:textAlignment w:val="center"/>
              <w:rPr>
                <w:color w:val="000000"/>
                <w:szCs w:val="21"/>
              </w:rPr>
            </w:pPr>
            <w:r>
              <w:rPr>
                <w:color w:val="000000"/>
                <w:kern w:val="0"/>
                <w:szCs w:val="21"/>
              </w:rPr>
              <w:t>实得分</w:t>
            </w:r>
          </w:p>
        </w:tc>
      </w:tr>
      <w:tr w14:paraId="0C920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E097708">
            <w:pPr>
              <w:widowControl/>
              <w:jc w:val="center"/>
              <w:textAlignment w:val="center"/>
              <w:rPr>
                <w:color w:val="000000"/>
                <w:szCs w:val="21"/>
              </w:rPr>
            </w:pPr>
            <w:r>
              <w:rPr>
                <w:color w:val="000000"/>
                <w:kern w:val="0"/>
                <w:szCs w:val="21"/>
              </w:rPr>
              <w:t>17</w:t>
            </w:r>
          </w:p>
        </w:tc>
        <w:tc>
          <w:tcPr>
            <w:tcW w:w="39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4D25143">
            <w:pPr>
              <w:widowControl/>
              <w:jc w:val="center"/>
              <w:textAlignment w:val="center"/>
              <w:rPr>
                <w:color w:val="000000"/>
                <w:kern w:val="0"/>
                <w:szCs w:val="21"/>
              </w:rPr>
            </w:pPr>
            <w:r>
              <w:rPr>
                <w:color w:val="000000"/>
                <w:kern w:val="0"/>
                <w:szCs w:val="21"/>
              </w:rPr>
              <w:t>智能建筑</w:t>
            </w: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4660F35">
            <w:pPr>
              <w:widowControl/>
              <w:jc w:val="left"/>
              <w:textAlignment w:val="center"/>
              <w:rPr>
                <w:color w:val="000000"/>
                <w:szCs w:val="21"/>
              </w:rPr>
            </w:pPr>
            <w:r>
              <w:rPr>
                <w:color w:val="000000"/>
                <w:kern w:val="0"/>
                <w:szCs w:val="21"/>
              </w:rPr>
              <w:t>主要施工方案编制及交底</w:t>
            </w:r>
            <w:r>
              <w:rPr>
                <w:rFonts w:hint="eastAsia"/>
                <w:color w:val="000000"/>
                <w:kern w:val="0"/>
                <w:szCs w:val="21"/>
              </w:rPr>
              <w:t>。</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57CE1EB">
            <w:pPr>
              <w:jc w:val="center"/>
              <w:rPr>
                <w:color w:val="000000"/>
                <w:szCs w:val="21"/>
              </w:rPr>
            </w:pP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5D9A8A2">
            <w:pPr>
              <w:jc w:val="center"/>
              <w:rPr>
                <w:color w:val="000000"/>
                <w:szCs w:val="21"/>
              </w:rPr>
            </w:pPr>
            <w:r>
              <w:rPr>
                <w:rFonts w:hint="eastAsia"/>
                <w:color w:val="000000"/>
                <w:szCs w:val="21"/>
              </w:rPr>
              <w:t>1</w:t>
            </w: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DCDEE49">
            <w:pPr>
              <w:rPr>
                <w:color w:val="000000"/>
                <w:szCs w:val="21"/>
              </w:rPr>
            </w:pPr>
          </w:p>
        </w:tc>
      </w:tr>
      <w:tr w14:paraId="47776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5D0DD8D">
            <w:pPr>
              <w:widowControl/>
              <w:jc w:val="center"/>
              <w:textAlignment w:val="center"/>
              <w:rPr>
                <w:color w:val="000000"/>
                <w:szCs w:val="21"/>
              </w:rPr>
            </w:pPr>
            <w:r>
              <w:rPr>
                <w:color w:val="000000"/>
                <w:kern w:val="0"/>
                <w:szCs w:val="21"/>
              </w:rPr>
              <w:t>18</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D30DDE3">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3C011A">
            <w:pPr>
              <w:widowControl/>
              <w:jc w:val="left"/>
              <w:textAlignment w:val="center"/>
              <w:rPr>
                <w:color w:val="000000"/>
                <w:szCs w:val="21"/>
              </w:rPr>
            </w:pPr>
            <w:r>
              <w:rPr>
                <w:color w:val="000000"/>
                <w:kern w:val="0"/>
                <w:szCs w:val="21"/>
              </w:rPr>
              <w:t>设备及材料合格证、性能检测报告、出厂检验报告、见证取样复试报告</w:t>
            </w:r>
            <w:r>
              <w:rPr>
                <w:rFonts w:hint="eastAsia"/>
                <w:color w:val="000000"/>
                <w:kern w:val="0"/>
                <w:szCs w:val="21"/>
              </w:rPr>
              <w:t>。</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E21898F">
            <w:pPr>
              <w:jc w:val="center"/>
              <w:rPr>
                <w:color w:val="000000"/>
                <w:szCs w:val="21"/>
              </w:rPr>
            </w:pP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0A4007F">
            <w:pPr>
              <w:jc w:val="center"/>
              <w:rPr>
                <w:color w:val="000000"/>
                <w:szCs w:val="21"/>
              </w:rPr>
            </w:pPr>
            <w:r>
              <w:rPr>
                <w:rFonts w:hint="eastAsia"/>
                <w:color w:val="000000"/>
                <w:szCs w:val="21"/>
              </w:rPr>
              <w:t>1</w:t>
            </w: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E7750E9">
            <w:pPr>
              <w:rPr>
                <w:color w:val="000000"/>
                <w:szCs w:val="21"/>
              </w:rPr>
            </w:pPr>
          </w:p>
        </w:tc>
      </w:tr>
      <w:tr w14:paraId="53196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5B54AE4">
            <w:pPr>
              <w:widowControl/>
              <w:jc w:val="center"/>
              <w:textAlignment w:val="center"/>
              <w:rPr>
                <w:color w:val="000000"/>
                <w:szCs w:val="21"/>
              </w:rPr>
            </w:pPr>
            <w:r>
              <w:rPr>
                <w:color w:val="000000"/>
                <w:kern w:val="0"/>
                <w:szCs w:val="21"/>
              </w:rPr>
              <w:t>19</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8717EE1">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D85812A">
            <w:pPr>
              <w:widowControl/>
              <w:jc w:val="left"/>
              <w:textAlignment w:val="center"/>
              <w:rPr>
                <w:color w:val="000000"/>
                <w:szCs w:val="21"/>
              </w:rPr>
            </w:pPr>
            <w:r>
              <w:rPr>
                <w:color w:val="000000"/>
                <w:kern w:val="0"/>
                <w:szCs w:val="21"/>
              </w:rPr>
              <w:t>绝缘电阻测试记录</w:t>
            </w:r>
            <w:r>
              <w:rPr>
                <w:rFonts w:hint="eastAsia"/>
                <w:color w:val="000000"/>
                <w:kern w:val="0"/>
                <w:szCs w:val="21"/>
              </w:rPr>
              <w:t>。</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E6CFCD0">
            <w:pPr>
              <w:jc w:val="center"/>
              <w:rPr>
                <w:color w:val="000000"/>
                <w:szCs w:val="21"/>
              </w:rPr>
            </w:pPr>
          </w:p>
        </w:tc>
        <w:tc>
          <w:tcPr>
            <w:tcW w:w="74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C48DEB2">
            <w:pPr>
              <w:jc w:val="center"/>
              <w:rPr>
                <w:color w:val="000000"/>
                <w:szCs w:val="21"/>
              </w:rPr>
            </w:pPr>
            <w:r>
              <w:rPr>
                <w:rFonts w:hint="eastAsia"/>
                <w:color w:val="000000"/>
                <w:szCs w:val="21"/>
              </w:rPr>
              <w:t>2</w:t>
            </w:r>
          </w:p>
        </w:tc>
        <w:tc>
          <w:tcPr>
            <w:tcW w:w="74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420A9CB">
            <w:pPr>
              <w:rPr>
                <w:color w:val="000000"/>
                <w:szCs w:val="21"/>
              </w:rPr>
            </w:pPr>
          </w:p>
        </w:tc>
      </w:tr>
      <w:tr w14:paraId="3601F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5116319">
            <w:pPr>
              <w:widowControl/>
              <w:jc w:val="center"/>
              <w:textAlignment w:val="center"/>
              <w:rPr>
                <w:color w:val="000000"/>
                <w:szCs w:val="21"/>
              </w:rPr>
            </w:pPr>
            <w:r>
              <w:rPr>
                <w:color w:val="000000"/>
                <w:kern w:val="0"/>
                <w:szCs w:val="21"/>
              </w:rPr>
              <w:t>20</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B3BE28">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655387B">
            <w:pPr>
              <w:widowControl/>
              <w:jc w:val="left"/>
              <w:textAlignment w:val="center"/>
              <w:rPr>
                <w:color w:val="000000"/>
                <w:szCs w:val="21"/>
              </w:rPr>
            </w:pPr>
            <w:r>
              <w:rPr>
                <w:color w:val="000000"/>
                <w:kern w:val="0"/>
                <w:szCs w:val="21"/>
              </w:rPr>
              <w:t>信息网络、有线电视及卫星电视接收、公共广播、会议系统试运行记录</w:t>
            </w:r>
            <w:r>
              <w:rPr>
                <w:rFonts w:hint="eastAsia"/>
                <w:color w:val="000000"/>
                <w:kern w:val="0"/>
                <w:szCs w:val="21"/>
              </w:rPr>
              <w:t>。</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E339FE8">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4DCEE56">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AE70715">
            <w:pPr>
              <w:rPr>
                <w:color w:val="000000"/>
                <w:szCs w:val="21"/>
              </w:rPr>
            </w:pPr>
          </w:p>
        </w:tc>
      </w:tr>
      <w:tr w14:paraId="1AA54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9839FD4">
            <w:pPr>
              <w:widowControl/>
              <w:jc w:val="center"/>
              <w:textAlignment w:val="center"/>
              <w:rPr>
                <w:color w:val="000000"/>
                <w:szCs w:val="21"/>
              </w:rPr>
            </w:pPr>
            <w:r>
              <w:rPr>
                <w:color w:val="000000"/>
                <w:kern w:val="0"/>
                <w:szCs w:val="21"/>
              </w:rPr>
              <w:t>21</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CD05253">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6A45396">
            <w:pPr>
              <w:widowControl/>
              <w:jc w:val="left"/>
              <w:textAlignment w:val="center"/>
              <w:rPr>
                <w:color w:val="000000"/>
                <w:szCs w:val="21"/>
              </w:rPr>
            </w:pPr>
            <w:r>
              <w:rPr>
                <w:color w:val="000000"/>
                <w:kern w:val="0"/>
                <w:szCs w:val="21"/>
              </w:rPr>
              <w:t>建筑设备监控、安全技术防范、火灾自动报警系统试运行记录</w:t>
            </w:r>
            <w:r>
              <w:rPr>
                <w:rFonts w:hint="eastAsia"/>
                <w:color w:val="000000"/>
                <w:kern w:val="0"/>
                <w:szCs w:val="21"/>
              </w:rPr>
              <w:t>。</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1D81BDA">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3C8A79E">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19B41DC">
            <w:pPr>
              <w:rPr>
                <w:color w:val="000000"/>
                <w:szCs w:val="21"/>
              </w:rPr>
            </w:pPr>
          </w:p>
        </w:tc>
      </w:tr>
      <w:tr w14:paraId="64CF0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BB23AA5">
            <w:pPr>
              <w:widowControl/>
              <w:jc w:val="center"/>
              <w:textAlignment w:val="center"/>
              <w:rPr>
                <w:color w:val="000000"/>
                <w:szCs w:val="21"/>
              </w:rPr>
            </w:pPr>
            <w:r>
              <w:rPr>
                <w:color w:val="000000"/>
                <w:kern w:val="0"/>
                <w:szCs w:val="21"/>
              </w:rPr>
              <w:t>22</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BEDCDCE">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873C414">
            <w:pPr>
              <w:widowControl/>
              <w:jc w:val="left"/>
              <w:textAlignment w:val="center"/>
              <w:rPr>
                <w:color w:val="000000"/>
                <w:szCs w:val="21"/>
              </w:rPr>
            </w:pPr>
            <w:r>
              <w:rPr>
                <w:color w:val="000000"/>
                <w:kern w:val="0"/>
                <w:szCs w:val="21"/>
              </w:rPr>
              <w:t>综合布线试运行记录</w:t>
            </w:r>
            <w:r>
              <w:rPr>
                <w:rFonts w:hint="eastAsia"/>
                <w:color w:val="000000"/>
                <w:kern w:val="0"/>
                <w:szCs w:val="21"/>
              </w:rPr>
              <w:t>。</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0A15B6E">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FD0B51A">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01A836F">
            <w:pPr>
              <w:rPr>
                <w:color w:val="000000"/>
                <w:szCs w:val="21"/>
              </w:rPr>
            </w:pPr>
          </w:p>
        </w:tc>
      </w:tr>
      <w:tr w14:paraId="68373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AD0CA25">
            <w:pPr>
              <w:widowControl/>
              <w:jc w:val="center"/>
              <w:textAlignment w:val="center"/>
              <w:rPr>
                <w:color w:val="000000"/>
                <w:szCs w:val="21"/>
              </w:rPr>
            </w:pPr>
            <w:r>
              <w:rPr>
                <w:color w:val="000000"/>
                <w:kern w:val="0"/>
                <w:szCs w:val="21"/>
              </w:rPr>
              <w:t>23</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DE2A80E">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F9AC288">
            <w:pPr>
              <w:widowControl/>
              <w:jc w:val="left"/>
              <w:textAlignment w:val="center"/>
              <w:rPr>
                <w:color w:val="000000"/>
                <w:szCs w:val="21"/>
              </w:rPr>
            </w:pPr>
            <w:r>
              <w:rPr>
                <w:color w:val="000000"/>
                <w:kern w:val="0"/>
                <w:szCs w:val="21"/>
              </w:rPr>
              <w:t>分部验收记录</w:t>
            </w:r>
            <w:r>
              <w:rPr>
                <w:rFonts w:hint="eastAsia"/>
                <w:color w:val="000000"/>
                <w:kern w:val="0"/>
                <w:szCs w:val="21"/>
              </w:rPr>
              <w:t>。</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887DC99">
            <w:pPr>
              <w:jc w:val="center"/>
              <w:rPr>
                <w:color w:val="000000"/>
                <w:szCs w:val="21"/>
              </w:rPr>
            </w:pP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A940D51">
            <w:pPr>
              <w:jc w:val="center"/>
              <w:rPr>
                <w:color w:val="000000"/>
                <w:szCs w:val="21"/>
              </w:rPr>
            </w:pPr>
            <w:r>
              <w:rPr>
                <w:rFonts w:hint="eastAsia"/>
                <w:color w:val="000000"/>
                <w:szCs w:val="21"/>
              </w:rPr>
              <w:t>1</w:t>
            </w: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98AC2CD">
            <w:pPr>
              <w:rPr>
                <w:color w:val="000000"/>
                <w:szCs w:val="21"/>
              </w:rPr>
            </w:pPr>
          </w:p>
        </w:tc>
      </w:tr>
      <w:tr w14:paraId="107C2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30972CB">
            <w:pPr>
              <w:widowControl/>
              <w:jc w:val="center"/>
              <w:textAlignment w:val="center"/>
              <w:rPr>
                <w:color w:val="000000"/>
                <w:szCs w:val="21"/>
              </w:rPr>
            </w:pPr>
            <w:r>
              <w:rPr>
                <w:color w:val="000000"/>
                <w:kern w:val="0"/>
                <w:szCs w:val="21"/>
              </w:rPr>
              <w:t>24</w:t>
            </w:r>
          </w:p>
        </w:tc>
        <w:tc>
          <w:tcPr>
            <w:tcW w:w="39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1D11E88">
            <w:pPr>
              <w:widowControl/>
              <w:jc w:val="center"/>
              <w:textAlignment w:val="center"/>
              <w:rPr>
                <w:color w:val="000000"/>
                <w:kern w:val="0"/>
                <w:szCs w:val="21"/>
              </w:rPr>
            </w:pPr>
            <w:r>
              <w:rPr>
                <w:color w:val="000000"/>
                <w:kern w:val="0"/>
                <w:szCs w:val="21"/>
              </w:rPr>
              <w:t>电梯工程</w:t>
            </w: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2AE4529">
            <w:pPr>
              <w:widowControl/>
              <w:jc w:val="left"/>
              <w:textAlignment w:val="center"/>
              <w:rPr>
                <w:color w:val="000000"/>
                <w:szCs w:val="21"/>
              </w:rPr>
            </w:pPr>
            <w:r>
              <w:rPr>
                <w:color w:val="000000"/>
                <w:kern w:val="0"/>
                <w:szCs w:val="21"/>
              </w:rPr>
              <w:t>施工方案及设备生产厂家给设备安装单位的交底、委托</w:t>
            </w:r>
            <w:r>
              <w:rPr>
                <w:rFonts w:hint="eastAsia"/>
                <w:color w:val="000000"/>
                <w:kern w:val="0"/>
                <w:szCs w:val="21"/>
              </w:rPr>
              <w:t>。</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00C6122">
            <w:pPr>
              <w:jc w:val="center"/>
              <w:rPr>
                <w:color w:val="000000"/>
                <w:szCs w:val="21"/>
              </w:rPr>
            </w:pP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7EDC846">
            <w:pPr>
              <w:jc w:val="center"/>
              <w:rPr>
                <w:color w:val="000000"/>
                <w:szCs w:val="21"/>
              </w:rPr>
            </w:pPr>
            <w:r>
              <w:rPr>
                <w:rFonts w:hint="eastAsia"/>
                <w:color w:val="000000"/>
                <w:szCs w:val="21"/>
              </w:rPr>
              <w:t>1</w:t>
            </w: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FD08416">
            <w:pPr>
              <w:rPr>
                <w:color w:val="000000"/>
                <w:szCs w:val="21"/>
              </w:rPr>
            </w:pPr>
          </w:p>
        </w:tc>
      </w:tr>
      <w:tr w14:paraId="51FD5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40AC5C7">
            <w:pPr>
              <w:widowControl/>
              <w:jc w:val="center"/>
              <w:textAlignment w:val="center"/>
              <w:rPr>
                <w:color w:val="000000"/>
                <w:szCs w:val="21"/>
              </w:rPr>
            </w:pPr>
            <w:r>
              <w:rPr>
                <w:color w:val="000000"/>
                <w:kern w:val="0"/>
                <w:szCs w:val="21"/>
              </w:rPr>
              <w:t>25</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4536345">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0B56066">
            <w:pPr>
              <w:widowControl/>
              <w:jc w:val="left"/>
              <w:textAlignment w:val="center"/>
              <w:rPr>
                <w:color w:val="000000"/>
                <w:szCs w:val="21"/>
              </w:rPr>
            </w:pPr>
            <w:r>
              <w:rPr>
                <w:color w:val="000000"/>
                <w:kern w:val="0"/>
                <w:szCs w:val="21"/>
              </w:rPr>
              <w:t>设备及主要材料进场检验记录、设备开箱检验记录</w:t>
            </w:r>
            <w:r>
              <w:rPr>
                <w:rFonts w:hint="eastAsia"/>
                <w:color w:val="000000"/>
                <w:kern w:val="0"/>
                <w:szCs w:val="21"/>
              </w:rPr>
              <w:t>。</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E102088">
            <w:pPr>
              <w:jc w:val="center"/>
              <w:rPr>
                <w:color w:val="000000"/>
                <w:szCs w:val="21"/>
              </w:rPr>
            </w:pP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B27FE75">
            <w:pPr>
              <w:jc w:val="center"/>
              <w:rPr>
                <w:color w:val="000000"/>
                <w:szCs w:val="21"/>
              </w:rPr>
            </w:pPr>
            <w:r>
              <w:rPr>
                <w:rFonts w:hint="eastAsia"/>
                <w:color w:val="000000"/>
                <w:szCs w:val="21"/>
              </w:rPr>
              <w:t>1</w:t>
            </w: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D772A05">
            <w:pPr>
              <w:rPr>
                <w:color w:val="000000"/>
                <w:szCs w:val="21"/>
              </w:rPr>
            </w:pPr>
          </w:p>
        </w:tc>
      </w:tr>
      <w:tr w14:paraId="2A570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F6B2BD2">
            <w:pPr>
              <w:widowControl/>
              <w:jc w:val="center"/>
              <w:textAlignment w:val="center"/>
              <w:rPr>
                <w:color w:val="000000"/>
                <w:szCs w:val="21"/>
              </w:rPr>
            </w:pPr>
            <w:r>
              <w:rPr>
                <w:color w:val="000000"/>
                <w:kern w:val="0"/>
                <w:szCs w:val="21"/>
              </w:rPr>
              <w:t>26</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EE17B5A">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A0B6DAA">
            <w:pPr>
              <w:widowControl/>
              <w:jc w:val="left"/>
              <w:textAlignment w:val="center"/>
              <w:rPr>
                <w:color w:val="000000"/>
                <w:szCs w:val="21"/>
              </w:rPr>
            </w:pPr>
            <w:r>
              <w:rPr>
                <w:color w:val="000000"/>
                <w:kern w:val="0"/>
                <w:szCs w:val="21"/>
              </w:rPr>
              <w:t>接地、绝缘电阻测试 记录</w:t>
            </w:r>
            <w:r>
              <w:rPr>
                <w:rFonts w:hint="eastAsia"/>
                <w:color w:val="000000"/>
                <w:kern w:val="0"/>
                <w:szCs w:val="21"/>
              </w:rPr>
              <w:t>。</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F5CDE96">
            <w:pPr>
              <w:jc w:val="center"/>
              <w:rPr>
                <w:color w:val="000000"/>
                <w:szCs w:val="21"/>
              </w:rPr>
            </w:pPr>
          </w:p>
        </w:tc>
        <w:tc>
          <w:tcPr>
            <w:tcW w:w="742"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7BB248B">
            <w:pPr>
              <w:jc w:val="center"/>
              <w:rPr>
                <w:color w:val="000000"/>
                <w:szCs w:val="21"/>
              </w:rPr>
            </w:pPr>
            <w:r>
              <w:rPr>
                <w:rFonts w:hint="eastAsia"/>
                <w:color w:val="000000"/>
                <w:szCs w:val="21"/>
              </w:rPr>
              <w:t>2</w:t>
            </w:r>
          </w:p>
        </w:tc>
        <w:tc>
          <w:tcPr>
            <w:tcW w:w="742"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0CCC3E9">
            <w:pPr>
              <w:rPr>
                <w:color w:val="000000"/>
                <w:szCs w:val="21"/>
              </w:rPr>
            </w:pPr>
          </w:p>
        </w:tc>
      </w:tr>
      <w:tr w14:paraId="49E69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639C413">
            <w:pPr>
              <w:widowControl/>
              <w:jc w:val="center"/>
              <w:textAlignment w:val="center"/>
              <w:rPr>
                <w:color w:val="000000"/>
                <w:szCs w:val="21"/>
              </w:rPr>
            </w:pPr>
            <w:r>
              <w:rPr>
                <w:color w:val="000000"/>
                <w:kern w:val="0"/>
                <w:szCs w:val="21"/>
              </w:rPr>
              <w:t>27</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4588B2D">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87FA00">
            <w:pPr>
              <w:widowControl/>
              <w:jc w:val="left"/>
              <w:textAlignment w:val="center"/>
              <w:rPr>
                <w:color w:val="000000"/>
                <w:szCs w:val="21"/>
              </w:rPr>
            </w:pPr>
            <w:r>
              <w:rPr>
                <w:color w:val="000000"/>
                <w:kern w:val="0"/>
                <w:szCs w:val="21"/>
              </w:rPr>
              <w:t>安装前备案告知书、安装后检测报告</w:t>
            </w:r>
            <w:r>
              <w:rPr>
                <w:rFonts w:hint="eastAsia"/>
                <w:color w:val="000000"/>
                <w:kern w:val="0"/>
                <w:szCs w:val="21"/>
              </w:rPr>
              <w:t>。</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F5B889D">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FDD86C7">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82EBA7F">
            <w:pPr>
              <w:rPr>
                <w:color w:val="000000"/>
                <w:szCs w:val="21"/>
              </w:rPr>
            </w:pPr>
          </w:p>
        </w:tc>
      </w:tr>
      <w:tr w14:paraId="00FF3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D5A4999">
            <w:pPr>
              <w:widowControl/>
              <w:jc w:val="center"/>
              <w:textAlignment w:val="center"/>
              <w:rPr>
                <w:color w:val="000000"/>
                <w:szCs w:val="21"/>
              </w:rPr>
            </w:pPr>
            <w:r>
              <w:rPr>
                <w:color w:val="000000"/>
                <w:kern w:val="0"/>
                <w:szCs w:val="21"/>
              </w:rPr>
              <w:t>28</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E920061">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BC9D448">
            <w:pPr>
              <w:widowControl/>
              <w:jc w:val="left"/>
              <w:textAlignment w:val="center"/>
              <w:rPr>
                <w:color w:val="000000"/>
                <w:szCs w:val="21"/>
              </w:rPr>
            </w:pPr>
            <w:r>
              <w:rPr>
                <w:color w:val="000000"/>
                <w:kern w:val="0"/>
                <w:szCs w:val="21"/>
              </w:rPr>
              <w:t>电梯监督检验报告、使用标识、注册登记表</w:t>
            </w:r>
            <w:r>
              <w:rPr>
                <w:rFonts w:hint="eastAsia"/>
                <w:color w:val="000000"/>
                <w:kern w:val="0"/>
                <w:szCs w:val="21"/>
              </w:rPr>
              <w:t>。</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5A0F089">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B173167">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12E104B">
            <w:pPr>
              <w:rPr>
                <w:color w:val="000000"/>
                <w:szCs w:val="21"/>
              </w:rPr>
            </w:pPr>
          </w:p>
        </w:tc>
      </w:tr>
      <w:tr w14:paraId="229F1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E3083EF">
            <w:pPr>
              <w:widowControl/>
              <w:jc w:val="center"/>
              <w:textAlignment w:val="center"/>
              <w:rPr>
                <w:color w:val="000000"/>
                <w:szCs w:val="21"/>
              </w:rPr>
            </w:pPr>
            <w:r>
              <w:rPr>
                <w:color w:val="000000"/>
                <w:kern w:val="0"/>
                <w:szCs w:val="21"/>
              </w:rPr>
              <w:t>29</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EA3D3FB">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BB3C93F">
            <w:pPr>
              <w:widowControl/>
              <w:jc w:val="left"/>
              <w:textAlignment w:val="center"/>
              <w:rPr>
                <w:color w:val="000000"/>
                <w:szCs w:val="21"/>
              </w:rPr>
            </w:pPr>
            <w:r>
              <w:rPr>
                <w:color w:val="000000"/>
                <w:kern w:val="0"/>
                <w:szCs w:val="21"/>
              </w:rPr>
              <w:t>主要部位隐蔽验收记录</w:t>
            </w:r>
            <w:r>
              <w:rPr>
                <w:rFonts w:hint="eastAsia"/>
                <w:color w:val="000000"/>
                <w:kern w:val="0"/>
                <w:szCs w:val="21"/>
              </w:rPr>
              <w:t>。</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5DF969A">
            <w:pPr>
              <w:jc w:val="center"/>
              <w:rPr>
                <w:color w:val="000000"/>
                <w:szCs w:val="21"/>
              </w:rPr>
            </w:pP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EB01F2E">
            <w:pPr>
              <w:jc w:val="center"/>
              <w:rPr>
                <w:color w:val="000000"/>
                <w:szCs w:val="21"/>
              </w:rPr>
            </w:pPr>
            <w:r>
              <w:rPr>
                <w:rFonts w:hint="eastAsia"/>
                <w:color w:val="000000"/>
                <w:szCs w:val="21"/>
              </w:rPr>
              <w:t>0.5</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8332346">
            <w:pPr>
              <w:rPr>
                <w:color w:val="000000"/>
                <w:szCs w:val="21"/>
              </w:rPr>
            </w:pPr>
          </w:p>
        </w:tc>
      </w:tr>
      <w:tr w14:paraId="2C4D2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5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EDF41C4">
            <w:pPr>
              <w:widowControl/>
              <w:jc w:val="center"/>
              <w:textAlignment w:val="center"/>
              <w:rPr>
                <w:color w:val="000000"/>
                <w:szCs w:val="21"/>
              </w:rPr>
            </w:pPr>
            <w:r>
              <w:rPr>
                <w:color w:val="000000"/>
                <w:kern w:val="0"/>
                <w:szCs w:val="21"/>
              </w:rPr>
              <w:t>30</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D4085A1">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FF8F33C">
            <w:pPr>
              <w:widowControl/>
              <w:jc w:val="left"/>
              <w:textAlignment w:val="center"/>
              <w:rPr>
                <w:color w:val="000000"/>
                <w:szCs w:val="21"/>
              </w:rPr>
            </w:pPr>
            <w:r>
              <w:rPr>
                <w:rFonts w:hint="eastAsia"/>
                <w:color w:val="000000"/>
              </w:rPr>
              <w:t>检验批、分项、分部工程验收记录。</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E5D8F6B">
            <w:pPr>
              <w:jc w:val="center"/>
              <w:rPr>
                <w:color w:val="000000"/>
                <w:szCs w:val="21"/>
              </w:rPr>
            </w:pP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E173F52">
            <w:pPr>
              <w:jc w:val="center"/>
              <w:rPr>
                <w:color w:val="000000"/>
                <w:szCs w:val="21"/>
              </w:rPr>
            </w:pPr>
            <w:r>
              <w:rPr>
                <w:rFonts w:hint="eastAsia"/>
                <w:color w:val="000000"/>
                <w:szCs w:val="21"/>
              </w:rPr>
              <w:t>0.5</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FCA0A37">
            <w:pPr>
              <w:rPr>
                <w:color w:val="000000"/>
                <w:szCs w:val="21"/>
              </w:rPr>
            </w:pPr>
          </w:p>
        </w:tc>
      </w:tr>
      <w:tr w14:paraId="5B574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923" w:type="dxa"/>
            <w:gridSpan w:val="4"/>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68F7CF3">
            <w:pPr>
              <w:jc w:val="center"/>
              <w:rPr>
                <w:color w:val="000000"/>
                <w:szCs w:val="21"/>
              </w:rPr>
            </w:pPr>
            <w:r>
              <w:rPr>
                <w:color w:val="000000"/>
                <w:kern w:val="0"/>
                <w:szCs w:val="21"/>
              </w:rPr>
              <w:t>合计</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448046E">
            <w:pPr>
              <w:jc w:val="center"/>
              <w:rPr>
                <w:color w:val="000000"/>
                <w:szCs w:val="21"/>
              </w:rPr>
            </w:pPr>
            <w:r>
              <w:rPr>
                <w:rFonts w:hint="eastAsia"/>
                <w:color w:val="000000"/>
                <w:szCs w:val="21"/>
              </w:rPr>
              <w:t>25</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553361E">
            <w:pPr>
              <w:rPr>
                <w:color w:val="000000"/>
                <w:szCs w:val="21"/>
              </w:rPr>
            </w:pPr>
          </w:p>
        </w:tc>
      </w:tr>
      <w:tr w14:paraId="2F0C0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9407" w:type="dxa"/>
            <w:gridSpan w:val="6"/>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3EDFB2E">
            <w:pPr>
              <w:widowControl/>
              <w:jc w:val="left"/>
              <w:textAlignment w:val="center"/>
              <w:rPr>
                <w:rFonts w:ascii="宋体" w:hAnsi="宋体"/>
                <w:color w:val="000000"/>
                <w:kern w:val="0"/>
                <w:szCs w:val="21"/>
              </w:rPr>
            </w:pPr>
            <w:r>
              <w:rPr>
                <w:rFonts w:hint="eastAsia" w:ascii="宋体" w:hAnsi="宋体" w:cs="宋体"/>
                <w:color w:val="000000"/>
                <w:kern w:val="0"/>
                <w:szCs w:val="21"/>
              </w:rPr>
              <w:t>综合评价：意见和建议（工程亮点、存在问题、改正方法、提高方向）</w:t>
            </w:r>
          </w:p>
          <w:p w14:paraId="770B88C8">
            <w:pPr>
              <w:widowControl/>
              <w:jc w:val="left"/>
              <w:textAlignment w:val="center"/>
              <w:rPr>
                <w:rFonts w:ascii="宋体" w:hAnsi="宋体"/>
                <w:color w:val="000000"/>
                <w:kern w:val="0"/>
                <w:szCs w:val="21"/>
              </w:rPr>
            </w:pPr>
          </w:p>
          <w:p w14:paraId="2AA78678">
            <w:pPr>
              <w:pStyle w:val="2"/>
              <w:ind w:left="134" w:firstLine="283"/>
              <w:rPr>
                <w:color w:val="000000"/>
              </w:rPr>
            </w:pPr>
          </w:p>
          <w:p w14:paraId="5A084BBF">
            <w:pPr>
              <w:rPr>
                <w:color w:val="000000"/>
              </w:rPr>
            </w:pPr>
          </w:p>
          <w:p w14:paraId="2F581C1F">
            <w:pPr>
              <w:widowControl/>
              <w:jc w:val="left"/>
              <w:textAlignment w:val="center"/>
              <w:rPr>
                <w:rFonts w:ascii="宋体" w:hAnsi="宋体"/>
                <w:color w:val="000000"/>
                <w:kern w:val="0"/>
                <w:szCs w:val="21"/>
              </w:rPr>
            </w:pPr>
            <w:r>
              <w:rPr>
                <w:rFonts w:hint="eastAsia" w:ascii="宋体" w:hAnsi="宋体" w:cs="宋体"/>
                <w:color w:val="000000"/>
                <w:kern w:val="0"/>
                <w:szCs w:val="21"/>
              </w:rPr>
              <w:t xml:space="preserve">                                        检查人：</w:t>
            </w:r>
          </w:p>
          <w:p w14:paraId="6B06FC14">
            <w:pPr>
              <w:rPr>
                <w:color w:val="000000"/>
              </w:rPr>
            </w:pPr>
            <w:r>
              <w:rPr>
                <w:rFonts w:hint="eastAsia" w:ascii="宋体" w:hAnsi="宋体" w:cs="宋体"/>
                <w:color w:val="000000"/>
                <w:kern w:val="0"/>
                <w:szCs w:val="21"/>
              </w:rPr>
              <w:t xml:space="preserve">                                                           年  月   日</w:t>
            </w:r>
          </w:p>
        </w:tc>
      </w:tr>
    </w:tbl>
    <w:p w14:paraId="7DDD431C">
      <w:pPr>
        <w:widowControl/>
        <w:textAlignment w:val="center"/>
        <w:rPr>
          <w:color w:val="000000"/>
        </w:rPr>
      </w:pPr>
      <w:r>
        <w:rPr>
          <w:color w:val="000000"/>
        </w:rPr>
        <w:t>注：本表评价打分采取扣分制，存在一项不符合扣</w:t>
      </w:r>
      <w:r>
        <w:rPr>
          <w:rFonts w:hint="eastAsia"/>
          <w:color w:val="000000"/>
        </w:rPr>
        <w:t>0.5-</w:t>
      </w:r>
      <w:r>
        <w:rPr>
          <w:color w:val="000000"/>
        </w:rPr>
        <w:t>1分</w:t>
      </w:r>
      <w:r>
        <w:rPr>
          <w:color w:val="000000"/>
        </w:rPr>
        <w:br w:type="page"/>
      </w:r>
    </w:p>
    <w:p w14:paraId="674DA82B">
      <w:pPr>
        <w:widowControl/>
        <w:jc w:val="center"/>
        <w:textAlignment w:val="center"/>
        <w:rPr>
          <w:rFonts w:ascii="黑体" w:hAnsi="黑体" w:eastAsia="黑体" w:cs="宋体"/>
          <w:color w:val="000000"/>
          <w:kern w:val="0"/>
          <w:sz w:val="24"/>
          <w:szCs w:val="24"/>
        </w:rPr>
      </w:pPr>
      <w:r>
        <w:rPr>
          <w:rFonts w:ascii="黑体" w:hAnsi="黑体" w:eastAsia="黑体" w:cs="宋体"/>
          <w:color w:val="000000"/>
          <w:kern w:val="0"/>
          <w:sz w:val="24"/>
          <w:szCs w:val="24"/>
        </w:rPr>
        <w:t xml:space="preserve">表H.0.3  </w:t>
      </w:r>
      <w:r>
        <w:rPr>
          <w:rFonts w:hint="eastAsia" w:ascii="黑体" w:hAnsi="黑体" w:eastAsia="黑体" w:cs="宋体"/>
          <w:color w:val="000000"/>
          <w:kern w:val="0"/>
          <w:sz w:val="24"/>
          <w:szCs w:val="24"/>
        </w:rPr>
        <w:t>改造工程设备安装资料现场检查表</w:t>
      </w:r>
    </w:p>
    <w:p w14:paraId="0AD5764F">
      <w:pPr>
        <w:widowControl/>
        <w:spacing w:before="156" w:beforeLines="50" w:after="156" w:afterLines="50"/>
        <w:jc w:val="left"/>
        <w:textAlignment w:val="center"/>
        <w:rPr>
          <w:rFonts w:ascii="宋体" w:hAnsi="宋体"/>
          <w:color w:val="000000"/>
          <w:kern w:val="0"/>
          <w:sz w:val="24"/>
          <w:szCs w:val="24"/>
        </w:rPr>
      </w:pPr>
      <w:r>
        <w:rPr>
          <w:rFonts w:ascii="宋体" w:hAnsi="宋体"/>
          <w:color w:val="000000"/>
          <w:kern w:val="0"/>
          <w:sz w:val="24"/>
          <w:szCs w:val="24"/>
        </w:rPr>
        <w:t>工程名称：                             施工单位</w:t>
      </w:r>
      <w:r>
        <w:rPr>
          <w:rFonts w:hint="eastAsia" w:ascii="宋体" w:hAnsi="宋体"/>
          <w:color w:val="000000"/>
          <w:kern w:val="0"/>
          <w:sz w:val="24"/>
          <w:szCs w:val="24"/>
        </w:rPr>
        <w:t>：</w:t>
      </w:r>
    </w:p>
    <w:tbl>
      <w:tblPr>
        <w:tblStyle w:val="25"/>
        <w:tblW w:w="9421"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74"/>
        <w:gridCol w:w="392"/>
        <w:gridCol w:w="4368"/>
        <w:gridCol w:w="2603"/>
        <w:gridCol w:w="742"/>
        <w:gridCol w:w="742"/>
      </w:tblGrid>
      <w:tr w14:paraId="65701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2DD1D95">
            <w:pPr>
              <w:widowControl/>
              <w:jc w:val="center"/>
              <w:textAlignment w:val="center"/>
              <w:rPr>
                <w:color w:val="000000"/>
                <w:szCs w:val="21"/>
              </w:rPr>
            </w:pPr>
            <w:r>
              <w:rPr>
                <w:color w:val="000000"/>
                <w:kern w:val="0"/>
                <w:szCs w:val="21"/>
              </w:rPr>
              <w:t>序号</w:t>
            </w:r>
          </w:p>
        </w:tc>
        <w:tc>
          <w:tcPr>
            <w:tcW w:w="4760" w:type="dxa"/>
            <w:gridSpan w:val="2"/>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F197389">
            <w:pPr>
              <w:widowControl/>
              <w:jc w:val="center"/>
              <w:textAlignment w:val="center"/>
              <w:rPr>
                <w:color w:val="000000"/>
                <w:szCs w:val="21"/>
              </w:rPr>
            </w:pPr>
            <w:r>
              <w:rPr>
                <w:color w:val="000000"/>
                <w:kern w:val="0"/>
                <w:szCs w:val="21"/>
              </w:rPr>
              <w:t>检查项目</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F8C39B9">
            <w:pPr>
              <w:widowControl/>
              <w:jc w:val="center"/>
              <w:textAlignment w:val="center"/>
              <w:rPr>
                <w:color w:val="000000"/>
                <w:szCs w:val="21"/>
              </w:rPr>
            </w:pPr>
            <w:r>
              <w:rPr>
                <w:color w:val="000000"/>
                <w:kern w:val="0"/>
                <w:szCs w:val="21"/>
              </w:rPr>
              <w:t>检查情况</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F9E731A">
            <w:pPr>
              <w:widowControl/>
              <w:jc w:val="center"/>
              <w:textAlignment w:val="center"/>
              <w:rPr>
                <w:color w:val="000000"/>
                <w:kern w:val="0"/>
                <w:szCs w:val="21"/>
              </w:rPr>
            </w:pPr>
            <w:r>
              <w:rPr>
                <w:color w:val="000000"/>
                <w:kern w:val="0"/>
                <w:szCs w:val="21"/>
              </w:rPr>
              <w:t>应得分</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180ABB9">
            <w:pPr>
              <w:widowControl/>
              <w:jc w:val="center"/>
              <w:textAlignment w:val="center"/>
              <w:rPr>
                <w:color w:val="000000"/>
                <w:szCs w:val="21"/>
              </w:rPr>
            </w:pPr>
            <w:r>
              <w:rPr>
                <w:color w:val="000000"/>
                <w:kern w:val="0"/>
                <w:szCs w:val="21"/>
              </w:rPr>
              <w:t>实得分</w:t>
            </w:r>
          </w:p>
        </w:tc>
      </w:tr>
      <w:tr w14:paraId="4BA41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B1FC900">
            <w:pPr>
              <w:widowControl/>
              <w:jc w:val="center"/>
              <w:textAlignment w:val="center"/>
              <w:rPr>
                <w:color w:val="000000"/>
                <w:szCs w:val="21"/>
              </w:rPr>
            </w:pPr>
            <w:r>
              <w:rPr>
                <w:color w:val="000000"/>
                <w:kern w:val="0"/>
                <w:szCs w:val="21"/>
              </w:rPr>
              <w:t>1</w:t>
            </w:r>
          </w:p>
        </w:tc>
        <w:tc>
          <w:tcPr>
            <w:tcW w:w="39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CE9658E">
            <w:pPr>
              <w:widowControl/>
              <w:jc w:val="center"/>
              <w:textAlignment w:val="center"/>
              <w:rPr>
                <w:color w:val="000000"/>
                <w:szCs w:val="21"/>
              </w:rPr>
            </w:pPr>
            <w:r>
              <w:rPr>
                <w:color w:val="000000"/>
                <w:szCs w:val="21"/>
              </w:rPr>
              <w:t>给排水及</w:t>
            </w:r>
            <w:r>
              <w:rPr>
                <w:rFonts w:hint="eastAsia"/>
                <w:color w:val="000000"/>
                <w:szCs w:val="21"/>
              </w:rPr>
              <w:t>供</w:t>
            </w:r>
            <w:r>
              <w:rPr>
                <w:color w:val="000000"/>
                <w:szCs w:val="21"/>
              </w:rPr>
              <w:t>暖</w:t>
            </w: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A78C622">
            <w:pPr>
              <w:widowControl/>
              <w:jc w:val="left"/>
              <w:textAlignment w:val="center"/>
              <w:rPr>
                <w:color w:val="000000"/>
                <w:szCs w:val="21"/>
              </w:rPr>
            </w:pPr>
            <w:r>
              <w:rPr>
                <w:rFonts w:hint="eastAsia"/>
                <w:color w:val="000000"/>
              </w:rPr>
              <w:t>改造工程专项施工方案编制及交底，测试仪器仪表校准证书。</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58D6F1E">
            <w:pPr>
              <w:jc w:val="center"/>
              <w:rPr>
                <w:color w:val="000000"/>
                <w:szCs w:val="21"/>
              </w:rPr>
            </w:pPr>
          </w:p>
        </w:tc>
        <w:tc>
          <w:tcPr>
            <w:tcW w:w="74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D169288">
            <w:pPr>
              <w:jc w:val="center"/>
              <w:rPr>
                <w:color w:val="000000"/>
                <w:szCs w:val="21"/>
              </w:rPr>
            </w:pPr>
            <w:r>
              <w:rPr>
                <w:rFonts w:hint="eastAsia"/>
                <w:color w:val="000000"/>
                <w:szCs w:val="21"/>
              </w:rPr>
              <w:t>1</w:t>
            </w:r>
          </w:p>
        </w:tc>
        <w:tc>
          <w:tcPr>
            <w:tcW w:w="74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A8A3C2">
            <w:pPr>
              <w:rPr>
                <w:color w:val="000000"/>
                <w:szCs w:val="21"/>
              </w:rPr>
            </w:pPr>
          </w:p>
        </w:tc>
      </w:tr>
      <w:tr w14:paraId="28DAE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3A7CB27">
            <w:pPr>
              <w:widowControl/>
              <w:jc w:val="center"/>
              <w:textAlignment w:val="center"/>
              <w:rPr>
                <w:color w:val="000000"/>
                <w:szCs w:val="21"/>
              </w:rPr>
            </w:pPr>
            <w:r>
              <w:rPr>
                <w:color w:val="000000"/>
                <w:kern w:val="0"/>
                <w:szCs w:val="21"/>
              </w:rPr>
              <w:t>2</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6754A09">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09284EB">
            <w:pPr>
              <w:widowControl/>
              <w:jc w:val="left"/>
              <w:textAlignment w:val="center"/>
              <w:rPr>
                <w:color w:val="000000"/>
                <w:szCs w:val="21"/>
              </w:rPr>
            </w:pPr>
            <w:r>
              <w:rPr>
                <w:rFonts w:hint="eastAsia"/>
                <w:color w:val="000000"/>
              </w:rPr>
              <w:t>改造工程中针对特殊功能的检验试验标准。</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D07E09D">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C3809C2">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4D0CC53">
            <w:pPr>
              <w:rPr>
                <w:color w:val="000000"/>
                <w:szCs w:val="21"/>
              </w:rPr>
            </w:pPr>
          </w:p>
        </w:tc>
      </w:tr>
      <w:tr w14:paraId="277AC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D58755B">
            <w:pPr>
              <w:widowControl/>
              <w:jc w:val="center"/>
              <w:textAlignment w:val="center"/>
              <w:rPr>
                <w:color w:val="000000"/>
                <w:szCs w:val="21"/>
              </w:rPr>
            </w:pPr>
            <w:r>
              <w:rPr>
                <w:color w:val="000000"/>
                <w:kern w:val="0"/>
                <w:szCs w:val="21"/>
              </w:rPr>
              <w:t>3</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1F723C2">
            <w:pPr>
              <w:widowControl/>
              <w:jc w:val="center"/>
              <w:textAlignment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7FE8691">
            <w:pPr>
              <w:widowControl/>
              <w:jc w:val="left"/>
              <w:textAlignment w:val="center"/>
              <w:rPr>
                <w:color w:val="000000"/>
                <w:szCs w:val="21"/>
              </w:rPr>
            </w:pPr>
            <w:r>
              <w:rPr>
                <w:rFonts w:hint="eastAsia"/>
                <w:color w:val="000000"/>
              </w:rPr>
              <w:t>设备及主要管材合格证、性能检测报告、出厂检验报告，见证取样复试报告。进口设备的商检合格证明文件。</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1487420">
            <w:pPr>
              <w:jc w:val="center"/>
              <w:rPr>
                <w:color w:val="000000"/>
                <w:szCs w:val="21"/>
              </w:rPr>
            </w:pP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BA880A1">
            <w:pPr>
              <w:jc w:val="center"/>
              <w:rPr>
                <w:color w:val="000000"/>
                <w:szCs w:val="21"/>
              </w:rPr>
            </w:pPr>
            <w:r>
              <w:rPr>
                <w:rFonts w:hint="eastAsia"/>
                <w:color w:val="000000"/>
                <w:szCs w:val="21"/>
              </w:rPr>
              <w:t>2</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147A15B">
            <w:pPr>
              <w:rPr>
                <w:color w:val="000000"/>
                <w:szCs w:val="21"/>
              </w:rPr>
            </w:pPr>
          </w:p>
        </w:tc>
      </w:tr>
      <w:tr w14:paraId="41B07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5ED3D20">
            <w:pPr>
              <w:widowControl/>
              <w:jc w:val="center"/>
              <w:textAlignment w:val="center"/>
              <w:rPr>
                <w:color w:val="000000"/>
                <w:szCs w:val="21"/>
              </w:rPr>
            </w:pPr>
            <w:r>
              <w:rPr>
                <w:color w:val="000000"/>
                <w:kern w:val="0"/>
                <w:szCs w:val="21"/>
              </w:rPr>
              <w:t>4</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7198B78">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CD9B053">
            <w:pPr>
              <w:widowControl/>
              <w:jc w:val="left"/>
              <w:textAlignment w:val="center"/>
              <w:rPr>
                <w:color w:val="000000"/>
                <w:szCs w:val="21"/>
              </w:rPr>
            </w:pPr>
            <w:r>
              <w:rPr>
                <w:rFonts w:hint="eastAsia"/>
                <w:color w:val="000000"/>
              </w:rPr>
              <w:t>散热器、阀门、闭式喷头安装前强度及严密性试验。</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788B314">
            <w:pPr>
              <w:jc w:val="center"/>
              <w:rPr>
                <w:color w:val="000000"/>
                <w:szCs w:val="21"/>
              </w:rPr>
            </w:pPr>
          </w:p>
        </w:tc>
        <w:tc>
          <w:tcPr>
            <w:tcW w:w="742"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8BE5ACA">
            <w:pPr>
              <w:jc w:val="center"/>
              <w:rPr>
                <w:color w:val="000000"/>
                <w:szCs w:val="21"/>
              </w:rPr>
            </w:pPr>
            <w:r>
              <w:rPr>
                <w:rFonts w:hint="eastAsia"/>
                <w:color w:val="000000"/>
                <w:szCs w:val="21"/>
              </w:rPr>
              <w:t>5</w:t>
            </w:r>
          </w:p>
        </w:tc>
        <w:tc>
          <w:tcPr>
            <w:tcW w:w="742"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3DE858B">
            <w:pPr>
              <w:rPr>
                <w:color w:val="000000"/>
                <w:szCs w:val="21"/>
              </w:rPr>
            </w:pPr>
          </w:p>
        </w:tc>
      </w:tr>
      <w:tr w14:paraId="466C7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358B1D1">
            <w:pPr>
              <w:widowControl/>
              <w:jc w:val="center"/>
              <w:textAlignment w:val="center"/>
              <w:rPr>
                <w:color w:val="000000"/>
                <w:szCs w:val="21"/>
              </w:rPr>
            </w:pPr>
            <w:r>
              <w:rPr>
                <w:color w:val="000000"/>
                <w:kern w:val="0"/>
                <w:szCs w:val="21"/>
              </w:rPr>
              <w:t>5</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50E22DF">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6921E71">
            <w:pPr>
              <w:widowControl/>
              <w:jc w:val="left"/>
              <w:textAlignment w:val="center"/>
              <w:rPr>
                <w:color w:val="000000"/>
                <w:szCs w:val="21"/>
              </w:rPr>
            </w:pPr>
            <w:r>
              <w:rPr>
                <w:rFonts w:hint="eastAsia"/>
                <w:color w:val="000000"/>
              </w:rPr>
              <w:t>安全阀、减压阀调试定压记录。</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C0D9C3C">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04664F3">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370B380">
            <w:pPr>
              <w:rPr>
                <w:color w:val="000000"/>
                <w:szCs w:val="21"/>
              </w:rPr>
            </w:pPr>
          </w:p>
        </w:tc>
      </w:tr>
      <w:tr w14:paraId="2D866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4116A5C">
            <w:pPr>
              <w:widowControl/>
              <w:jc w:val="center"/>
              <w:textAlignment w:val="center"/>
              <w:rPr>
                <w:color w:val="000000"/>
                <w:szCs w:val="21"/>
              </w:rPr>
            </w:pPr>
            <w:r>
              <w:rPr>
                <w:color w:val="000000"/>
                <w:kern w:val="0"/>
                <w:szCs w:val="21"/>
              </w:rPr>
              <w:t>6</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6F9CCE1">
            <w:pPr>
              <w:widowControl/>
              <w:jc w:val="center"/>
              <w:textAlignment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E26F20E">
            <w:pPr>
              <w:widowControl/>
              <w:jc w:val="left"/>
              <w:textAlignment w:val="center"/>
              <w:rPr>
                <w:color w:val="000000"/>
                <w:szCs w:val="21"/>
              </w:rPr>
            </w:pPr>
            <w:r>
              <w:rPr>
                <w:rFonts w:hint="eastAsia"/>
                <w:color w:val="000000"/>
              </w:rPr>
              <w:t>承压管道、设备的分户强度、严密性试验。</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36661B4">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3DCF545">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C3DC391">
            <w:pPr>
              <w:rPr>
                <w:color w:val="000000"/>
                <w:szCs w:val="21"/>
              </w:rPr>
            </w:pPr>
          </w:p>
        </w:tc>
      </w:tr>
      <w:tr w14:paraId="1E086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2EB6742">
            <w:pPr>
              <w:widowControl/>
              <w:jc w:val="center"/>
              <w:textAlignment w:val="center"/>
              <w:rPr>
                <w:color w:val="000000"/>
                <w:szCs w:val="21"/>
              </w:rPr>
            </w:pPr>
            <w:r>
              <w:rPr>
                <w:color w:val="000000"/>
                <w:kern w:val="0"/>
                <w:szCs w:val="21"/>
              </w:rPr>
              <w:t>7</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8F596A7">
            <w:pPr>
              <w:widowControl/>
              <w:jc w:val="center"/>
              <w:textAlignment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2D21BD2">
            <w:pPr>
              <w:widowControl/>
              <w:jc w:val="left"/>
              <w:textAlignment w:val="center"/>
              <w:rPr>
                <w:color w:val="000000"/>
                <w:szCs w:val="21"/>
              </w:rPr>
            </w:pPr>
            <w:r>
              <w:rPr>
                <w:rFonts w:hint="eastAsia"/>
                <w:color w:val="000000"/>
              </w:rPr>
              <w:t>无压管道、设备的分户灌水试验。</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270FE6D">
            <w:pPr>
              <w:jc w:val="center"/>
              <w:rPr>
                <w:rFonts w:eastAsia="仿宋_GB2312"/>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BF93C44">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ABD0F5F">
            <w:pPr>
              <w:rPr>
                <w:color w:val="000000"/>
                <w:szCs w:val="21"/>
              </w:rPr>
            </w:pPr>
          </w:p>
        </w:tc>
      </w:tr>
      <w:tr w14:paraId="17D39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55AC1B8">
            <w:pPr>
              <w:widowControl/>
              <w:jc w:val="center"/>
              <w:textAlignment w:val="center"/>
              <w:rPr>
                <w:color w:val="000000"/>
                <w:szCs w:val="21"/>
              </w:rPr>
            </w:pPr>
            <w:r>
              <w:rPr>
                <w:color w:val="000000"/>
                <w:kern w:val="0"/>
                <w:szCs w:val="21"/>
              </w:rPr>
              <w:t>8</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E41ABFB">
            <w:pPr>
              <w:widowControl/>
              <w:jc w:val="center"/>
              <w:textAlignment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F917B3A">
            <w:pPr>
              <w:widowControl/>
              <w:jc w:val="left"/>
              <w:textAlignment w:val="center"/>
              <w:rPr>
                <w:color w:val="000000"/>
                <w:szCs w:val="21"/>
              </w:rPr>
            </w:pPr>
            <w:r>
              <w:rPr>
                <w:rFonts w:hint="eastAsia"/>
                <w:color w:val="000000"/>
              </w:rPr>
              <w:t>保温专项检查记录。</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39EE1E2">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7EEFB70">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678FECE">
            <w:pPr>
              <w:rPr>
                <w:color w:val="000000"/>
                <w:szCs w:val="21"/>
              </w:rPr>
            </w:pPr>
          </w:p>
        </w:tc>
      </w:tr>
      <w:tr w14:paraId="74055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AE87C6E">
            <w:pPr>
              <w:widowControl/>
              <w:jc w:val="center"/>
              <w:textAlignment w:val="center"/>
              <w:rPr>
                <w:color w:val="000000"/>
                <w:szCs w:val="21"/>
              </w:rPr>
            </w:pPr>
            <w:r>
              <w:rPr>
                <w:color w:val="000000"/>
                <w:kern w:val="0"/>
                <w:szCs w:val="21"/>
              </w:rPr>
              <w:t>9</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2ECF8AE">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9BA386B">
            <w:pPr>
              <w:widowControl/>
              <w:jc w:val="left"/>
              <w:textAlignment w:val="center"/>
              <w:rPr>
                <w:color w:val="000000"/>
                <w:szCs w:val="21"/>
              </w:rPr>
            </w:pPr>
            <w:r>
              <w:rPr>
                <w:rFonts w:hint="eastAsia"/>
                <w:color w:val="000000"/>
              </w:rPr>
              <w:t>主要部位隐蔽验收记录。</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4F2CD9B">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82C6ABE">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6CABEF6">
            <w:pPr>
              <w:rPr>
                <w:color w:val="000000"/>
                <w:szCs w:val="21"/>
              </w:rPr>
            </w:pPr>
          </w:p>
        </w:tc>
      </w:tr>
      <w:tr w14:paraId="6647C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038330C">
            <w:pPr>
              <w:widowControl/>
              <w:jc w:val="center"/>
              <w:textAlignment w:val="center"/>
              <w:rPr>
                <w:color w:val="000000"/>
                <w:szCs w:val="21"/>
              </w:rPr>
            </w:pPr>
            <w:r>
              <w:rPr>
                <w:color w:val="000000"/>
                <w:kern w:val="0"/>
                <w:szCs w:val="21"/>
              </w:rPr>
              <w:t>10</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E89AFB7">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6E0E48F">
            <w:pPr>
              <w:widowControl/>
              <w:jc w:val="left"/>
              <w:textAlignment w:val="center"/>
              <w:rPr>
                <w:color w:val="000000"/>
                <w:szCs w:val="21"/>
              </w:rPr>
            </w:pPr>
            <w:r>
              <w:rPr>
                <w:rFonts w:hint="eastAsia"/>
                <w:color w:val="000000"/>
              </w:rPr>
              <w:t>排水管道通球试验。</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ADCF98F">
            <w:pP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145AFB2">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E12A4C3">
            <w:pPr>
              <w:rPr>
                <w:color w:val="000000"/>
                <w:szCs w:val="21"/>
              </w:rPr>
            </w:pPr>
          </w:p>
        </w:tc>
      </w:tr>
      <w:tr w14:paraId="725E9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328995A">
            <w:pPr>
              <w:widowControl/>
              <w:jc w:val="center"/>
              <w:textAlignment w:val="center"/>
              <w:rPr>
                <w:color w:val="000000"/>
                <w:szCs w:val="21"/>
              </w:rPr>
            </w:pPr>
            <w:r>
              <w:rPr>
                <w:color w:val="000000"/>
                <w:kern w:val="0"/>
                <w:szCs w:val="21"/>
              </w:rPr>
              <w:t>11</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4D9C6EA">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D1703D">
            <w:pPr>
              <w:widowControl/>
              <w:jc w:val="left"/>
              <w:textAlignment w:val="center"/>
              <w:rPr>
                <w:color w:val="000000"/>
                <w:szCs w:val="21"/>
              </w:rPr>
            </w:pPr>
            <w:r>
              <w:rPr>
                <w:rFonts w:hint="eastAsia"/>
                <w:color w:val="000000"/>
              </w:rPr>
              <w:t>卫生器具分户满水、通水试验。</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ECD94F0">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366200F">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B7EBA6C">
            <w:pPr>
              <w:rPr>
                <w:color w:val="000000"/>
                <w:szCs w:val="21"/>
              </w:rPr>
            </w:pPr>
          </w:p>
        </w:tc>
      </w:tr>
      <w:tr w14:paraId="04713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3A1E1DF">
            <w:pPr>
              <w:widowControl/>
              <w:jc w:val="center"/>
              <w:textAlignment w:val="center"/>
              <w:rPr>
                <w:color w:val="000000"/>
                <w:szCs w:val="21"/>
              </w:rPr>
            </w:pPr>
            <w:r>
              <w:rPr>
                <w:color w:val="000000"/>
                <w:kern w:val="0"/>
                <w:szCs w:val="21"/>
              </w:rPr>
              <w:t>12</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677C007">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C38C9BE">
            <w:pPr>
              <w:widowControl/>
              <w:jc w:val="left"/>
              <w:textAlignment w:val="center"/>
              <w:rPr>
                <w:color w:val="000000"/>
                <w:szCs w:val="21"/>
              </w:rPr>
            </w:pPr>
            <w:r>
              <w:rPr>
                <w:rFonts w:hint="eastAsia"/>
                <w:color w:val="000000"/>
              </w:rPr>
              <w:t>系统通水试验。</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A8CB1AC">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6F828F4">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8D7FA18">
            <w:pPr>
              <w:rPr>
                <w:color w:val="000000"/>
                <w:szCs w:val="21"/>
              </w:rPr>
            </w:pPr>
          </w:p>
        </w:tc>
      </w:tr>
      <w:tr w14:paraId="58145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EE181D8">
            <w:pPr>
              <w:widowControl/>
              <w:jc w:val="center"/>
              <w:textAlignment w:val="center"/>
              <w:rPr>
                <w:color w:val="000000"/>
                <w:kern w:val="0"/>
                <w:szCs w:val="21"/>
              </w:rPr>
            </w:pPr>
            <w:r>
              <w:rPr>
                <w:color w:val="000000"/>
                <w:kern w:val="0"/>
                <w:szCs w:val="21"/>
              </w:rPr>
              <w:t>13</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B5AC776">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136F3D4">
            <w:pPr>
              <w:widowControl/>
              <w:jc w:val="left"/>
              <w:textAlignment w:val="center"/>
              <w:rPr>
                <w:color w:val="000000"/>
                <w:szCs w:val="21"/>
              </w:rPr>
            </w:pPr>
            <w:r>
              <w:rPr>
                <w:rFonts w:hint="eastAsia"/>
                <w:color w:val="000000"/>
              </w:rPr>
              <w:t>生活给水管道冲洗消毒记录。</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6DC01D3">
            <w:pPr>
              <w:jc w:val="center"/>
              <w:rPr>
                <w:color w:val="000000"/>
                <w:szCs w:val="21"/>
              </w:rPr>
            </w:pPr>
          </w:p>
        </w:tc>
        <w:tc>
          <w:tcPr>
            <w:tcW w:w="74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4F7CB6F">
            <w:pPr>
              <w:jc w:val="center"/>
              <w:rPr>
                <w:color w:val="000000"/>
                <w:szCs w:val="21"/>
              </w:rPr>
            </w:pPr>
            <w:r>
              <w:rPr>
                <w:rFonts w:hint="eastAsia"/>
                <w:color w:val="000000"/>
                <w:szCs w:val="21"/>
              </w:rPr>
              <w:t>5</w:t>
            </w:r>
          </w:p>
        </w:tc>
        <w:tc>
          <w:tcPr>
            <w:tcW w:w="74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0C3ED6A">
            <w:pPr>
              <w:rPr>
                <w:color w:val="000000"/>
                <w:szCs w:val="21"/>
              </w:rPr>
            </w:pPr>
          </w:p>
        </w:tc>
      </w:tr>
      <w:tr w14:paraId="30EF0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B9DC871">
            <w:pPr>
              <w:widowControl/>
              <w:jc w:val="center"/>
              <w:textAlignment w:val="center"/>
              <w:rPr>
                <w:color w:val="000000"/>
                <w:kern w:val="0"/>
                <w:szCs w:val="21"/>
              </w:rPr>
            </w:pPr>
            <w:r>
              <w:rPr>
                <w:color w:val="000000"/>
                <w:kern w:val="0"/>
                <w:szCs w:val="21"/>
              </w:rPr>
              <w:t>14</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3F2EFF2">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9D8703C">
            <w:pPr>
              <w:widowControl/>
              <w:jc w:val="left"/>
              <w:textAlignment w:val="center"/>
              <w:rPr>
                <w:color w:val="000000"/>
                <w:szCs w:val="21"/>
              </w:rPr>
            </w:pPr>
            <w:r>
              <w:rPr>
                <w:rFonts w:hint="eastAsia"/>
                <w:color w:val="000000"/>
              </w:rPr>
              <w:t>生活用水水质检测报告。</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E095A97">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45349B">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CD15E28">
            <w:pPr>
              <w:rPr>
                <w:color w:val="000000"/>
                <w:szCs w:val="21"/>
              </w:rPr>
            </w:pPr>
          </w:p>
        </w:tc>
      </w:tr>
      <w:tr w14:paraId="08C37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0C6FC5D">
            <w:pPr>
              <w:widowControl/>
              <w:jc w:val="center"/>
              <w:textAlignment w:val="center"/>
              <w:rPr>
                <w:color w:val="000000"/>
                <w:kern w:val="0"/>
                <w:szCs w:val="21"/>
              </w:rPr>
            </w:pPr>
            <w:r>
              <w:rPr>
                <w:color w:val="000000"/>
                <w:kern w:val="0"/>
                <w:szCs w:val="21"/>
              </w:rPr>
              <w:t>15</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87054BA">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023D938">
            <w:pPr>
              <w:widowControl/>
              <w:jc w:val="left"/>
              <w:textAlignment w:val="center"/>
              <w:rPr>
                <w:color w:val="000000"/>
                <w:szCs w:val="21"/>
              </w:rPr>
            </w:pPr>
            <w:r>
              <w:rPr>
                <w:rFonts w:hint="eastAsia"/>
                <w:color w:val="000000"/>
              </w:rPr>
              <w:t>消火栓试射记录。</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B27DD6A">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0084065">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BA17AD7">
            <w:pPr>
              <w:rPr>
                <w:color w:val="000000"/>
                <w:szCs w:val="21"/>
              </w:rPr>
            </w:pPr>
          </w:p>
        </w:tc>
      </w:tr>
      <w:tr w14:paraId="1FBED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6B55D60">
            <w:pPr>
              <w:widowControl/>
              <w:jc w:val="center"/>
              <w:textAlignment w:val="center"/>
              <w:rPr>
                <w:color w:val="000000"/>
                <w:kern w:val="0"/>
                <w:szCs w:val="21"/>
              </w:rPr>
            </w:pPr>
            <w:r>
              <w:rPr>
                <w:color w:val="000000"/>
                <w:kern w:val="0"/>
                <w:szCs w:val="21"/>
              </w:rPr>
              <w:t>16</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3208109">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B917D2E">
            <w:pPr>
              <w:widowControl/>
              <w:jc w:val="left"/>
              <w:textAlignment w:val="center"/>
              <w:rPr>
                <w:color w:val="000000"/>
                <w:szCs w:val="21"/>
              </w:rPr>
            </w:pPr>
            <w:r>
              <w:rPr>
                <w:rFonts w:hint="eastAsia"/>
                <w:color w:val="000000"/>
              </w:rPr>
              <w:t>各类设备单机试运转记录。</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51DEF92">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CE57376">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849D502">
            <w:pPr>
              <w:rPr>
                <w:color w:val="000000"/>
                <w:szCs w:val="21"/>
              </w:rPr>
            </w:pPr>
          </w:p>
        </w:tc>
      </w:tr>
      <w:tr w14:paraId="1AF60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1E5C1D9">
            <w:pPr>
              <w:widowControl/>
              <w:jc w:val="center"/>
              <w:textAlignment w:val="center"/>
              <w:rPr>
                <w:color w:val="000000"/>
                <w:kern w:val="0"/>
                <w:szCs w:val="21"/>
              </w:rPr>
            </w:pPr>
            <w:r>
              <w:rPr>
                <w:color w:val="000000"/>
                <w:kern w:val="0"/>
                <w:szCs w:val="21"/>
              </w:rPr>
              <w:t>17</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ADE7F9F">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2E609EA">
            <w:pPr>
              <w:widowControl/>
              <w:jc w:val="left"/>
              <w:textAlignment w:val="center"/>
              <w:rPr>
                <w:color w:val="000000"/>
                <w:kern w:val="0"/>
                <w:szCs w:val="21"/>
              </w:rPr>
            </w:pPr>
            <w:r>
              <w:rPr>
                <w:rFonts w:hint="eastAsia"/>
                <w:color w:val="000000"/>
              </w:rPr>
              <w:t>供暖系统、消防系统调试方案。</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DF475CF">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B6CAD39">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64FA1FD">
            <w:pPr>
              <w:rPr>
                <w:color w:val="000000"/>
                <w:szCs w:val="21"/>
              </w:rPr>
            </w:pPr>
          </w:p>
        </w:tc>
      </w:tr>
      <w:tr w14:paraId="6B998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1DA237F">
            <w:pPr>
              <w:widowControl/>
              <w:jc w:val="center"/>
              <w:textAlignment w:val="center"/>
              <w:rPr>
                <w:color w:val="000000"/>
                <w:kern w:val="0"/>
                <w:szCs w:val="21"/>
              </w:rPr>
            </w:pPr>
            <w:r>
              <w:rPr>
                <w:color w:val="000000"/>
                <w:kern w:val="0"/>
                <w:szCs w:val="21"/>
              </w:rPr>
              <w:t>18</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C25994C">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B00174F">
            <w:pPr>
              <w:widowControl/>
              <w:jc w:val="left"/>
              <w:textAlignment w:val="center"/>
              <w:rPr>
                <w:color w:val="000000"/>
                <w:kern w:val="0"/>
                <w:szCs w:val="21"/>
              </w:rPr>
            </w:pPr>
            <w:r>
              <w:rPr>
                <w:rFonts w:hint="eastAsia"/>
                <w:color w:val="000000"/>
              </w:rPr>
              <w:t>供暖系统、消防系统试运转及调试记录。</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69DE5F7">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DC97E7B">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B08C0AD">
            <w:pPr>
              <w:rPr>
                <w:color w:val="000000"/>
                <w:szCs w:val="21"/>
              </w:rPr>
            </w:pPr>
          </w:p>
        </w:tc>
      </w:tr>
      <w:tr w14:paraId="250A2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4CB7B5F">
            <w:pPr>
              <w:widowControl/>
              <w:jc w:val="center"/>
              <w:textAlignment w:val="center"/>
              <w:rPr>
                <w:color w:val="000000"/>
                <w:kern w:val="0"/>
                <w:szCs w:val="21"/>
              </w:rPr>
            </w:pPr>
            <w:r>
              <w:rPr>
                <w:color w:val="000000"/>
                <w:kern w:val="0"/>
                <w:szCs w:val="21"/>
              </w:rPr>
              <w:t>19</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91CBE62">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E71FCF5">
            <w:pPr>
              <w:widowControl/>
              <w:jc w:val="left"/>
              <w:textAlignment w:val="center"/>
              <w:rPr>
                <w:color w:val="000000"/>
                <w:kern w:val="0"/>
                <w:szCs w:val="21"/>
              </w:rPr>
            </w:pPr>
            <w:r>
              <w:rPr>
                <w:rFonts w:hint="eastAsia"/>
                <w:color w:val="000000"/>
              </w:rPr>
              <w:t>检验批、分项、分部工程验收记录。</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F03BB17">
            <w:pPr>
              <w:jc w:val="center"/>
              <w:rPr>
                <w:color w:val="000000"/>
                <w:szCs w:val="21"/>
              </w:rPr>
            </w:pP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0965BD5">
            <w:pPr>
              <w:jc w:val="center"/>
              <w:rPr>
                <w:color w:val="000000"/>
                <w:szCs w:val="21"/>
              </w:rPr>
            </w:pPr>
            <w:r>
              <w:rPr>
                <w:rFonts w:hint="eastAsia"/>
                <w:color w:val="000000"/>
                <w:szCs w:val="21"/>
              </w:rPr>
              <w:t>1</w:t>
            </w: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1E900DC">
            <w:pPr>
              <w:rPr>
                <w:color w:val="000000"/>
                <w:szCs w:val="21"/>
              </w:rPr>
            </w:pPr>
          </w:p>
        </w:tc>
      </w:tr>
      <w:tr w14:paraId="72206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51879BF">
            <w:pPr>
              <w:widowControl/>
              <w:jc w:val="center"/>
              <w:textAlignment w:val="center"/>
              <w:rPr>
                <w:color w:val="000000"/>
                <w:kern w:val="0"/>
                <w:szCs w:val="21"/>
              </w:rPr>
            </w:pPr>
            <w:r>
              <w:rPr>
                <w:color w:val="000000"/>
                <w:kern w:val="0"/>
                <w:szCs w:val="21"/>
              </w:rPr>
              <w:t>20</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A948313">
            <w:pPr>
              <w:jc w:val="center"/>
              <w:rPr>
                <w:color w:val="00000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79C644C">
            <w:pPr>
              <w:widowControl/>
              <w:jc w:val="left"/>
              <w:textAlignment w:val="center"/>
              <w:rPr>
                <w:color w:val="000000"/>
                <w:kern w:val="0"/>
                <w:szCs w:val="21"/>
              </w:rPr>
            </w:pPr>
            <w:r>
              <w:rPr>
                <w:rFonts w:hint="eastAsia"/>
                <w:color w:val="000000"/>
              </w:rPr>
              <w:t>竣工图、施工日志。</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B5E7683">
            <w:pPr>
              <w:jc w:val="center"/>
              <w:rPr>
                <w:color w:val="000000"/>
                <w:szCs w:val="21"/>
              </w:rPr>
            </w:pP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6DAF51D">
            <w:pPr>
              <w:jc w:val="center"/>
              <w:rPr>
                <w:color w:val="000000"/>
                <w:szCs w:val="21"/>
              </w:rPr>
            </w:pPr>
            <w:r>
              <w:rPr>
                <w:rFonts w:hint="eastAsia"/>
                <w:color w:val="000000"/>
                <w:szCs w:val="21"/>
              </w:rPr>
              <w:t>1</w:t>
            </w: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4DF77F2">
            <w:pPr>
              <w:rPr>
                <w:color w:val="000000"/>
                <w:szCs w:val="21"/>
              </w:rPr>
            </w:pPr>
          </w:p>
        </w:tc>
      </w:tr>
    </w:tbl>
    <w:p w14:paraId="55528FE6">
      <w:pPr>
        <w:widowControl/>
        <w:jc w:val="center"/>
        <w:textAlignment w:val="center"/>
        <w:rPr>
          <w:rFonts w:ascii="黑体" w:hAnsi="黑体" w:eastAsia="黑体" w:cs="宋体"/>
          <w:color w:val="000000"/>
          <w:kern w:val="0"/>
          <w:sz w:val="24"/>
          <w:szCs w:val="24"/>
        </w:rPr>
      </w:pPr>
    </w:p>
    <w:p w14:paraId="49AC444F">
      <w:pPr>
        <w:widowControl/>
        <w:jc w:val="center"/>
        <w:textAlignment w:val="center"/>
        <w:rPr>
          <w:rFonts w:ascii="黑体" w:hAnsi="黑体" w:eastAsia="黑体" w:cs="宋体"/>
          <w:color w:val="000000"/>
          <w:kern w:val="0"/>
          <w:sz w:val="24"/>
          <w:szCs w:val="24"/>
        </w:rPr>
      </w:pPr>
      <w:r>
        <w:rPr>
          <w:rFonts w:ascii="黑体" w:hAnsi="黑体" w:eastAsia="黑体" w:cs="宋体"/>
          <w:color w:val="000000"/>
          <w:kern w:val="0"/>
          <w:sz w:val="24"/>
          <w:szCs w:val="24"/>
        </w:rPr>
        <w:t>续表</w:t>
      </w:r>
      <w:r>
        <w:rPr>
          <w:rFonts w:hint="eastAsia" w:ascii="黑体" w:hAnsi="黑体" w:eastAsia="黑体" w:cs="宋体"/>
          <w:color w:val="000000"/>
          <w:kern w:val="0"/>
          <w:sz w:val="24"/>
          <w:szCs w:val="24"/>
        </w:rPr>
        <w:t>H</w:t>
      </w:r>
      <w:r>
        <w:rPr>
          <w:rFonts w:ascii="黑体" w:hAnsi="黑体" w:eastAsia="黑体" w:cs="宋体"/>
          <w:color w:val="000000"/>
          <w:kern w:val="0"/>
          <w:sz w:val="24"/>
          <w:szCs w:val="24"/>
        </w:rPr>
        <w:t>.0.3</w:t>
      </w:r>
    </w:p>
    <w:p w14:paraId="5D2662A9">
      <w:pPr>
        <w:widowControl/>
        <w:spacing w:before="156" w:beforeLines="50" w:after="156" w:afterLines="50"/>
        <w:jc w:val="left"/>
        <w:textAlignment w:val="center"/>
        <w:rPr>
          <w:rFonts w:ascii="宋体" w:hAnsi="宋体"/>
          <w:color w:val="000000"/>
          <w:kern w:val="0"/>
          <w:sz w:val="24"/>
          <w:szCs w:val="24"/>
        </w:rPr>
      </w:pPr>
      <w:r>
        <w:rPr>
          <w:rFonts w:ascii="宋体" w:hAnsi="宋体"/>
          <w:color w:val="000000"/>
          <w:kern w:val="0"/>
          <w:sz w:val="24"/>
          <w:szCs w:val="24"/>
        </w:rPr>
        <w:t>工程名称：                             施工单位</w:t>
      </w:r>
      <w:r>
        <w:rPr>
          <w:rFonts w:hint="eastAsia" w:ascii="宋体" w:hAnsi="宋体"/>
          <w:color w:val="000000"/>
          <w:kern w:val="0"/>
          <w:sz w:val="24"/>
          <w:szCs w:val="24"/>
        </w:rPr>
        <w:t>：</w:t>
      </w:r>
    </w:p>
    <w:tbl>
      <w:tblPr>
        <w:tblStyle w:val="25"/>
        <w:tblW w:w="94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59"/>
        <w:gridCol w:w="392"/>
        <w:gridCol w:w="4368"/>
        <w:gridCol w:w="2603"/>
        <w:gridCol w:w="742"/>
        <w:gridCol w:w="742"/>
      </w:tblGrid>
      <w:tr w14:paraId="70A1E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EBFAEBF">
            <w:pPr>
              <w:widowControl/>
              <w:jc w:val="center"/>
              <w:textAlignment w:val="center"/>
              <w:rPr>
                <w:color w:val="000000"/>
                <w:szCs w:val="21"/>
              </w:rPr>
            </w:pPr>
            <w:r>
              <w:rPr>
                <w:color w:val="000000"/>
                <w:kern w:val="0"/>
                <w:szCs w:val="21"/>
              </w:rPr>
              <w:t>序号</w:t>
            </w:r>
          </w:p>
        </w:tc>
        <w:tc>
          <w:tcPr>
            <w:tcW w:w="4760" w:type="dxa"/>
            <w:gridSpan w:val="2"/>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653A09D">
            <w:pPr>
              <w:widowControl/>
              <w:jc w:val="center"/>
              <w:textAlignment w:val="center"/>
              <w:rPr>
                <w:color w:val="000000"/>
                <w:szCs w:val="21"/>
              </w:rPr>
            </w:pPr>
            <w:r>
              <w:rPr>
                <w:color w:val="000000"/>
                <w:kern w:val="0"/>
                <w:szCs w:val="21"/>
              </w:rPr>
              <w:t>检查项目</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B294C9E">
            <w:pPr>
              <w:widowControl/>
              <w:jc w:val="center"/>
              <w:textAlignment w:val="center"/>
              <w:rPr>
                <w:color w:val="000000"/>
                <w:szCs w:val="21"/>
              </w:rPr>
            </w:pPr>
            <w:r>
              <w:rPr>
                <w:color w:val="000000"/>
                <w:kern w:val="0"/>
                <w:szCs w:val="21"/>
              </w:rPr>
              <w:t>检查情况</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23DEDF7">
            <w:pPr>
              <w:widowControl/>
              <w:jc w:val="center"/>
              <w:textAlignment w:val="center"/>
              <w:rPr>
                <w:color w:val="000000"/>
                <w:kern w:val="0"/>
                <w:szCs w:val="21"/>
              </w:rPr>
            </w:pPr>
            <w:r>
              <w:rPr>
                <w:color w:val="000000"/>
                <w:kern w:val="0"/>
                <w:szCs w:val="21"/>
              </w:rPr>
              <w:t>应得分</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C0CDE69">
            <w:pPr>
              <w:widowControl/>
              <w:jc w:val="center"/>
              <w:textAlignment w:val="center"/>
              <w:rPr>
                <w:color w:val="000000"/>
                <w:szCs w:val="21"/>
              </w:rPr>
            </w:pPr>
            <w:r>
              <w:rPr>
                <w:color w:val="000000"/>
                <w:kern w:val="0"/>
                <w:szCs w:val="21"/>
              </w:rPr>
              <w:t>实得分</w:t>
            </w:r>
          </w:p>
        </w:tc>
      </w:tr>
      <w:tr w14:paraId="723C8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D99ADC5">
            <w:pPr>
              <w:widowControl/>
              <w:jc w:val="center"/>
              <w:textAlignment w:val="center"/>
              <w:rPr>
                <w:color w:val="000000"/>
                <w:szCs w:val="21"/>
              </w:rPr>
            </w:pPr>
            <w:r>
              <w:rPr>
                <w:color w:val="000000"/>
                <w:kern w:val="0"/>
                <w:szCs w:val="21"/>
              </w:rPr>
              <w:t>21</w:t>
            </w:r>
          </w:p>
        </w:tc>
        <w:tc>
          <w:tcPr>
            <w:tcW w:w="39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86EC6E5">
            <w:pPr>
              <w:widowControl/>
              <w:jc w:val="center"/>
              <w:textAlignment w:val="center"/>
              <w:rPr>
                <w:color w:val="000000"/>
                <w:kern w:val="0"/>
                <w:szCs w:val="21"/>
              </w:rPr>
            </w:pPr>
            <w:r>
              <w:rPr>
                <w:color w:val="000000"/>
                <w:kern w:val="0"/>
                <w:szCs w:val="21"/>
              </w:rPr>
              <w:t>通风与空调</w:t>
            </w: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2A5D06">
            <w:pPr>
              <w:widowControl/>
              <w:jc w:val="left"/>
              <w:textAlignment w:val="center"/>
              <w:rPr>
                <w:color w:val="000000"/>
                <w:szCs w:val="21"/>
              </w:rPr>
            </w:pPr>
            <w:r>
              <w:rPr>
                <w:rFonts w:hint="eastAsia"/>
                <w:color w:val="000000"/>
              </w:rPr>
              <w:t>改造工程专项施工方案编制及交底，测试仪器仪表校准证书。</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6E55542">
            <w:pPr>
              <w:jc w:val="center"/>
              <w:rPr>
                <w:color w:val="000000"/>
                <w:szCs w:val="21"/>
              </w:rPr>
            </w:pPr>
          </w:p>
        </w:tc>
        <w:tc>
          <w:tcPr>
            <w:tcW w:w="74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FD0E954">
            <w:pPr>
              <w:jc w:val="center"/>
              <w:rPr>
                <w:color w:val="000000"/>
                <w:szCs w:val="21"/>
              </w:rPr>
            </w:pPr>
            <w:r>
              <w:rPr>
                <w:rFonts w:hint="eastAsia"/>
                <w:color w:val="000000"/>
                <w:szCs w:val="21"/>
              </w:rPr>
              <w:t>1</w:t>
            </w:r>
          </w:p>
        </w:tc>
        <w:tc>
          <w:tcPr>
            <w:tcW w:w="74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71D9C6F">
            <w:pPr>
              <w:rPr>
                <w:color w:val="000000"/>
                <w:szCs w:val="21"/>
              </w:rPr>
            </w:pPr>
          </w:p>
        </w:tc>
      </w:tr>
      <w:tr w14:paraId="52816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A36A172">
            <w:pPr>
              <w:widowControl/>
              <w:jc w:val="center"/>
              <w:textAlignment w:val="center"/>
              <w:rPr>
                <w:color w:val="000000"/>
                <w:szCs w:val="21"/>
              </w:rPr>
            </w:pPr>
            <w:r>
              <w:rPr>
                <w:color w:val="000000"/>
                <w:kern w:val="0"/>
                <w:szCs w:val="21"/>
              </w:rPr>
              <w:t>22</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6D7E4FF">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53FCF2B">
            <w:pPr>
              <w:widowControl/>
              <w:jc w:val="left"/>
              <w:textAlignment w:val="center"/>
              <w:rPr>
                <w:color w:val="000000"/>
                <w:szCs w:val="21"/>
              </w:rPr>
            </w:pPr>
            <w:r>
              <w:rPr>
                <w:rFonts w:hint="eastAsia"/>
                <w:color w:val="000000"/>
              </w:rPr>
              <w:t>改造工程中针对特殊功能的检验试验标准。</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3F628B4">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E9B20D6">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17F8DC">
            <w:pPr>
              <w:rPr>
                <w:color w:val="000000"/>
                <w:szCs w:val="21"/>
              </w:rPr>
            </w:pPr>
          </w:p>
        </w:tc>
      </w:tr>
      <w:tr w14:paraId="5E4E3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33C3D05">
            <w:pPr>
              <w:widowControl/>
              <w:jc w:val="center"/>
              <w:textAlignment w:val="center"/>
              <w:rPr>
                <w:color w:val="000000"/>
                <w:szCs w:val="21"/>
              </w:rPr>
            </w:pPr>
            <w:r>
              <w:rPr>
                <w:color w:val="000000"/>
                <w:kern w:val="0"/>
                <w:szCs w:val="21"/>
              </w:rPr>
              <w:t>23</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54A9303">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878998D">
            <w:pPr>
              <w:widowControl/>
              <w:jc w:val="left"/>
              <w:textAlignment w:val="center"/>
              <w:rPr>
                <w:color w:val="000000"/>
                <w:szCs w:val="21"/>
              </w:rPr>
            </w:pPr>
            <w:r>
              <w:rPr>
                <w:rFonts w:hint="eastAsia"/>
                <w:color w:val="000000"/>
              </w:rPr>
              <w:t>设备及主要管材合格证、性能检测报告、出厂检验报告，见证取样复试报告。进口设备的商检合格证明文件。</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9C8BED4">
            <w:pPr>
              <w:jc w:val="center"/>
              <w:rPr>
                <w:color w:val="000000"/>
                <w:szCs w:val="21"/>
              </w:rPr>
            </w:pP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66BBE7B">
            <w:pPr>
              <w:jc w:val="center"/>
              <w:rPr>
                <w:color w:val="000000"/>
                <w:szCs w:val="21"/>
              </w:rPr>
            </w:pPr>
            <w:r>
              <w:rPr>
                <w:rFonts w:hint="eastAsia"/>
                <w:color w:val="000000"/>
                <w:szCs w:val="21"/>
              </w:rPr>
              <w:t>2</w:t>
            </w:r>
          </w:p>
        </w:tc>
        <w:tc>
          <w:tcPr>
            <w:tcW w:w="742"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E2D0A51">
            <w:pPr>
              <w:rPr>
                <w:color w:val="000000"/>
                <w:szCs w:val="21"/>
              </w:rPr>
            </w:pPr>
          </w:p>
        </w:tc>
      </w:tr>
      <w:tr w14:paraId="6E871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B0F0C93">
            <w:pPr>
              <w:widowControl/>
              <w:jc w:val="center"/>
              <w:textAlignment w:val="center"/>
              <w:rPr>
                <w:color w:val="000000"/>
                <w:szCs w:val="21"/>
              </w:rPr>
            </w:pPr>
            <w:r>
              <w:rPr>
                <w:color w:val="000000"/>
                <w:kern w:val="0"/>
                <w:szCs w:val="21"/>
              </w:rPr>
              <w:t>24</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EADBA60">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1B0DBFB">
            <w:pPr>
              <w:widowControl/>
              <w:jc w:val="left"/>
              <w:textAlignment w:val="center"/>
              <w:rPr>
                <w:color w:val="000000"/>
                <w:szCs w:val="21"/>
              </w:rPr>
            </w:pPr>
            <w:r>
              <w:rPr>
                <w:rFonts w:hint="eastAsia"/>
                <w:color w:val="000000"/>
              </w:rPr>
              <w:t>阀门安装前强度及严密性试验记录。</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2075A80">
            <w:pPr>
              <w:jc w:val="center"/>
              <w:rPr>
                <w:color w:val="000000"/>
                <w:szCs w:val="21"/>
              </w:rPr>
            </w:pPr>
          </w:p>
        </w:tc>
        <w:tc>
          <w:tcPr>
            <w:tcW w:w="74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62016DB">
            <w:pPr>
              <w:jc w:val="center"/>
              <w:rPr>
                <w:color w:val="000000"/>
                <w:szCs w:val="21"/>
              </w:rPr>
            </w:pPr>
            <w:r>
              <w:rPr>
                <w:rFonts w:hint="eastAsia"/>
                <w:color w:val="000000"/>
                <w:szCs w:val="21"/>
              </w:rPr>
              <w:t>3</w:t>
            </w:r>
          </w:p>
        </w:tc>
        <w:tc>
          <w:tcPr>
            <w:tcW w:w="742" w:type="dxa"/>
            <w:vMerge w:val="restart"/>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A2F369F">
            <w:pPr>
              <w:rPr>
                <w:color w:val="000000"/>
                <w:szCs w:val="21"/>
              </w:rPr>
            </w:pPr>
          </w:p>
        </w:tc>
      </w:tr>
      <w:tr w14:paraId="1E475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1DBAA2B">
            <w:pPr>
              <w:widowControl/>
              <w:jc w:val="center"/>
              <w:textAlignment w:val="center"/>
              <w:rPr>
                <w:color w:val="000000"/>
                <w:szCs w:val="21"/>
              </w:rPr>
            </w:pPr>
            <w:r>
              <w:rPr>
                <w:color w:val="000000"/>
                <w:kern w:val="0"/>
                <w:szCs w:val="21"/>
              </w:rPr>
              <w:t>25</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E3455D9">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C4FF464">
            <w:pPr>
              <w:widowControl/>
              <w:jc w:val="left"/>
              <w:textAlignment w:val="center"/>
              <w:rPr>
                <w:color w:val="000000"/>
                <w:szCs w:val="21"/>
              </w:rPr>
            </w:pPr>
            <w:r>
              <w:rPr>
                <w:rFonts w:hint="eastAsia"/>
                <w:color w:val="000000"/>
              </w:rPr>
              <w:t>风管及部件制作记录。</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8B0B3FA">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1BF0855">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A4E04C8">
            <w:pPr>
              <w:rPr>
                <w:color w:val="000000"/>
                <w:szCs w:val="21"/>
              </w:rPr>
            </w:pPr>
          </w:p>
        </w:tc>
      </w:tr>
      <w:tr w14:paraId="7CB1A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43ADF0F">
            <w:pPr>
              <w:widowControl/>
              <w:jc w:val="center"/>
              <w:textAlignment w:val="center"/>
              <w:rPr>
                <w:color w:val="000000"/>
                <w:szCs w:val="21"/>
              </w:rPr>
            </w:pPr>
            <w:r>
              <w:rPr>
                <w:color w:val="000000"/>
                <w:kern w:val="0"/>
                <w:szCs w:val="21"/>
              </w:rPr>
              <w:t>26</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9F76610">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8D13C75">
            <w:pPr>
              <w:widowControl/>
              <w:jc w:val="left"/>
              <w:textAlignment w:val="center"/>
              <w:rPr>
                <w:color w:val="000000"/>
                <w:szCs w:val="21"/>
              </w:rPr>
            </w:pPr>
            <w:r>
              <w:rPr>
                <w:rFonts w:hint="eastAsia"/>
                <w:color w:val="000000"/>
              </w:rPr>
              <w:t>风管强度试验、风管系统严密性试验记录。</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3E87A6D">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3289A22">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CED0439">
            <w:pPr>
              <w:rPr>
                <w:color w:val="000000"/>
                <w:szCs w:val="21"/>
              </w:rPr>
            </w:pPr>
          </w:p>
        </w:tc>
      </w:tr>
      <w:tr w14:paraId="14637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E68AF95">
            <w:pPr>
              <w:widowControl/>
              <w:jc w:val="center"/>
              <w:textAlignment w:val="center"/>
              <w:rPr>
                <w:color w:val="000000"/>
                <w:szCs w:val="21"/>
              </w:rPr>
            </w:pPr>
            <w:r>
              <w:rPr>
                <w:color w:val="000000"/>
                <w:kern w:val="0"/>
                <w:szCs w:val="21"/>
              </w:rPr>
              <w:t>27</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FE11F4E">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E6F56BE">
            <w:pPr>
              <w:widowControl/>
              <w:jc w:val="left"/>
              <w:textAlignment w:val="center"/>
              <w:rPr>
                <w:color w:val="000000"/>
                <w:szCs w:val="21"/>
              </w:rPr>
            </w:pPr>
            <w:r>
              <w:rPr>
                <w:rFonts w:hint="eastAsia"/>
                <w:color w:val="000000"/>
              </w:rPr>
              <w:t>承压管道、设备强度及严密性试验记录。</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0A40EAD">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06BB4A9">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0AAF2DA">
            <w:pPr>
              <w:rPr>
                <w:color w:val="000000"/>
                <w:szCs w:val="21"/>
              </w:rPr>
            </w:pPr>
          </w:p>
        </w:tc>
      </w:tr>
      <w:tr w14:paraId="032CB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7D36C06">
            <w:pPr>
              <w:widowControl/>
              <w:jc w:val="center"/>
              <w:textAlignment w:val="center"/>
              <w:rPr>
                <w:color w:val="000000"/>
                <w:szCs w:val="21"/>
              </w:rPr>
            </w:pPr>
            <w:r>
              <w:rPr>
                <w:color w:val="000000"/>
                <w:kern w:val="0"/>
                <w:szCs w:val="21"/>
              </w:rPr>
              <w:t>28</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437DD9F">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9ECC5FD">
            <w:pPr>
              <w:widowControl/>
              <w:jc w:val="left"/>
              <w:textAlignment w:val="center"/>
              <w:rPr>
                <w:color w:val="000000"/>
                <w:szCs w:val="21"/>
              </w:rPr>
            </w:pPr>
            <w:r>
              <w:rPr>
                <w:rFonts w:hint="eastAsia"/>
                <w:color w:val="000000"/>
              </w:rPr>
              <w:t>冷凝水管道灌水试验、安全阀测试记录。</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CDBCE11">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147A827">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B8EC247">
            <w:pPr>
              <w:rPr>
                <w:color w:val="000000"/>
                <w:szCs w:val="21"/>
              </w:rPr>
            </w:pPr>
          </w:p>
        </w:tc>
      </w:tr>
      <w:tr w14:paraId="66A54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725265E">
            <w:pPr>
              <w:widowControl/>
              <w:jc w:val="center"/>
              <w:textAlignment w:val="center"/>
              <w:rPr>
                <w:color w:val="000000"/>
                <w:szCs w:val="21"/>
              </w:rPr>
            </w:pPr>
            <w:r>
              <w:rPr>
                <w:color w:val="000000"/>
                <w:kern w:val="0"/>
                <w:szCs w:val="21"/>
              </w:rPr>
              <w:t>29</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CB4FC21">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15C7B53">
            <w:pPr>
              <w:widowControl/>
              <w:jc w:val="left"/>
              <w:textAlignment w:val="center"/>
              <w:rPr>
                <w:color w:val="000000"/>
                <w:szCs w:val="21"/>
              </w:rPr>
            </w:pPr>
            <w:r>
              <w:rPr>
                <w:rFonts w:hint="eastAsia"/>
                <w:color w:val="000000"/>
              </w:rPr>
              <w:t>管道冲洗记录、真空试验记录。</w:t>
            </w:r>
          </w:p>
        </w:tc>
        <w:tc>
          <w:tcPr>
            <w:tcW w:w="260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5318D1C0">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58C0505">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5FB532E">
            <w:pPr>
              <w:rPr>
                <w:color w:val="000000"/>
                <w:szCs w:val="21"/>
              </w:rPr>
            </w:pPr>
          </w:p>
        </w:tc>
      </w:tr>
      <w:tr w14:paraId="7E0DD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3653F83">
            <w:pPr>
              <w:widowControl/>
              <w:jc w:val="center"/>
              <w:textAlignment w:val="center"/>
              <w:rPr>
                <w:color w:val="000000"/>
                <w:szCs w:val="21"/>
              </w:rPr>
            </w:pPr>
            <w:r>
              <w:rPr>
                <w:color w:val="000000"/>
                <w:kern w:val="0"/>
                <w:szCs w:val="21"/>
              </w:rPr>
              <w:t>30</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E63F09C">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2815DD29">
            <w:pPr>
              <w:widowControl/>
              <w:jc w:val="left"/>
              <w:textAlignment w:val="center"/>
              <w:rPr>
                <w:color w:val="000000"/>
                <w:szCs w:val="21"/>
              </w:rPr>
            </w:pPr>
            <w:r>
              <w:rPr>
                <w:rFonts w:hint="eastAsia"/>
                <w:color w:val="000000"/>
              </w:rPr>
              <w:t>各类设备单机试运转记录。</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CB2B7AF">
            <w:pPr>
              <w:jc w:val="center"/>
              <w:rPr>
                <w:color w:val="000000"/>
                <w:szCs w:val="21"/>
              </w:rPr>
            </w:pPr>
          </w:p>
        </w:tc>
        <w:tc>
          <w:tcPr>
            <w:tcW w:w="742"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AED9CF2">
            <w:pPr>
              <w:jc w:val="center"/>
              <w:rPr>
                <w:color w:val="000000"/>
                <w:szCs w:val="21"/>
              </w:rPr>
            </w:pPr>
            <w:r>
              <w:rPr>
                <w:rFonts w:hint="eastAsia"/>
                <w:color w:val="000000"/>
                <w:szCs w:val="21"/>
              </w:rPr>
              <w:t>3</w:t>
            </w:r>
          </w:p>
        </w:tc>
        <w:tc>
          <w:tcPr>
            <w:tcW w:w="742" w:type="dxa"/>
            <w:vMerge w:val="restart"/>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CD87C1E">
            <w:pPr>
              <w:rPr>
                <w:color w:val="000000"/>
                <w:szCs w:val="21"/>
              </w:rPr>
            </w:pPr>
          </w:p>
        </w:tc>
      </w:tr>
      <w:tr w14:paraId="4B68E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8359BEB">
            <w:pPr>
              <w:widowControl/>
              <w:jc w:val="center"/>
              <w:textAlignment w:val="center"/>
              <w:rPr>
                <w:color w:val="000000"/>
                <w:szCs w:val="21"/>
              </w:rPr>
            </w:pPr>
            <w:r>
              <w:rPr>
                <w:color w:val="000000"/>
                <w:szCs w:val="21"/>
              </w:rPr>
              <w:t>31</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ED74EBF">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1A963FD">
            <w:pPr>
              <w:widowControl/>
              <w:jc w:val="left"/>
              <w:textAlignment w:val="center"/>
              <w:rPr>
                <w:color w:val="000000"/>
                <w:szCs w:val="21"/>
              </w:rPr>
            </w:pPr>
            <w:r>
              <w:rPr>
                <w:rFonts w:hint="eastAsia"/>
                <w:color w:val="000000"/>
              </w:rPr>
              <w:t>房间风量、温度等参数测量记录，洁净度检测。</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F5B0299">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B0150B9">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A391BEA">
            <w:pPr>
              <w:rPr>
                <w:color w:val="000000"/>
                <w:szCs w:val="21"/>
              </w:rPr>
            </w:pPr>
          </w:p>
        </w:tc>
      </w:tr>
      <w:tr w14:paraId="0786D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C64516C">
            <w:pPr>
              <w:widowControl/>
              <w:jc w:val="center"/>
              <w:textAlignment w:val="center"/>
              <w:rPr>
                <w:color w:val="000000"/>
                <w:szCs w:val="21"/>
              </w:rPr>
            </w:pPr>
            <w:r>
              <w:rPr>
                <w:color w:val="000000"/>
                <w:szCs w:val="21"/>
              </w:rPr>
              <w:t>32</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BDA7BE3">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F82A77C">
            <w:pPr>
              <w:widowControl/>
              <w:jc w:val="left"/>
              <w:textAlignment w:val="center"/>
              <w:rPr>
                <w:color w:val="000000"/>
                <w:szCs w:val="21"/>
              </w:rPr>
            </w:pPr>
            <w:r>
              <w:rPr>
                <w:rFonts w:hint="eastAsia"/>
                <w:color w:val="000000"/>
              </w:rPr>
              <w:t>空调系统调试方案与联合试运转记录。</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52619BE">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932E4C3">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A0A2BCF">
            <w:pPr>
              <w:rPr>
                <w:color w:val="000000"/>
                <w:szCs w:val="21"/>
              </w:rPr>
            </w:pPr>
          </w:p>
        </w:tc>
      </w:tr>
      <w:tr w14:paraId="4593B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3E4F60B">
            <w:pPr>
              <w:widowControl/>
              <w:jc w:val="center"/>
              <w:textAlignment w:val="center"/>
              <w:rPr>
                <w:color w:val="000000"/>
                <w:szCs w:val="21"/>
              </w:rPr>
            </w:pPr>
            <w:r>
              <w:rPr>
                <w:color w:val="000000"/>
                <w:szCs w:val="21"/>
              </w:rPr>
              <w:t>33</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9603AAA">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0C22A30F">
            <w:pPr>
              <w:widowControl/>
              <w:jc w:val="left"/>
              <w:textAlignment w:val="center"/>
              <w:rPr>
                <w:color w:val="000000"/>
                <w:szCs w:val="21"/>
              </w:rPr>
            </w:pPr>
            <w:r>
              <w:rPr>
                <w:rFonts w:hint="eastAsia"/>
                <w:color w:val="000000"/>
              </w:rPr>
              <w:t>制冷系统调试方案与联合试运转记录。</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0799B38">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67EC5AC">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3660421">
            <w:pPr>
              <w:rPr>
                <w:color w:val="000000"/>
                <w:szCs w:val="21"/>
              </w:rPr>
            </w:pPr>
          </w:p>
        </w:tc>
      </w:tr>
      <w:tr w14:paraId="15AD4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1EF4DFA">
            <w:pPr>
              <w:widowControl/>
              <w:jc w:val="center"/>
              <w:textAlignment w:val="center"/>
              <w:rPr>
                <w:color w:val="000000"/>
                <w:szCs w:val="21"/>
              </w:rPr>
            </w:pPr>
            <w:r>
              <w:rPr>
                <w:color w:val="000000"/>
                <w:szCs w:val="21"/>
              </w:rPr>
              <w:t>34</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D88DBED">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3FAEFE18">
            <w:pPr>
              <w:widowControl/>
              <w:jc w:val="left"/>
              <w:textAlignment w:val="center"/>
              <w:rPr>
                <w:color w:val="000000"/>
                <w:kern w:val="0"/>
                <w:szCs w:val="21"/>
              </w:rPr>
            </w:pPr>
            <w:r>
              <w:rPr>
                <w:rFonts w:hint="eastAsia"/>
                <w:color w:val="000000"/>
              </w:rPr>
              <w:t>精密空调、多联机系统、净化系统联合试运转与调试记录。</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F1B0EBF">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686C06E">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C115100">
            <w:pPr>
              <w:rPr>
                <w:color w:val="000000"/>
                <w:szCs w:val="21"/>
              </w:rPr>
            </w:pPr>
          </w:p>
        </w:tc>
      </w:tr>
      <w:tr w14:paraId="11039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E89AF17">
            <w:pPr>
              <w:widowControl/>
              <w:jc w:val="center"/>
              <w:textAlignment w:val="center"/>
              <w:rPr>
                <w:color w:val="000000"/>
                <w:szCs w:val="21"/>
              </w:rPr>
            </w:pPr>
            <w:r>
              <w:rPr>
                <w:color w:val="000000"/>
                <w:szCs w:val="21"/>
              </w:rPr>
              <w:t>35</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5BB1B09">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17E87C1">
            <w:pPr>
              <w:widowControl/>
              <w:jc w:val="left"/>
              <w:textAlignment w:val="center"/>
              <w:rPr>
                <w:color w:val="000000"/>
                <w:kern w:val="0"/>
                <w:szCs w:val="21"/>
              </w:rPr>
            </w:pPr>
            <w:r>
              <w:rPr>
                <w:rFonts w:hint="eastAsia"/>
                <w:color w:val="000000"/>
              </w:rPr>
              <w:t>排烟系统联合试运转与调试记录。</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6F7AFDD">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6C83FF5">
            <w:pPr>
              <w:jc w:val="center"/>
              <w:rPr>
                <w:color w:val="000000"/>
                <w:szCs w:val="21"/>
              </w:rPr>
            </w:pPr>
          </w:p>
        </w:tc>
        <w:tc>
          <w:tcPr>
            <w:tcW w:w="742" w:type="dxa"/>
            <w:vMerge w:val="continue"/>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69603CD">
            <w:pPr>
              <w:rPr>
                <w:color w:val="000000"/>
                <w:szCs w:val="21"/>
              </w:rPr>
            </w:pPr>
          </w:p>
        </w:tc>
      </w:tr>
      <w:tr w14:paraId="71514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8BE8476">
            <w:pPr>
              <w:widowControl/>
              <w:jc w:val="center"/>
              <w:textAlignment w:val="center"/>
              <w:rPr>
                <w:color w:val="000000"/>
                <w:szCs w:val="21"/>
              </w:rPr>
            </w:pPr>
            <w:r>
              <w:rPr>
                <w:color w:val="000000"/>
                <w:szCs w:val="21"/>
              </w:rPr>
              <w:t>36</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24BB1D7">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1CCD0F9E">
            <w:pPr>
              <w:widowControl/>
              <w:jc w:val="left"/>
              <w:textAlignment w:val="center"/>
              <w:rPr>
                <w:color w:val="000000"/>
                <w:szCs w:val="21"/>
              </w:rPr>
            </w:pPr>
            <w:r>
              <w:rPr>
                <w:rFonts w:hint="eastAsia"/>
                <w:color w:val="000000"/>
              </w:rPr>
              <w:t>主要部位隐蔽验收记录。</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AD01798">
            <w:pPr>
              <w:jc w:val="center"/>
              <w:rPr>
                <w:color w:val="000000"/>
                <w:szCs w:val="21"/>
              </w:rPr>
            </w:pP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1AD9935">
            <w:pPr>
              <w:jc w:val="center"/>
              <w:rPr>
                <w:color w:val="000000"/>
                <w:szCs w:val="21"/>
              </w:rPr>
            </w:pPr>
            <w:r>
              <w:rPr>
                <w:rFonts w:hint="eastAsia"/>
                <w:color w:val="000000"/>
                <w:szCs w:val="21"/>
              </w:rPr>
              <w:t>0.5</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C9252FA">
            <w:pPr>
              <w:rPr>
                <w:color w:val="000000"/>
                <w:szCs w:val="21"/>
              </w:rPr>
            </w:pPr>
          </w:p>
        </w:tc>
      </w:tr>
      <w:tr w14:paraId="3002B3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55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2B90ADE">
            <w:pPr>
              <w:widowControl/>
              <w:jc w:val="center"/>
              <w:textAlignment w:val="center"/>
              <w:rPr>
                <w:color w:val="000000"/>
                <w:szCs w:val="21"/>
              </w:rPr>
            </w:pPr>
            <w:r>
              <w:rPr>
                <w:color w:val="000000"/>
                <w:szCs w:val="21"/>
              </w:rPr>
              <w:t>37</w:t>
            </w:r>
          </w:p>
        </w:tc>
        <w:tc>
          <w:tcPr>
            <w:tcW w:w="392" w:type="dxa"/>
            <w:vMerge w:val="continue"/>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77F2FFC8">
            <w:pPr>
              <w:widowControl/>
              <w:jc w:val="center"/>
              <w:textAlignment w:val="center"/>
              <w:rPr>
                <w:color w:val="000000"/>
                <w:kern w:val="0"/>
                <w:szCs w:val="21"/>
              </w:rPr>
            </w:pPr>
          </w:p>
        </w:tc>
        <w:tc>
          <w:tcPr>
            <w:tcW w:w="43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6F9C92A1">
            <w:pPr>
              <w:widowControl/>
              <w:jc w:val="left"/>
              <w:textAlignment w:val="center"/>
              <w:rPr>
                <w:color w:val="000000"/>
                <w:kern w:val="0"/>
                <w:szCs w:val="21"/>
              </w:rPr>
            </w:pPr>
            <w:r>
              <w:rPr>
                <w:rFonts w:hint="eastAsia"/>
                <w:color w:val="000000"/>
              </w:rPr>
              <w:t>检验批、分项、分部工程验收记录。</w:t>
            </w:r>
          </w:p>
        </w:tc>
        <w:tc>
          <w:tcPr>
            <w:tcW w:w="2603"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7A7083E">
            <w:pPr>
              <w:jc w:val="center"/>
              <w:rPr>
                <w:color w:val="000000"/>
                <w:szCs w:val="21"/>
              </w:rPr>
            </w:pP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485A182">
            <w:pPr>
              <w:jc w:val="center"/>
              <w:rPr>
                <w:color w:val="000000"/>
                <w:szCs w:val="21"/>
              </w:rPr>
            </w:pPr>
            <w:r>
              <w:rPr>
                <w:rFonts w:hint="eastAsia"/>
                <w:color w:val="000000"/>
                <w:szCs w:val="21"/>
              </w:rPr>
              <w:t>0.5</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BFAA625">
            <w:pPr>
              <w:rPr>
                <w:color w:val="000000"/>
                <w:szCs w:val="21"/>
              </w:rPr>
            </w:pPr>
          </w:p>
        </w:tc>
      </w:tr>
      <w:tr w14:paraId="22480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7922" w:type="dxa"/>
            <w:gridSpan w:val="4"/>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4182643">
            <w:pPr>
              <w:jc w:val="center"/>
              <w:rPr>
                <w:color w:val="000000"/>
                <w:szCs w:val="21"/>
              </w:rPr>
            </w:pPr>
            <w:r>
              <w:rPr>
                <w:color w:val="000000"/>
                <w:kern w:val="0"/>
                <w:sz w:val="22"/>
                <w:szCs w:val="22"/>
              </w:rPr>
              <w:t>合计</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EB27D03">
            <w:pPr>
              <w:jc w:val="center"/>
              <w:rPr>
                <w:color w:val="000000"/>
                <w:szCs w:val="21"/>
              </w:rPr>
            </w:pPr>
            <w:r>
              <w:rPr>
                <w:rFonts w:hint="eastAsia"/>
                <w:color w:val="000000"/>
                <w:szCs w:val="21"/>
              </w:rPr>
              <w:t>25</w:t>
            </w:r>
          </w:p>
        </w:tc>
        <w:tc>
          <w:tcPr>
            <w:tcW w:w="742"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0D1F125">
            <w:pPr>
              <w:rPr>
                <w:color w:val="000000"/>
                <w:szCs w:val="21"/>
              </w:rPr>
            </w:pPr>
          </w:p>
        </w:tc>
      </w:tr>
      <w:tr w14:paraId="6D3F5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0" w:hRule="atLeast"/>
        </w:trPr>
        <w:tc>
          <w:tcPr>
            <w:tcW w:w="9406" w:type="dxa"/>
            <w:gridSpan w:val="6"/>
            <w:tcBorders>
              <w:top w:val="single" w:color="auto" w:sz="8" w:space="0"/>
              <w:left w:val="single" w:color="auto" w:sz="8" w:space="0"/>
              <w:bottom w:val="single" w:color="auto" w:sz="8" w:space="0"/>
              <w:right w:val="single" w:color="auto" w:sz="8" w:space="0"/>
            </w:tcBorders>
            <w:noWrap/>
            <w:tcMar>
              <w:top w:w="15" w:type="dxa"/>
              <w:left w:w="15" w:type="dxa"/>
              <w:right w:w="15" w:type="dxa"/>
            </w:tcMar>
          </w:tcPr>
          <w:p w14:paraId="4497F7E6">
            <w:pPr>
              <w:widowControl/>
              <w:textAlignment w:val="center"/>
              <w:rPr>
                <w:rFonts w:ascii="宋体" w:hAnsi="宋体"/>
                <w:color w:val="000000"/>
                <w:kern w:val="0"/>
                <w:szCs w:val="21"/>
              </w:rPr>
            </w:pPr>
            <w:r>
              <w:rPr>
                <w:rFonts w:hint="eastAsia" w:ascii="宋体" w:hAnsi="宋体" w:cs="宋体"/>
                <w:color w:val="000000"/>
                <w:kern w:val="0"/>
                <w:szCs w:val="21"/>
              </w:rPr>
              <w:t>综合评价：意见和建议（工程亮点、存在问题、改正方法、提高方向）</w:t>
            </w:r>
          </w:p>
          <w:p w14:paraId="20EA6381">
            <w:pPr>
              <w:jc w:val="center"/>
              <w:rPr>
                <w:color w:val="000000"/>
              </w:rPr>
            </w:pPr>
          </w:p>
          <w:p w14:paraId="6E680A78">
            <w:pPr>
              <w:pStyle w:val="2"/>
              <w:ind w:left="134" w:firstLine="283"/>
              <w:jc w:val="center"/>
              <w:rPr>
                <w:color w:val="000000"/>
              </w:rPr>
            </w:pPr>
          </w:p>
          <w:p w14:paraId="2631B4B7">
            <w:pPr>
              <w:widowControl/>
              <w:jc w:val="center"/>
              <w:textAlignment w:val="center"/>
              <w:rPr>
                <w:rFonts w:ascii="宋体" w:hAnsi="宋体"/>
                <w:color w:val="000000"/>
                <w:kern w:val="0"/>
                <w:szCs w:val="21"/>
              </w:rPr>
            </w:pPr>
            <w:r>
              <w:rPr>
                <w:rFonts w:hint="eastAsia" w:ascii="宋体" w:hAnsi="宋体" w:cs="宋体"/>
                <w:color w:val="000000"/>
                <w:kern w:val="0"/>
                <w:szCs w:val="21"/>
              </w:rPr>
              <w:t>检查人：</w:t>
            </w:r>
          </w:p>
          <w:p w14:paraId="38833C4C">
            <w:pPr>
              <w:widowControl/>
              <w:jc w:val="center"/>
              <w:textAlignment w:val="center"/>
              <w:rPr>
                <w:color w:val="000000"/>
                <w:kern w:val="0"/>
                <w:szCs w:val="21"/>
              </w:rPr>
            </w:pPr>
            <w:r>
              <w:rPr>
                <w:rFonts w:hint="eastAsia" w:ascii="宋体" w:hAnsi="宋体" w:cs="宋体"/>
                <w:color w:val="000000"/>
                <w:kern w:val="0"/>
                <w:szCs w:val="21"/>
              </w:rPr>
              <w:t xml:space="preserve">                                    年  月   日</w:t>
            </w:r>
          </w:p>
        </w:tc>
      </w:tr>
    </w:tbl>
    <w:p w14:paraId="64CC3E91">
      <w:pPr>
        <w:widowControl/>
        <w:textAlignment w:val="center"/>
        <w:outlineLvl w:val="1"/>
        <w:rPr>
          <w:color w:val="000000"/>
        </w:rPr>
      </w:pPr>
      <w:bookmarkStart w:id="916" w:name="_Toc7489"/>
      <w:bookmarkStart w:id="917" w:name="_Toc25828"/>
      <w:bookmarkStart w:id="918" w:name="_Toc31962"/>
      <w:bookmarkStart w:id="919" w:name="_Toc23393"/>
      <w:bookmarkStart w:id="920" w:name="_Toc26792"/>
      <w:bookmarkStart w:id="921" w:name="_Toc25115"/>
      <w:bookmarkStart w:id="922" w:name="_Toc24535"/>
      <w:bookmarkStart w:id="923" w:name="_Toc31862"/>
      <w:r>
        <w:rPr>
          <w:color w:val="000000"/>
        </w:rPr>
        <w:t>注：本表评价打分采取扣分制，存在一项不符合扣</w:t>
      </w:r>
      <w:r>
        <w:rPr>
          <w:rFonts w:hint="eastAsia"/>
          <w:color w:val="000000"/>
        </w:rPr>
        <w:t>0.5-</w:t>
      </w:r>
      <w:r>
        <w:rPr>
          <w:color w:val="000000"/>
        </w:rPr>
        <w:t>1分</w:t>
      </w:r>
      <w:bookmarkEnd w:id="916"/>
      <w:bookmarkEnd w:id="917"/>
      <w:bookmarkEnd w:id="918"/>
      <w:bookmarkEnd w:id="919"/>
      <w:bookmarkEnd w:id="920"/>
      <w:bookmarkEnd w:id="921"/>
      <w:bookmarkEnd w:id="922"/>
      <w:bookmarkEnd w:id="923"/>
    </w:p>
    <w:p w14:paraId="0CD00680">
      <w:pPr>
        <w:widowControl/>
        <w:jc w:val="center"/>
        <w:textAlignment w:val="center"/>
        <w:outlineLvl w:val="1"/>
        <w:rPr>
          <w:rStyle w:val="32"/>
          <w:rFonts w:ascii="Times New Roman" w:hAnsi="Times New Roman" w:eastAsia="黑体"/>
          <w:sz w:val="28"/>
          <w:szCs w:val="28"/>
          <w:lang w:val="en-US"/>
        </w:rPr>
      </w:pPr>
      <w:r>
        <w:rPr>
          <w:color w:val="000000"/>
        </w:rPr>
        <w:br w:type="page"/>
      </w:r>
      <w:bookmarkStart w:id="924" w:name="_Toc3410"/>
      <w:bookmarkStart w:id="925" w:name="_Toc29230"/>
      <w:bookmarkStart w:id="926" w:name="_Toc15363"/>
      <w:bookmarkStart w:id="927" w:name="_Toc192"/>
      <w:r>
        <w:rPr>
          <w:rStyle w:val="32"/>
          <w:rFonts w:ascii="Times New Roman" w:hAnsi="Times New Roman" w:eastAsia="黑体"/>
          <w:sz w:val="28"/>
          <w:szCs w:val="28"/>
          <w:lang w:val="en-US"/>
        </w:rPr>
        <w:t>附录</w:t>
      </w:r>
      <w:r>
        <w:rPr>
          <w:rStyle w:val="32"/>
          <w:rFonts w:hint="eastAsia" w:ascii="Times New Roman" w:hAnsi="Times New Roman" w:eastAsia="黑体"/>
          <w:sz w:val="28"/>
          <w:szCs w:val="28"/>
          <w:lang w:val="en-US"/>
        </w:rPr>
        <w:t>J</w:t>
      </w:r>
      <w:r>
        <w:rPr>
          <w:rStyle w:val="32"/>
          <w:rFonts w:ascii="Times New Roman" w:hAnsi="Times New Roman" w:eastAsia="黑体"/>
          <w:sz w:val="28"/>
          <w:szCs w:val="28"/>
          <w:lang w:val="en-US"/>
        </w:rPr>
        <w:t xml:space="preserve">  </w:t>
      </w:r>
      <w:r>
        <w:rPr>
          <w:rStyle w:val="32"/>
          <w:rFonts w:hint="eastAsia" w:ascii="Times New Roman" w:hAnsi="Times New Roman" w:eastAsia="黑体"/>
          <w:sz w:val="28"/>
          <w:szCs w:val="28"/>
          <w:lang w:val="en-US"/>
        </w:rPr>
        <w:t>改造工程过程检查</w:t>
      </w:r>
      <w:bookmarkEnd w:id="924"/>
      <w:bookmarkEnd w:id="925"/>
      <w:bookmarkEnd w:id="926"/>
      <w:bookmarkEnd w:id="927"/>
    </w:p>
    <w:p w14:paraId="1E03BCC6">
      <w:pPr>
        <w:jc w:val="center"/>
        <w:outlineLvl w:val="2"/>
        <w:rPr>
          <w:rFonts w:eastAsia="黑体"/>
          <w:color w:val="000000"/>
          <w:sz w:val="24"/>
          <w:szCs w:val="24"/>
        </w:rPr>
      </w:pPr>
      <w:bookmarkStart w:id="928" w:name="_Toc19177"/>
      <w:bookmarkStart w:id="929" w:name="_Toc31117"/>
      <w:bookmarkStart w:id="930" w:name="_Toc28284"/>
      <w:bookmarkStart w:id="931" w:name="_Toc8545"/>
      <w:bookmarkStart w:id="932" w:name="_Toc23559"/>
      <w:bookmarkStart w:id="933" w:name="_Toc26942"/>
      <w:r>
        <w:rPr>
          <w:rFonts w:eastAsia="黑体"/>
          <w:color w:val="000000"/>
          <w:sz w:val="24"/>
          <w:szCs w:val="24"/>
          <w:lang w:val="zh-CN"/>
        </w:rPr>
        <w:t>表</w:t>
      </w:r>
      <w:r>
        <w:rPr>
          <w:rFonts w:hint="eastAsia" w:eastAsia="黑体"/>
          <w:color w:val="000000"/>
          <w:sz w:val="24"/>
          <w:szCs w:val="24"/>
        </w:rPr>
        <w:t>J</w:t>
      </w:r>
      <w:r>
        <w:rPr>
          <w:rFonts w:eastAsia="黑体"/>
          <w:color w:val="000000"/>
          <w:sz w:val="24"/>
          <w:szCs w:val="24"/>
          <w:lang w:val="zh-CN"/>
        </w:rPr>
        <w:t xml:space="preserve">.0.1  </w:t>
      </w:r>
      <w:r>
        <w:rPr>
          <w:rStyle w:val="32"/>
          <w:rFonts w:hint="eastAsia" w:ascii="Times New Roman" w:hAnsi="Times New Roman" w:eastAsia="黑体"/>
          <w:sz w:val="28"/>
          <w:szCs w:val="28"/>
          <w:lang w:val="en-US"/>
        </w:rPr>
        <w:t>改造工程过程检查记录表</w:t>
      </w:r>
      <w:bookmarkEnd w:id="928"/>
      <w:bookmarkEnd w:id="929"/>
      <w:bookmarkEnd w:id="930"/>
      <w:bookmarkEnd w:id="931"/>
      <w:bookmarkEnd w:id="932"/>
      <w:bookmarkEnd w:id="933"/>
    </w:p>
    <w:p w14:paraId="6BAC819F">
      <w:pPr>
        <w:widowControl/>
        <w:spacing w:before="156" w:beforeLines="50" w:after="156" w:afterLines="50"/>
        <w:jc w:val="left"/>
        <w:textAlignment w:val="center"/>
        <w:rPr>
          <w:color w:val="000000"/>
        </w:rPr>
      </w:pPr>
      <w:r>
        <w:rPr>
          <w:rFonts w:ascii="宋体" w:hAnsi="宋体"/>
          <w:color w:val="000000"/>
          <w:kern w:val="0"/>
          <w:sz w:val="24"/>
          <w:szCs w:val="24"/>
        </w:rPr>
        <w:t>工程名称：                             施工单位</w:t>
      </w:r>
      <w:r>
        <w:rPr>
          <w:rFonts w:hint="eastAsia" w:ascii="宋体" w:hAnsi="宋体"/>
          <w:color w:val="000000"/>
          <w:kern w:val="0"/>
          <w:sz w:val="24"/>
          <w:szCs w:val="24"/>
        </w:rPr>
        <w:t>：</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630"/>
        <w:gridCol w:w="4733"/>
      </w:tblGrid>
      <w:tr w14:paraId="5922E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9" w:type="dxa"/>
            <w:tcBorders>
              <w:top w:val="single" w:color="auto" w:sz="8" w:space="0"/>
              <w:left w:val="single" w:color="auto" w:sz="8" w:space="0"/>
              <w:bottom w:val="single" w:color="auto" w:sz="8" w:space="0"/>
              <w:right w:val="single" w:color="auto" w:sz="8" w:space="0"/>
            </w:tcBorders>
            <w:vAlign w:val="center"/>
          </w:tcPr>
          <w:p w14:paraId="3D794ACF">
            <w:pPr>
              <w:jc w:val="center"/>
              <w:rPr>
                <w:color w:val="000000"/>
                <w:szCs w:val="21"/>
              </w:rPr>
            </w:pPr>
            <w:r>
              <w:rPr>
                <w:rFonts w:hint="eastAsia"/>
                <w:color w:val="000000"/>
                <w:szCs w:val="21"/>
              </w:rPr>
              <w:t>序号</w:t>
            </w:r>
          </w:p>
        </w:tc>
        <w:tc>
          <w:tcPr>
            <w:tcW w:w="2630" w:type="dxa"/>
            <w:tcBorders>
              <w:top w:val="single" w:color="auto" w:sz="8" w:space="0"/>
              <w:left w:val="single" w:color="auto" w:sz="8" w:space="0"/>
              <w:bottom w:val="single" w:color="auto" w:sz="8" w:space="0"/>
              <w:right w:val="single" w:color="auto" w:sz="8" w:space="0"/>
            </w:tcBorders>
            <w:vAlign w:val="center"/>
          </w:tcPr>
          <w:p w14:paraId="3D8A6D75">
            <w:pPr>
              <w:spacing w:line="360" w:lineRule="auto"/>
              <w:jc w:val="center"/>
              <w:rPr>
                <w:color w:val="000000"/>
                <w:szCs w:val="21"/>
              </w:rPr>
            </w:pPr>
            <w:r>
              <w:rPr>
                <w:rFonts w:hint="eastAsia"/>
                <w:color w:val="000000"/>
                <w:szCs w:val="21"/>
              </w:rPr>
              <w:t>检查项目</w:t>
            </w:r>
          </w:p>
        </w:tc>
        <w:tc>
          <w:tcPr>
            <w:tcW w:w="4733" w:type="dxa"/>
            <w:tcBorders>
              <w:top w:val="single" w:color="auto" w:sz="8" w:space="0"/>
              <w:left w:val="single" w:color="auto" w:sz="8" w:space="0"/>
              <w:bottom w:val="single" w:color="auto" w:sz="8" w:space="0"/>
              <w:right w:val="single" w:color="auto" w:sz="8" w:space="0"/>
            </w:tcBorders>
            <w:vAlign w:val="center"/>
          </w:tcPr>
          <w:p w14:paraId="0D49DF07">
            <w:pPr>
              <w:spacing w:line="360" w:lineRule="auto"/>
              <w:jc w:val="center"/>
              <w:rPr>
                <w:color w:val="000000"/>
                <w:szCs w:val="21"/>
              </w:rPr>
            </w:pPr>
            <w:r>
              <w:rPr>
                <w:rFonts w:hint="eastAsia"/>
                <w:color w:val="000000"/>
                <w:szCs w:val="21"/>
              </w:rPr>
              <w:t>检查情况</w:t>
            </w:r>
          </w:p>
        </w:tc>
      </w:tr>
      <w:tr w14:paraId="77FE1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109" w:type="dxa"/>
            <w:tcBorders>
              <w:top w:val="single" w:color="auto" w:sz="8" w:space="0"/>
              <w:left w:val="single" w:color="auto" w:sz="8" w:space="0"/>
              <w:bottom w:val="single" w:color="auto" w:sz="8" w:space="0"/>
              <w:right w:val="single" w:color="auto" w:sz="8" w:space="0"/>
            </w:tcBorders>
            <w:vAlign w:val="center"/>
          </w:tcPr>
          <w:p w14:paraId="7132496F">
            <w:pPr>
              <w:spacing w:line="360" w:lineRule="auto"/>
              <w:jc w:val="center"/>
              <w:rPr>
                <w:color w:val="000000"/>
                <w:szCs w:val="21"/>
              </w:rPr>
            </w:pPr>
            <w:r>
              <w:rPr>
                <w:rFonts w:hint="eastAsia"/>
                <w:color w:val="000000"/>
                <w:szCs w:val="21"/>
              </w:rPr>
              <w:t>1</w:t>
            </w:r>
          </w:p>
        </w:tc>
        <w:tc>
          <w:tcPr>
            <w:tcW w:w="2630" w:type="dxa"/>
            <w:tcBorders>
              <w:top w:val="single" w:color="auto" w:sz="8" w:space="0"/>
              <w:left w:val="single" w:color="auto" w:sz="8" w:space="0"/>
              <w:bottom w:val="single" w:color="auto" w:sz="8" w:space="0"/>
              <w:right w:val="single" w:color="auto" w:sz="8" w:space="0"/>
            </w:tcBorders>
            <w:vAlign w:val="center"/>
          </w:tcPr>
          <w:p w14:paraId="03CFAE3C">
            <w:pPr>
              <w:spacing w:line="360" w:lineRule="auto"/>
              <w:jc w:val="center"/>
              <w:rPr>
                <w:color w:val="000000"/>
                <w:szCs w:val="21"/>
              </w:rPr>
            </w:pPr>
            <w:r>
              <w:rPr>
                <w:rFonts w:hint="eastAsia"/>
                <w:color w:val="000000"/>
                <w:szCs w:val="21"/>
              </w:rPr>
              <w:t>工程建设手续</w:t>
            </w:r>
          </w:p>
        </w:tc>
        <w:tc>
          <w:tcPr>
            <w:tcW w:w="4733" w:type="dxa"/>
            <w:tcBorders>
              <w:top w:val="single" w:color="auto" w:sz="8" w:space="0"/>
              <w:left w:val="single" w:color="auto" w:sz="8" w:space="0"/>
              <w:bottom w:val="single" w:color="auto" w:sz="8" w:space="0"/>
              <w:right w:val="single" w:color="auto" w:sz="8" w:space="0"/>
            </w:tcBorders>
            <w:vAlign w:val="center"/>
          </w:tcPr>
          <w:p w14:paraId="4B1D21D2">
            <w:pPr>
              <w:spacing w:line="360" w:lineRule="auto"/>
              <w:jc w:val="center"/>
              <w:rPr>
                <w:color w:val="000000"/>
                <w:szCs w:val="21"/>
              </w:rPr>
            </w:pPr>
          </w:p>
        </w:tc>
      </w:tr>
      <w:tr w14:paraId="5A40B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109" w:type="dxa"/>
            <w:tcBorders>
              <w:top w:val="single" w:color="auto" w:sz="8" w:space="0"/>
              <w:left w:val="single" w:color="auto" w:sz="8" w:space="0"/>
              <w:bottom w:val="single" w:color="auto" w:sz="8" w:space="0"/>
              <w:right w:val="single" w:color="auto" w:sz="8" w:space="0"/>
            </w:tcBorders>
            <w:vAlign w:val="center"/>
          </w:tcPr>
          <w:p w14:paraId="1C1A41E2">
            <w:pPr>
              <w:spacing w:line="360" w:lineRule="auto"/>
              <w:jc w:val="center"/>
              <w:rPr>
                <w:color w:val="000000"/>
                <w:szCs w:val="21"/>
              </w:rPr>
            </w:pPr>
            <w:r>
              <w:rPr>
                <w:rFonts w:hint="eastAsia"/>
                <w:color w:val="000000"/>
                <w:szCs w:val="21"/>
              </w:rPr>
              <w:t>2</w:t>
            </w:r>
          </w:p>
        </w:tc>
        <w:tc>
          <w:tcPr>
            <w:tcW w:w="2630" w:type="dxa"/>
            <w:tcBorders>
              <w:top w:val="single" w:color="auto" w:sz="8" w:space="0"/>
              <w:left w:val="single" w:color="auto" w:sz="8" w:space="0"/>
              <w:bottom w:val="single" w:color="auto" w:sz="8" w:space="0"/>
              <w:right w:val="single" w:color="auto" w:sz="8" w:space="0"/>
            </w:tcBorders>
            <w:vAlign w:val="center"/>
          </w:tcPr>
          <w:p w14:paraId="44E8AEB4">
            <w:pPr>
              <w:spacing w:line="360" w:lineRule="auto"/>
              <w:jc w:val="center"/>
              <w:rPr>
                <w:color w:val="000000"/>
                <w:szCs w:val="21"/>
              </w:rPr>
            </w:pPr>
            <w:r>
              <w:rPr>
                <w:rFonts w:hint="eastAsia"/>
                <w:color w:val="000000"/>
                <w:szCs w:val="21"/>
              </w:rPr>
              <w:t>技术管理文件</w:t>
            </w:r>
          </w:p>
        </w:tc>
        <w:tc>
          <w:tcPr>
            <w:tcW w:w="4733" w:type="dxa"/>
            <w:tcBorders>
              <w:top w:val="single" w:color="auto" w:sz="8" w:space="0"/>
              <w:left w:val="single" w:color="auto" w:sz="8" w:space="0"/>
              <w:bottom w:val="single" w:color="auto" w:sz="8" w:space="0"/>
              <w:right w:val="single" w:color="auto" w:sz="8" w:space="0"/>
            </w:tcBorders>
            <w:vAlign w:val="center"/>
          </w:tcPr>
          <w:p w14:paraId="15A4694B">
            <w:pPr>
              <w:spacing w:line="360" w:lineRule="auto"/>
              <w:jc w:val="center"/>
              <w:rPr>
                <w:color w:val="000000"/>
                <w:szCs w:val="21"/>
              </w:rPr>
            </w:pPr>
          </w:p>
        </w:tc>
      </w:tr>
      <w:tr w14:paraId="24DF4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109" w:type="dxa"/>
            <w:tcBorders>
              <w:top w:val="single" w:color="auto" w:sz="8" w:space="0"/>
              <w:left w:val="single" w:color="auto" w:sz="8" w:space="0"/>
              <w:bottom w:val="single" w:color="auto" w:sz="8" w:space="0"/>
              <w:right w:val="single" w:color="auto" w:sz="8" w:space="0"/>
            </w:tcBorders>
            <w:vAlign w:val="center"/>
          </w:tcPr>
          <w:p w14:paraId="25FD7D83">
            <w:pPr>
              <w:spacing w:line="360" w:lineRule="auto"/>
              <w:jc w:val="center"/>
              <w:rPr>
                <w:color w:val="000000"/>
                <w:szCs w:val="21"/>
              </w:rPr>
            </w:pPr>
            <w:r>
              <w:rPr>
                <w:rFonts w:hint="eastAsia"/>
                <w:color w:val="000000"/>
                <w:szCs w:val="21"/>
              </w:rPr>
              <w:t>3</w:t>
            </w:r>
          </w:p>
        </w:tc>
        <w:tc>
          <w:tcPr>
            <w:tcW w:w="2630" w:type="dxa"/>
            <w:tcBorders>
              <w:top w:val="single" w:color="auto" w:sz="8" w:space="0"/>
              <w:left w:val="single" w:color="auto" w:sz="8" w:space="0"/>
              <w:bottom w:val="single" w:color="auto" w:sz="8" w:space="0"/>
              <w:right w:val="single" w:color="auto" w:sz="8" w:space="0"/>
            </w:tcBorders>
            <w:vAlign w:val="center"/>
          </w:tcPr>
          <w:p w14:paraId="7DCE1D69">
            <w:pPr>
              <w:spacing w:line="360" w:lineRule="auto"/>
              <w:jc w:val="center"/>
              <w:rPr>
                <w:color w:val="000000"/>
                <w:szCs w:val="21"/>
              </w:rPr>
            </w:pPr>
            <w:r>
              <w:rPr>
                <w:rFonts w:hint="eastAsia"/>
                <w:color w:val="000000"/>
                <w:szCs w:val="21"/>
              </w:rPr>
              <w:t>工程实体质量</w:t>
            </w:r>
          </w:p>
        </w:tc>
        <w:tc>
          <w:tcPr>
            <w:tcW w:w="4733" w:type="dxa"/>
            <w:tcBorders>
              <w:top w:val="single" w:color="auto" w:sz="8" w:space="0"/>
              <w:left w:val="single" w:color="auto" w:sz="8" w:space="0"/>
              <w:bottom w:val="single" w:color="auto" w:sz="8" w:space="0"/>
              <w:right w:val="single" w:color="auto" w:sz="8" w:space="0"/>
            </w:tcBorders>
            <w:vAlign w:val="center"/>
          </w:tcPr>
          <w:p w14:paraId="37D99716">
            <w:pPr>
              <w:spacing w:line="360" w:lineRule="auto"/>
              <w:jc w:val="center"/>
              <w:rPr>
                <w:color w:val="000000"/>
                <w:szCs w:val="21"/>
              </w:rPr>
            </w:pPr>
          </w:p>
        </w:tc>
      </w:tr>
      <w:tr w14:paraId="7BA08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109" w:type="dxa"/>
            <w:tcBorders>
              <w:top w:val="single" w:color="auto" w:sz="8" w:space="0"/>
              <w:left w:val="single" w:color="auto" w:sz="8" w:space="0"/>
              <w:bottom w:val="single" w:color="auto" w:sz="8" w:space="0"/>
              <w:right w:val="single" w:color="auto" w:sz="8" w:space="0"/>
            </w:tcBorders>
            <w:vAlign w:val="center"/>
          </w:tcPr>
          <w:p w14:paraId="0C400DA2">
            <w:pPr>
              <w:spacing w:line="360" w:lineRule="auto"/>
              <w:jc w:val="center"/>
              <w:rPr>
                <w:color w:val="000000"/>
                <w:szCs w:val="21"/>
              </w:rPr>
            </w:pPr>
            <w:r>
              <w:rPr>
                <w:rFonts w:hint="eastAsia"/>
                <w:color w:val="000000"/>
                <w:szCs w:val="21"/>
              </w:rPr>
              <w:t>4</w:t>
            </w:r>
          </w:p>
        </w:tc>
        <w:tc>
          <w:tcPr>
            <w:tcW w:w="2630" w:type="dxa"/>
            <w:tcBorders>
              <w:top w:val="single" w:color="auto" w:sz="8" w:space="0"/>
              <w:left w:val="single" w:color="auto" w:sz="8" w:space="0"/>
              <w:bottom w:val="single" w:color="auto" w:sz="8" w:space="0"/>
              <w:right w:val="single" w:color="auto" w:sz="8" w:space="0"/>
            </w:tcBorders>
            <w:vAlign w:val="center"/>
          </w:tcPr>
          <w:p w14:paraId="5D69AF43">
            <w:pPr>
              <w:spacing w:line="360" w:lineRule="auto"/>
              <w:jc w:val="center"/>
              <w:rPr>
                <w:color w:val="000000"/>
                <w:szCs w:val="21"/>
              </w:rPr>
            </w:pPr>
            <w:r>
              <w:rPr>
                <w:rFonts w:hint="eastAsia"/>
                <w:color w:val="000000"/>
                <w:szCs w:val="21"/>
              </w:rPr>
              <w:t>绿色施工</w:t>
            </w:r>
          </w:p>
        </w:tc>
        <w:tc>
          <w:tcPr>
            <w:tcW w:w="4733" w:type="dxa"/>
            <w:tcBorders>
              <w:top w:val="single" w:color="auto" w:sz="8" w:space="0"/>
              <w:left w:val="single" w:color="auto" w:sz="8" w:space="0"/>
              <w:bottom w:val="single" w:color="auto" w:sz="8" w:space="0"/>
              <w:right w:val="single" w:color="auto" w:sz="8" w:space="0"/>
            </w:tcBorders>
            <w:vAlign w:val="center"/>
          </w:tcPr>
          <w:p w14:paraId="6AC853D3">
            <w:pPr>
              <w:spacing w:line="360" w:lineRule="auto"/>
              <w:jc w:val="center"/>
              <w:rPr>
                <w:color w:val="000000"/>
                <w:szCs w:val="21"/>
              </w:rPr>
            </w:pPr>
          </w:p>
        </w:tc>
      </w:tr>
      <w:tr w14:paraId="1D58F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2" w:type="dxa"/>
            <w:gridSpan w:val="3"/>
            <w:tcBorders>
              <w:top w:val="single" w:color="auto" w:sz="8" w:space="0"/>
              <w:left w:val="single" w:color="auto" w:sz="8" w:space="0"/>
              <w:bottom w:val="single" w:color="auto" w:sz="8" w:space="0"/>
              <w:right w:val="single" w:color="auto" w:sz="8" w:space="0"/>
            </w:tcBorders>
          </w:tcPr>
          <w:p w14:paraId="27755944">
            <w:pPr>
              <w:rPr>
                <w:color w:val="000000"/>
              </w:rPr>
            </w:pPr>
            <w:r>
              <w:rPr>
                <w:rFonts w:hint="eastAsia"/>
                <w:color w:val="000000"/>
              </w:rPr>
              <w:t>意见和建议：</w:t>
            </w:r>
          </w:p>
          <w:p w14:paraId="46AF97AB">
            <w:pPr>
              <w:pStyle w:val="2"/>
              <w:ind w:left="134" w:firstLine="283"/>
              <w:rPr>
                <w:rFonts w:ascii="宋体" w:hAnsi="宋体" w:cs="宋体"/>
                <w:color w:val="000000"/>
                <w:kern w:val="0"/>
                <w:szCs w:val="21"/>
              </w:rPr>
            </w:pPr>
          </w:p>
          <w:p w14:paraId="41EFEB3E">
            <w:pPr>
              <w:pStyle w:val="2"/>
              <w:ind w:left="134" w:firstLine="283"/>
              <w:rPr>
                <w:rFonts w:ascii="宋体" w:hAnsi="宋体" w:cs="宋体"/>
                <w:color w:val="000000"/>
                <w:kern w:val="0"/>
                <w:szCs w:val="21"/>
              </w:rPr>
            </w:pPr>
          </w:p>
          <w:p w14:paraId="1A5ED914">
            <w:pPr>
              <w:pStyle w:val="2"/>
              <w:ind w:left="134" w:firstLine="283"/>
              <w:rPr>
                <w:rFonts w:ascii="宋体" w:hAnsi="宋体" w:cs="宋体"/>
                <w:color w:val="000000"/>
                <w:kern w:val="0"/>
                <w:szCs w:val="21"/>
              </w:rPr>
            </w:pPr>
          </w:p>
          <w:p w14:paraId="1DE491B3">
            <w:pPr>
              <w:pStyle w:val="2"/>
              <w:ind w:left="134" w:firstLine="283"/>
              <w:rPr>
                <w:rFonts w:ascii="宋体" w:hAnsi="宋体" w:cs="宋体"/>
                <w:color w:val="000000"/>
                <w:kern w:val="0"/>
                <w:szCs w:val="21"/>
              </w:rPr>
            </w:pPr>
          </w:p>
          <w:p w14:paraId="1E687BAE">
            <w:pPr>
              <w:pStyle w:val="2"/>
              <w:ind w:left="134" w:firstLine="283"/>
              <w:rPr>
                <w:rFonts w:ascii="宋体" w:hAnsi="宋体" w:cs="宋体"/>
                <w:color w:val="000000"/>
                <w:kern w:val="0"/>
                <w:szCs w:val="21"/>
              </w:rPr>
            </w:pPr>
          </w:p>
          <w:p w14:paraId="027E7C39">
            <w:pPr>
              <w:pStyle w:val="2"/>
              <w:ind w:left="134" w:firstLine="283"/>
              <w:rPr>
                <w:rFonts w:ascii="宋体" w:hAnsi="宋体" w:cs="宋体"/>
                <w:color w:val="000000"/>
                <w:kern w:val="0"/>
                <w:szCs w:val="21"/>
              </w:rPr>
            </w:pPr>
          </w:p>
          <w:p w14:paraId="4715BF2C">
            <w:pPr>
              <w:pStyle w:val="2"/>
              <w:ind w:left="134" w:firstLine="283"/>
              <w:rPr>
                <w:rFonts w:ascii="宋体" w:hAnsi="宋体" w:cs="宋体"/>
                <w:color w:val="000000"/>
                <w:kern w:val="0"/>
                <w:szCs w:val="21"/>
              </w:rPr>
            </w:pPr>
          </w:p>
          <w:p w14:paraId="3F3556E3">
            <w:pPr>
              <w:pStyle w:val="2"/>
              <w:ind w:left="134" w:firstLine="283"/>
              <w:rPr>
                <w:rFonts w:ascii="宋体" w:hAnsi="宋体" w:cs="宋体"/>
                <w:color w:val="000000"/>
                <w:kern w:val="0"/>
                <w:szCs w:val="21"/>
              </w:rPr>
            </w:pPr>
          </w:p>
          <w:p w14:paraId="272F136D">
            <w:pPr>
              <w:pStyle w:val="2"/>
              <w:ind w:left="134" w:firstLine="283"/>
              <w:rPr>
                <w:rFonts w:ascii="宋体" w:hAnsi="宋体" w:cs="宋体"/>
                <w:color w:val="000000"/>
                <w:kern w:val="0"/>
                <w:szCs w:val="21"/>
              </w:rPr>
            </w:pPr>
          </w:p>
          <w:p w14:paraId="3271CF58">
            <w:pPr>
              <w:pStyle w:val="2"/>
              <w:ind w:left="134" w:firstLine="283"/>
              <w:rPr>
                <w:rFonts w:ascii="宋体" w:hAnsi="宋体" w:cs="宋体"/>
                <w:color w:val="000000"/>
                <w:kern w:val="0"/>
                <w:szCs w:val="21"/>
              </w:rPr>
            </w:pPr>
          </w:p>
          <w:p w14:paraId="1E331897">
            <w:pPr>
              <w:pStyle w:val="2"/>
              <w:ind w:left="134" w:firstLine="283"/>
              <w:rPr>
                <w:rFonts w:ascii="宋体" w:hAnsi="宋体" w:cs="宋体"/>
                <w:color w:val="000000"/>
                <w:kern w:val="0"/>
                <w:szCs w:val="21"/>
              </w:rPr>
            </w:pPr>
          </w:p>
          <w:p w14:paraId="4E9BD1A2">
            <w:pPr>
              <w:pStyle w:val="2"/>
              <w:ind w:left="134" w:firstLine="283"/>
              <w:rPr>
                <w:rFonts w:ascii="宋体" w:hAnsi="宋体" w:cs="宋体"/>
                <w:color w:val="000000"/>
                <w:kern w:val="0"/>
                <w:szCs w:val="21"/>
              </w:rPr>
            </w:pPr>
          </w:p>
          <w:p w14:paraId="2C063C04">
            <w:pPr>
              <w:pStyle w:val="2"/>
              <w:ind w:left="134" w:firstLine="283"/>
              <w:rPr>
                <w:rFonts w:ascii="宋体" w:hAnsi="宋体" w:cs="宋体"/>
                <w:color w:val="000000"/>
                <w:kern w:val="0"/>
                <w:szCs w:val="21"/>
              </w:rPr>
            </w:pPr>
          </w:p>
        </w:tc>
      </w:tr>
      <w:tr w14:paraId="67620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8472" w:type="dxa"/>
            <w:gridSpan w:val="3"/>
            <w:tcBorders>
              <w:top w:val="single" w:color="auto" w:sz="8" w:space="0"/>
              <w:left w:val="single" w:color="auto" w:sz="8" w:space="0"/>
              <w:bottom w:val="single" w:color="auto" w:sz="8" w:space="0"/>
              <w:right w:val="single" w:color="auto" w:sz="8" w:space="0"/>
            </w:tcBorders>
          </w:tcPr>
          <w:p w14:paraId="7EBF92BB">
            <w:pPr>
              <w:wordWrap w:val="0"/>
              <w:ind w:right="1240"/>
              <w:rPr>
                <w:color w:val="000000"/>
                <w:szCs w:val="21"/>
              </w:rPr>
            </w:pPr>
            <w:r>
              <w:rPr>
                <w:rFonts w:hint="eastAsia"/>
                <w:color w:val="000000"/>
                <w:szCs w:val="21"/>
              </w:rPr>
              <w:t>检查人</w:t>
            </w:r>
            <w:r>
              <w:rPr>
                <w:color w:val="000000"/>
                <w:szCs w:val="21"/>
              </w:rPr>
              <w:t>：</w:t>
            </w:r>
          </w:p>
          <w:p w14:paraId="2B2DC2D9">
            <w:pPr>
              <w:pStyle w:val="2"/>
              <w:ind w:left="134" w:firstLine="283"/>
              <w:rPr>
                <w:color w:val="000000"/>
                <w:szCs w:val="21"/>
              </w:rPr>
            </w:pPr>
          </w:p>
          <w:p w14:paraId="73BF335F">
            <w:pPr>
              <w:pStyle w:val="2"/>
              <w:ind w:left="134" w:firstLine="283"/>
              <w:rPr>
                <w:color w:val="000000"/>
                <w:szCs w:val="21"/>
              </w:rPr>
            </w:pPr>
          </w:p>
          <w:p w14:paraId="776389B1">
            <w:pPr>
              <w:pStyle w:val="2"/>
              <w:ind w:left="134" w:firstLine="283"/>
              <w:rPr>
                <w:color w:val="000000"/>
                <w:szCs w:val="21"/>
              </w:rPr>
            </w:pPr>
          </w:p>
          <w:p w14:paraId="022448CE">
            <w:pPr>
              <w:wordWrap w:val="0"/>
              <w:ind w:right="1240"/>
              <w:rPr>
                <w:color w:val="000000"/>
                <w:szCs w:val="21"/>
              </w:rPr>
            </w:pPr>
          </w:p>
          <w:p w14:paraId="661B61E0">
            <w:pPr>
              <w:wordWrap w:val="0"/>
              <w:ind w:right="1240"/>
              <w:rPr>
                <w:color w:val="000000"/>
                <w:szCs w:val="21"/>
              </w:rPr>
            </w:pPr>
          </w:p>
          <w:p w14:paraId="1C3BC6C9">
            <w:pPr>
              <w:wordWrap w:val="0"/>
              <w:ind w:right="1240"/>
              <w:rPr>
                <w:color w:val="000000"/>
                <w:szCs w:val="21"/>
              </w:rPr>
            </w:pPr>
            <w:r>
              <w:rPr>
                <w:color w:val="000000"/>
                <w:szCs w:val="21"/>
              </w:rPr>
              <w:t xml:space="preserve">                                              年   月   日</w:t>
            </w:r>
          </w:p>
        </w:tc>
      </w:tr>
    </w:tbl>
    <w:p w14:paraId="1DD583AF">
      <w:pPr>
        <w:widowControl/>
        <w:jc w:val="center"/>
        <w:textAlignment w:val="center"/>
        <w:outlineLvl w:val="1"/>
        <w:rPr>
          <w:rStyle w:val="32"/>
          <w:rFonts w:ascii="Times New Roman" w:hAnsi="Times New Roman" w:eastAsia="黑体"/>
          <w:sz w:val="28"/>
          <w:szCs w:val="28"/>
          <w:lang w:val="en-US"/>
        </w:rPr>
      </w:pPr>
      <w:r>
        <w:rPr>
          <w:rStyle w:val="32"/>
          <w:rFonts w:ascii="Times New Roman" w:hAnsi="Times New Roman" w:eastAsia="黑体"/>
          <w:sz w:val="28"/>
          <w:szCs w:val="28"/>
          <w:lang w:val="en-US"/>
        </w:rPr>
        <w:br w:type="page"/>
      </w:r>
      <w:bookmarkStart w:id="934" w:name="_Toc2299"/>
      <w:bookmarkStart w:id="935" w:name="_Toc19567"/>
      <w:bookmarkStart w:id="936" w:name="_Toc29747"/>
      <w:bookmarkStart w:id="937" w:name="_Toc16571"/>
      <w:r>
        <w:rPr>
          <w:rStyle w:val="32"/>
          <w:rFonts w:ascii="Times New Roman" w:hAnsi="Times New Roman" w:eastAsia="黑体"/>
          <w:sz w:val="28"/>
          <w:szCs w:val="28"/>
          <w:lang w:val="en-US"/>
        </w:rPr>
        <w:t>附录</w:t>
      </w:r>
      <w:r>
        <w:rPr>
          <w:rStyle w:val="32"/>
          <w:rFonts w:hint="eastAsia" w:ascii="Times New Roman" w:hAnsi="Times New Roman" w:eastAsia="黑体"/>
          <w:sz w:val="28"/>
          <w:szCs w:val="28"/>
          <w:lang w:val="en-US"/>
        </w:rPr>
        <w:t>K</w:t>
      </w:r>
      <w:r>
        <w:rPr>
          <w:rStyle w:val="32"/>
          <w:rFonts w:ascii="Times New Roman" w:hAnsi="Times New Roman" w:eastAsia="黑体"/>
          <w:sz w:val="28"/>
          <w:szCs w:val="28"/>
          <w:lang w:val="en-US"/>
        </w:rPr>
        <w:t xml:space="preserve">  工程建设单位对施工质量的评价</w:t>
      </w:r>
      <w:bookmarkEnd w:id="904"/>
      <w:bookmarkEnd w:id="905"/>
      <w:bookmarkEnd w:id="906"/>
      <w:bookmarkEnd w:id="907"/>
      <w:bookmarkEnd w:id="934"/>
      <w:bookmarkEnd w:id="935"/>
      <w:bookmarkEnd w:id="936"/>
      <w:bookmarkEnd w:id="937"/>
    </w:p>
    <w:p w14:paraId="11A4F0A4">
      <w:pPr>
        <w:jc w:val="center"/>
        <w:outlineLvl w:val="2"/>
        <w:rPr>
          <w:rFonts w:eastAsia="黑体"/>
          <w:color w:val="000000"/>
          <w:sz w:val="24"/>
          <w:szCs w:val="24"/>
          <w:lang w:val="zh-CN"/>
        </w:rPr>
      </w:pPr>
      <w:bookmarkStart w:id="938" w:name="_Toc15121"/>
      <w:bookmarkStart w:id="939" w:name="_Toc9827"/>
      <w:bookmarkStart w:id="940" w:name="_Toc14723"/>
      <w:bookmarkStart w:id="941" w:name="_Toc20730"/>
      <w:bookmarkStart w:id="942" w:name="_Toc26905"/>
      <w:bookmarkStart w:id="943" w:name="_Toc4465"/>
      <w:bookmarkStart w:id="944" w:name="_Toc22554"/>
      <w:bookmarkStart w:id="945" w:name="_Toc12147"/>
      <w:bookmarkStart w:id="946" w:name="_Toc31512"/>
      <w:bookmarkStart w:id="947" w:name="_Toc18408"/>
      <w:bookmarkStart w:id="948" w:name="_Toc14971"/>
      <w:bookmarkStart w:id="949" w:name="_Toc27309"/>
      <w:bookmarkStart w:id="950" w:name="_Toc10151"/>
      <w:bookmarkStart w:id="951" w:name="_Toc16891"/>
      <w:r>
        <w:rPr>
          <w:rFonts w:eastAsia="黑体"/>
          <w:color w:val="000000"/>
          <w:sz w:val="24"/>
          <w:szCs w:val="24"/>
          <w:lang w:val="zh-CN"/>
        </w:rPr>
        <w:t>表</w:t>
      </w:r>
      <w:r>
        <w:rPr>
          <w:rFonts w:hint="eastAsia" w:eastAsia="黑体"/>
          <w:color w:val="000000"/>
          <w:sz w:val="24"/>
          <w:szCs w:val="24"/>
        </w:rPr>
        <w:t>K</w:t>
      </w:r>
      <w:r>
        <w:rPr>
          <w:rFonts w:eastAsia="黑体"/>
          <w:color w:val="000000"/>
          <w:sz w:val="24"/>
          <w:szCs w:val="24"/>
          <w:lang w:val="zh-CN"/>
        </w:rPr>
        <w:t>.0.1  工程建设单位对施工质量的评价表</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5DB374F4">
      <w:pPr>
        <w:rPr>
          <w:rFonts w:eastAsia="黑体"/>
          <w:b/>
          <w:color w:val="000000"/>
          <w:sz w:val="24"/>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188"/>
        <w:gridCol w:w="2190"/>
        <w:gridCol w:w="2186"/>
      </w:tblGrid>
      <w:tr w14:paraId="4CFFB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08" w:type="dxa"/>
            <w:tcBorders>
              <w:top w:val="single" w:color="auto" w:sz="8" w:space="0"/>
              <w:left w:val="single" w:color="auto" w:sz="8" w:space="0"/>
              <w:bottom w:val="single" w:color="auto" w:sz="8" w:space="0"/>
              <w:right w:val="single" w:color="auto" w:sz="8" w:space="0"/>
            </w:tcBorders>
            <w:vAlign w:val="center"/>
          </w:tcPr>
          <w:p w14:paraId="3314E1E5">
            <w:pPr>
              <w:spacing w:line="360" w:lineRule="auto"/>
              <w:jc w:val="center"/>
              <w:rPr>
                <w:color w:val="000000"/>
                <w:szCs w:val="21"/>
              </w:rPr>
            </w:pPr>
            <w:r>
              <w:rPr>
                <w:color w:val="000000"/>
                <w:szCs w:val="21"/>
              </w:rPr>
              <w:t>工程名称</w:t>
            </w:r>
          </w:p>
        </w:tc>
        <w:tc>
          <w:tcPr>
            <w:tcW w:w="6564" w:type="dxa"/>
            <w:gridSpan w:val="3"/>
            <w:tcBorders>
              <w:top w:val="single" w:color="auto" w:sz="8" w:space="0"/>
              <w:left w:val="single" w:color="auto" w:sz="8" w:space="0"/>
              <w:bottom w:val="single" w:color="auto" w:sz="8" w:space="0"/>
              <w:right w:val="single" w:color="auto" w:sz="8" w:space="0"/>
            </w:tcBorders>
            <w:vAlign w:val="center"/>
          </w:tcPr>
          <w:p w14:paraId="0F56B5C8">
            <w:pPr>
              <w:spacing w:line="360" w:lineRule="auto"/>
              <w:jc w:val="center"/>
              <w:rPr>
                <w:color w:val="000000"/>
                <w:szCs w:val="21"/>
              </w:rPr>
            </w:pPr>
          </w:p>
        </w:tc>
      </w:tr>
      <w:tr w14:paraId="1CE25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8" w:space="0"/>
              <w:left w:val="single" w:color="auto" w:sz="8" w:space="0"/>
              <w:bottom w:val="single" w:color="auto" w:sz="8" w:space="0"/>
              <w:right w:val="single" w:color="auto" w:sz="8" w:space="0"/>
            </w:tcBorders>
            <w:vAlign w:val="center"/>
          </w:tcPr>
          <w:p w14:paraId="60488B69">
            <w:pPr>
              <w:jc w:val="center"/>
              <w:rPr>
                <w:color w:val="000000"/>
                <w:szCs w:val="21"/>
              </w:rPr>
            </w:pPr>
            <w:r>
              <w:rPr>
                <w:color w:val="000000"/>
                <w:szCs w:val="21"/>
              </w:rPr>
              <w:t xml:space="preserve">          评价</w:t>
            </w:r>
          </w:p>
          <w:p w14:paraId="089D432B">
            <w:pPr>
              <w:jc w:val="left"/>
              <w:rPr>
                <w:color w:val="000000"/>
                <w:szCs w:val="21"/>
              </w:rPr>
            </w:pPr>
            <w:r>
              <w:rPr>
                <w:color w:val="000000"/>
                <w:szCs w:val="21"/>
              </w:rPr>
              <w:t>项目</w:t>
            </w:r>
          </w:p>
        </w:tc>
        <w:tc>
          <w:tcPr>
            <w:tcW w:w="2188" w:type="dxa"/>
            <w:tcBorders>
              <w:top w:val="single" w:color="auto" w:sz="8" w:space="0"/>
              <w:left w:val="single" w:color="auto" w:sz="8" w:space="0"/>
              <w:bottom w:val="single" w:color="auto" w:sz="8" w:space="0"/>
              <w:right w:val="single" w:color="auto" w:sz="8" w:space="0"/>
            </w:tcBorders>
            <w:vAlign w:val="center"/>
          </w:tcPr>
          <w:p w14:paraId="7BEB7C21">
            <w:pPr>
              <w:spacing w:line="360" w:lineRule="auto"/>
              <w:jc w:val="center"/>
              <w:rPr>
                <w:color w:val="000000"/>
                <w:szCs w:val="21"/>
              </w:rPr>
            </w:pPr>
            <w:r>
              <w:rPr>
                <w:color w:val="000000"/>
                <w:szCs w:val="21"/>
              </w:rPr>
              <w:t>非常满意</w:t>
            </w:r>
          </w:p>
        </w:tc>
        <w:tc>
          <w:tcPr>
            <w:tcW w:w="2190" w:type="dxa"/>
            <w:tcBorders>
              <w:top w:val="single" w:color="auto" w:sz="8" w:space="0"/>
              <w:left w:val="single" w:color="auto" w:sz="8" w:space="0"/>
              <w:bottom w:val="single" w:color="auto" w:sz="8" w:space="0"/>
              <w:right w:val="single" w:color="auto" w:sz="8" w:space="0"/>
            </w:tcBorders>
            <w:vAlign w:val="center"/>
          </w:tcPr>
          <w:p w14:paraId="43B7B731">
            <w:pPr>
              <w:spacing w:line="360" w:lineRule="auto"/>
              <w:jc w:val="center"/>
              <w:rPr>
                <w:color w:val="000000"/>
                <w:szCs w:val="21"/>
              </w:rPr>
            </w:pPr>
            <w:r>
              <w:rPr>
                <w:color w:val="000000"/>
                <w:szCs w:val="21"/>
              </w:rPr>
              <w:t>满意</w:t>
            </w:r>
          </w:p>
        </w:tc>
        <w:tc>
          <w:tcPr>
            <w:tcW w:w="2186" w:type="dxa"/>
            <w:tcBorders>
              <w:top w:val="single" w:color="auto" w:sz="8" w:space="0"/>
              <w:left w:val="single" w:color="auto" w:sz="8" w:space="0"/>
              <w:bottom w:val="single" w:color="auto" w:sz="8" w:space="0"/>
              <w:right w:val="single" w:color="auto" w:sz="8" w:space="0"/>
            </w:tcBorders>
            <w:vAlign w:val="center"/>
          </w:tcPr>
          <w:p w14:paraId="4F386A7B">
            <w:pPr>
              <w:spacing w:line="360" w:lineRule="auto"/>
              <w:jc w:val="center"/>
              <w:rPr>
                <w:color w:val="000000"/>
                <w:szCs w:val="21"/>
              </w:rPr>
            </w:pPr>
            <w:r>
              <w:rPr>
                <w:color w:val="000000"/>
                <w:szCs w:val="21"/>
              </w:rPr>
              <w:t>不满意</w:t>
            </w:r>
          </w:p>
        </w:tc>
      </w:tr>
      <w:tr w14:paraId="1979C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tcBorders>
              <w:top w:val="single" w:color="auto" w:sz="8" w:space="0"/>
              <w:left w:val="single" w:color="auto" w:sz="8" w:space="0"/>
              <w:bottom w:val="single" w:color="auto" w:sz="8" w:space="0"/>
              <w:right w:val="single" w:color="auto" w:sz="8" w:space="0"/>
            </w:tcBorders>
            <w:vAlign w:val="center"/>
          </w:tcPr>
          <w:p w14:paraId="3784CB04">
            <w:pPr>
              <w:spacing w:line="360" w:lineRule="auto"/>
              <w:jc w:val="center"/>
              <w:rPr>
                <w:color w:val="000000"/>
                <w:szCs w:val="21"/>
              </w:rPr>
            </w:pPr>
            <w:r>
              <w:rPr>
                <w:color w:val="000000"/>
                <w:szCs w:val="21"/>
              </w:rPr>
              <w:t>施工管理</w:t>
            </w:r>
          </w:p>
        </w:tc>
        <w:tc>
          <w:tcPr>
            <w:tcW w:w="2188" w:type="dxa"/>
            <w:tcBorders>
              <w:top w:val="single" w:color="auto" w:sz="8" w:space="0"/>
              <w:left w:val="single" w:color="auto" w:sz="8" w:space="0"/>
              <w:bottom w:val="single" w:color="auto" w:sz="8" w:space="0"/>
              <w:right w:val="single" w:color="auto" w:sz="8" w:space="0"/>
            </w:tcBorders>
            <w:vAlign w:val="center"/>
          </w:tcPr>
          <w:p w14:paraId="291A6075">
            <w:pPr>
              <w:spacing w:line="360" w:lineRule="auto"/>
              <w:jc w:val="center"/>
              <w:rPr>
                <w:color w:val="000000"/>
                <w:szCs w:val="21"/>
              </w:rPr>
            </w:pPr>
          </w:p>
        </w:tc>
        <w:tc>
          <w:tcPr>
            <w:tcW w:w="2190" w:type="dxa"/>
            <w:tcBorders>
              <w:top w:val="single" w:color="auto" w:sz="8" w:space="0"/>
              <w:left w:val="single" w:color="auto" w:sz="8" w:space="0"/>
              <w:bottom w:val="single" w:color="auto" w:sz="8" w:space="0"/>
              <w:right w:val="single" w:color="auto" w:sz="8" w:space="0"/>
            </w:tcBorders>
            <w:vAlign w:val="center"/>
          </w:tcPr>
          <w:p w14:paraId="3D1A3732">
            <w:pPr>
              <w:spacing w:line="360" w:lineRule="auto"/>
              <w:jc w:val="center"/>
              <w:rPr>
                <w:color w:val="000000"/>
                <w:szCs w:val="21"/>
              </w:rPr>
            </w:pPr>
          </w:p>
        </w:tc>
        <w:tc>
          <w:tcPr>
            <w:tcW w:w="2186" w:type="dxa"/>
            <w:tcBorders>
              <w:top w:val="single" w:color="auto" w:sz="8" w:space="0"/>
              <w:left w:val="single" w:color="auto" w:sz="8" w:space="0"/>
              <w:bottom w:val="single" w:color="auto" w:sz="8" w:space="0"/>
              <w:right w:val="single" w:color="auto" w:sz="8" w:space="0"/>
            </w:tcBorders>
            <w:vAlign w:val="center"/>
          </w:tcPr>
          <w:p w14:paraId="0C055EDA">
            <w:pPr>
              <w:spacing w:line="360" w:lineRule="auto"/>
              <w:jc w:val="center"/>
              <w:rPr>
                <w:color w:val="000000"/>
                <w:szCs w:val="21"/>
              </w:rPr>
            </w:pPr>
          </w:p>
        </w:tc>
      </w:tr>
      <w:tr w14:paraId="570A5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tcBorders>
              <w:top w:val="single" w:color="auto" w:sz="8" w:space="0"/>
              <w:left w:val="single" w:color="auto" w:sz="8" w:space="0"/>
              <w:bottom w:val="single" w:color="auto" w:sz="8" w:space="0"/>
              <w:right w:val="single" w:color="auto" w:sz="8" w:space="0"/>
            </w:tcBorders>
            <w:vAlign w:val="center"/>
          </w:tcPr>
          <w:p w14:paraId="6E52F7DA">
            <w:pPr>
              <w:spacing w:line="360" w:lineRule="auto"/>
              <w:jc w:val="center"/>
              <w:rPr>
                <w:color w:val="000000"/>
                <w:szCs w:val="21"/>
              </w:rPr>
            </w:pPr>
            <w:r>
              <w:rPr>
                <w:color w:val="000000"/>
                <w:szCs w:val="21"/>
              </w:rPr>
              <w:t>工程质量</w:t>
            </w:r>
          </w:p>
        </w:tc>
        <w:tc>
          <w:tcPr>
            <w:tcW w:w="2188" w:type="dxa"/>
            <w:tcBorders>
              <w:top w:val="single" w:color="auto" w:sz="8" w:space="0"/>
              <w:left w:val="single" w:color="auto" w:sz="8" w:space="0"/>
              <w:bottom w:val="single" w:color="auto" w:sz="8" w:space="0"/>
              <w:right w:val="single" w:color="auto" w:sz="8" w:space="0"/>
            </w:tcBorders>
            <w:vAlign w:val="center"/>
          </w:tcPr>
          <w:p w14:paraId="1872C332">
            <w:pPr>
              <w:spacing w:line="360" w:lineRule="auto"/>
              <w:jc w:val="center"/>
              <w:rPr>
                <w:color w:val="000000"/>
                <w:szCs w:val="21"/>
              </w:rPr>
            </w:pPr>
          </w:p>
        </w:tc>
        <w:tc>
          <w:tcPr>
            <w:tcW w:w="2190" w:type="dxa"/>
            <w:tcBorders>
              <w:top w:val="single" w:color="auto" w:sz="8" w:space="0"/>
              <w:left w:val="single" w:color="auto" w:sz="8" w:space="0"/>
              <w:bottom w:val="single" w:color="auto" w:sz="8" w:space="0"/>
              <w:right w:val="single" w:color="auto" w:sz="8" w:space="0"/>
            </w:tcBorders>
            <w:vAlign w:val="center"/>
          </w:tcPr>
          <w:p w14:paraId="0F550193">
            <w:pPr>
              <w:spacing w:line="360" w:lineRule="auto"/>
              <w:jc w:val="center"/>
              <w:rPr>
                <w:color w:val="000000"/>
                <w:szCs w:val="21"/>
              </w:rPr>
            </w:pPr>
          </w:p>
        </w:tc>
        <w:tc>
          <w:tcPr>
            <w:tcW w:w="2186" w:type="dxa"/>
            <w:tcBorders>
              <w:top w:val="single" w:color="auto" w:sz="8" w:space="0"/>
              <w:left w:val="single" w:color="auto" w:sz="8" w:space="0"/>
              <w:bottom w:val="single" w:color="auto" w:sz="8" w:space="0"/>
              <w:right w:val="single" w:color="auto" w:sz="8" w:space="0"/>
            </w:tcBorders>
            <w:vAlign w:val="center"/>
          </w:tcPr>
          <w:p w14:paraId="4A929B36">
            <w:pPr>
              <w:spacing w:line="360" w:lineRule="auto"/>
              <w:jc w:val="center"/>
              <w:rPr>
                <w:color w:val="000000"/>
                <w:szCs w:val="21"/>
              </w:rPr>
            </w:pPr>
          </w:p>
        </w:tc>
      </w:tr>
      <w:tr w14:paraId="774F5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tcBorders>
              <w:top w:val="single" w:color="auto" w:sz="8" w:space="0"/>
              <w:left w:val="single" w:color="auto" w:sz="8" w:space="0"/>
              <w:bottom w:val="single" w:color="auto" w:sz="8" w:space="0"/>
              <w:right w:val="single" w:color="auto" w:sz="8" w:space="0"/>
            </w:tcBorders>
            <w:vAlign w:val="center"/>
          </w:tcPr>
          <w:p w14:paraId="719C52DD">
            <w:pPr>
              <w:spacing w:line="360" w:lineRule="auto"/>
              <w:jc w:val="center"/>
              <w:rPr>
                <w:color w:val="000000"/>
                <w:szCs w:val="21"/>
              </w:rPr>
            </w:pPr>
            <w:r>
              <w:rPr>
                <w:color w:val="000000"/>
                <w:szCs w:val="21"/>
              </w:rPr>
              <w:t>施工安全</w:t>
            </w:r>
          </w:p>
        </w:tc>
        <w:tc>
          <w:tcPr>
            <w:tcW w:w="2188" w:type="dxa"/>
            <w:tcBorders>
              <w:top w:val="single" w:color="auto" w:sz="8" w:space="0"/>
              <w:left w:val="single" w:color="auto" w:sz="8" w:space="0"/>
              <w:bottom w:val="single" w:color="auto" w:sz="8" w:space="0"/>
              <w:right w:val="single" w:color="auto" w:sz="8" w:space="0"/>
            </w:tcBorders>
            <w:vAlign w:val="center"/>
          </w:tcPr>
          <w:p w14:paraId="2F47D1E3">
            <w:pPr>
              <w:spacing w:line="360" w:lineRule="auto"/>
              <w:jc w:val="center"/>
              <w:rPr>
                <w:color w:val="000000"/>
                <w:szCs w:val="21"/>
              </w:rPr>
            </w:pPr>
          </w:p>
        </w:tc>
        <w:tc>
          <w:tcPr>
            <w:tcW w:w="2190" w:type="dxa"/>
            <w:tcBorders>
              <w:top w:val="single" w:color="auto" w:sz="8" w:space="0"/>
              <w:left w:val="single" w:color="auto" w:sz="8" w:space="0"/>
              <w:bottom w:val="single" w:color="auto" w:sz="8" w:space="0"/>
              <w:right w:val="single" w:color="auto" w:sz="8" w:space="0"/>
            </w:tcBorders>
            <w:vAlign w:val="center"/>
          </w:tcPr>
          <w:p w14:paraId="514F438F">
            <w:pPr>
              <w:spacing w:line="360" w:lineRule="auto"/>
              <w:jc w:val="center"/>
              <w:rPr>
                <w:color w:val="000000"/>
                <w:szCs w:val="21"/>
              </w:rPr>
            </w:pPr>
          </w:p>
        </w:tc>
        <w:tc>
          <w:tcPr>
            <w:tcW w:w="2186" w:type="dxa"/>
            <w:tcBorders>
              <w:top w:val="single" w:color="auto" w:sz="8" w:space="0"/>
              <w:left w:val="single" w:color="auto" w:sz="8" w:space="0"/>
              <w:bottom w:val="single" w:color="auto" w:sz="8" w:space="0"/>
              <w:right w:val="single" w:color="auto" w:sz="8" w:space="0"/>
            </w:tcBorders>
            <w:vAlign w:val="center"/>
          </w:tcPr>
          <w:p w14:paraId="18C2DC56">
            <w:pPr>
              <w:spacing w:line="360" w:lineRule="auto"/>
              <w:jc w:val="center"/>
              <w:rPr>
                <w:color w:val="000000"/>
                <w:szCs w:val="21"/>
              </w:rPr>
            </w:pPr>
          </w:p>
        </w:tc>
      </w:tr>
      <w:tr w14:paraId="4F45B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tcBorders>
              <w:top w:val="single" w:color="auto" w:sz="8" w:space="0"/>
              <w:left w:val="single" w:color="auto" w:sz="8" w:space="0"/>
              <w:bottom w:val="single" w:color="auto" w:sz="8" w:space="0"/>
              <w:right w:val="single" w:color="auto" w:sz="8" w:space="0"/>
            </w:tcBorders>
            <w:vAlign w:val="center"/>
          </w:tcPr>
          <w:p w14:paraId="64DF435D">
            <w:pPr>
              <w:spacing w:line="360" w:lineRule="auto"/>
              <w:jc w:val="center"/>
              <w:rPr>
                <w:color w:val="000000"/>
                <w:szCs w:val="21"/>
              </w:rPr>
            </w:pPr>
            <w:r>
              <w:rPr>
                <w:color w:val="000000"/>
                <w:szCs w:val="21"/>
              </w:rPr>
              <w:t>文明施工</w:t>
            </w:r>
          </w:p>
        </w:tc>
        <w:tc>
          <w:tcPr>
            <w:tcW w:w="2188" w:type="dxa"/>
            <w:tcBorders>
              <w:top w:val="single" w:color="auto" w:sz="8" w:space="0"/>
              <w:left w:val="single" w:color="auto" w:sz="8" w:space="0"/>
              <w:bottom w:val="single" w:color="auto" w:sz="8" w:space="0"/>
              <w:right w:val="single" w:color="auto" w:sz="8" w:space="0"/>
            </w:tcBorders>
            <w:vAlign w:val="center"/>
          </w:tcPr>
          <w:p w14:paraId="586C537C">
            <w:pPr>
              <w:spacing w:line="360" w:lineRule="auto"/>
              <w:jc w:val="center"/>
              <w:rPr>
                <w:color w:val="000000"/>
                <w:szCs w:val="21"/>
              </w:rPr>
            </w:pPr>
          </w:p>
        </w:tc>
        <w:tc>
          <w:tcPr>
            <w:tcW w:w="2190" w:type="dxa"/>
            <w:tcBorders>
              <w:top w:val="single" w:color="auto" w:sz="8" w:space="0"/>
              <w:left w:val="single" w:color="auto" w:sz="8" w:space="0"/>
              <w:bottom w:val="single" w:color="auto" w:sz="8" w:space="0"/>
              <w:right w:val="single" w:color="auto" w:sz="8" w:space="0"/>
            </w:tcBorders>
            <w:vAlign w:val="center"/>
          </w:tcPr>
          <w:p w14:paraId="44EF93E6">
            <w:pPr>
              <w:spacing w:line="360" w:lineRule="auto"/>
              <w:jc w:val="center"/>
              <w:rPr>
                <w:color w:val="000000"/>
                <w:szCs w:val="21"/>
              </w:rPr>
            </w:pPr>
          </w:p>
        </w:tc>
        <w:tc>
          <w:tcPr>
            <w:tcW w:w="2186" w:type="dxa"/>
            <w:tcBorders>
              <w:top w:val="single" w:color="auto" w:sz="8" w:space="0"/>
              <w:left w:val="single" w:color="auto" w:sz="8" w:space="0"/>
              <w:bottom w:val="single" w:color="auto" w:sz="8" w:space="0"/>
              <w:right w:val="single" w:color="auto" w:sz="8" w:space="0"/>
            </w:tcBorders>
            <w:vAlign w:val="center"/>
          </w:tcPr>
          <w:p w14:paraId="547028EB">
            <w:pPr>
              <w:spacing w:line="360" w:lineRule="auto"/>
              <w:jc w:val="center"/>
              <w:rPr>
                <w:color w:val="000000"/>
                <w:szCs w:val="21"/>
              </w:rPr>
            </w:pPr>
          </w:p>
        </w:tc>
      </w:tr>
      <w:tr w14:paraId="622AC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0" w:hRule="atLeast"/>
        </w:trPr>
        <w:tc>
          <w:tcPr>
            <w:tcW w:w="8472" w:type="dxa"/>
            <w:gridSpan w:val="4"/>
            <w:tcBorders>
              <w:top w:val="single" w:color="auto" w:sz="8" w:space="0"/>
              <w:left w:val="single" w:color="auto" w:sz="8" w:space="0"/>
              <w:bottom w:val="single" w:color="auto" w:sz="8" w:space="0"/>
              <w:right w:val="single" w:color="auto" w:sz="8" w:space="0"/>
            </w:tcBorders>
          </w:tcPr>
          <w:p w14:paraId="5696EBF2">
            <w:pPr>
              <w:rPr>
                <w:color w:val="000000"/>
                <w:szCs w:val="21"/>
              </w:rPr>
            </w:pPr>
            <w:r>
              <w:rPr>
                <w:color w:val="000000"/>
                <w:szCs w:val="21"/>
              </w:rPr>
              <w:t>评价意见：</w:t>
            </w:r>
          </w:p>
          <w:p w14:paraId="50889D86">
            <w:pPr>
              <w:rPr>
                <w:color w:val="000000"/>
                <w:szCs w:val="21"/>
              </w:rPr>
            </w:pPr>
          </w:p>
          <w:p w14:paraId="04BC7196">
            <w:pPr>
              <w:rPr>
                <w:color w:val="000000"/>
                <w:szCs w:val="21"/>
              </w:rPr>
            </w:pPr>
          </w:p>
          <w:p w14:paraId="309DD958">
            <w:pPr>
              <w:rPr>
                <w:color w:val="000000"/>
                <w:szCs w:val="21"/>
              </w:rPr>
            </w:pPr>
          </w:p>
          <w:p w14:paraId="1EC9278F">
            <w:pPr>
              <w:rPr>
                <w:color w:val="000000"/>
                <w:szCs w:val="21"/>
              </w:rPr>
            </w:pPr>
          </w:p>
          <w:p w14:paraId="5A1228F1">
            <w:pPr>
              <w:rPr>
                <w:color w:val="000000"/>
                <w:szCs w:val="21"/>
              </w:rPr>
            </w:pPr>
          </w:p>
          <w:p w14:paraId="1C351631">
            <w:pPr>
              <w:rPr>
                <w:color w:val="000000"/>
                <w:szCs w:val="21"/>
              </w:rPr>
            </w:pPr>
          </w:p>
          <w:p w14:paraId="2B0B678C">
            <w:pPr>
              <w:rPr>
                <w:color w:val="000000"/>
                <w:szCs w:val="21"/>
              </w:rPr>
            </w:pPr>
          </w:p>
          <w:p w14:paraId="640C6D7A">
            <w:pPr>
              <w:rPr>
                <w:color w:val="000000"/>
                <w:szCs w:val="21"/>
              </w:rPr>
            </w:pPr>
          </w:p>
          <w:p w14:paraId="275CB05D">
            <w:pPr>
              <w:rPr>
                <w:color w:val="000000"/>
                <w:szCs w:val="21"/>
              </w:rPr>
            </w:pPr>
          </w:p>
          <w:p w14:paraId="22D62B4D">
            <w:pPr>
              <w:wordWrap w:val="0"/>
              <w:ind w:right="280"/>
              <w:jc w:val="right"/>
              <w:rPr>
                <w:color w:val="000000"/>
                <w:szCs w:val="21"/>
              </w:rPr>
            </w:pPr>
          </w:p>
        </w:tc>
      </w:tr>
      <w:tr w14:paraId="3A4B0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472" w:type="dxa"/>
            <w:gridSpan w:val="4"/>
            <w:tcBorders>
              <w:top w:val="single" w:color="auto" w:sz="8" w:space="0"/>
              <w:left w:val="single" w:color="auto" w:sz="8" w:space="0"/>
              <w:bottom w:val="single" w:color="auto" w:sz="8" w:space="0"/>
              <w:right w:val="single" w:color="auto" w:sz="8" w:space="0"/>
            </w:tcBorders>
          </w:tcPr>
          <w:p w14:paraId="5D9ED0CA">
            <w:pPr>
              <w:wordWrap w:val="0"/>
              <w:ind w:right="1240"/>
              <w:rPr>
                <w:color w:val="000000"/>
                <w:szCs w:val="21"/>
              </w:rPr>
            </w:pPr>
            <w:r>
              <w:rPr>
                <w:color w:val="000000"/>
                <w:szCs w:val="21"/>
              </w:rPr>
              <w:t>建设单位代表签字：</w:t>
            </w:r>
          </w:p>
          <w:p w14:paraId="0D7B766B">
            <w:pPr>
              <w:wordWrap w:val="0"/>
              <w:ind w:right="1240"/>
              <w:rPr>
                <w:color w:val="000000"/>
                <w:szCs w:val="21"/>
              </w:rPr>
            </w:pPr>
          </w:p>
          <w:p w14:paraId="33D006AF">
            <w:pPr>
              <w:wordWrap w:val="0"/>
              <w:ind w:right="1240"/>
              <w:rPr>
                <w:color w:val="000000"/>
                <w:szCs w:val="21"/>
              </w:rPr>
            </w:pPr>
          </w:p>
          <w:p w14:paraId="1EA2ABE7">
            <w:pPr>
              <w:wordWrap w:val="0"/>
              <w:ind w:right="1240"/>
              <w:rPr>
                <w:color w:val="000000"/>
                <w:szCs w:val="21"/>
              </w:rPr>
            </w:pPr>
            <w:r>
              <w:rPr>
                <w:color w:val="000000"/>
                <w:szCs w:val="21"/>
              </w:rPr>
              <w:t xml:space="preserve">                                              年   月   日</w:t>
            </w:r>
          </w:p>
        </w:tc>
      </w:tr>
    </w:tbl>
    <w:p w14:paraId="1F5C8FC6">
      <w:pPr>
        <w:widowControl/>
        <w:jc w:val="center"/>
        <w:textAlignment w:val="center"/>
        <w:outlineLvl w:val="1"/>
        <w:rPr>
          <w:rStyle w:val="32"/>
          <w:rFonts w:ascii="Times New Roman" w:hAnsi="Times New Roman" w:eastAsia="黑体"/>
          <w:sz w:val="28"/>
          <w:szCs w:val="28"/>
          <w:lang w:val="en-US"/>
        </w:rPr>
      </w:pPr>
      <w:bookmarkStart w:id="952" w:name="_Toc3837"/>
      <w:bookmarkStart w:id="953" w:name="_Toc18016"/>
      <w:bookmarkStart w:id="954" w:name="_Toc29399"/>
      <w:bookmarkStart w:id="955" w:name="_Toc26719"/>
      <w:bookmarkStart w:id="956" w:name="_Toc7145"/>
      <w:bookmarkStart w:id="957" w:name="_Toc6003"/>
      <w:bookmarkStart w:id="958" w:name="_Toc18446"/>
      <w:bookmarkStart w:id="959" w:name="_Toc13675"/>
      <w:r>
        <w:rPr>
          <w:rStyle w:val="32"/>
          <w:rFonts w:ascii="Times New Roman" w:hAnsi="Times New Roman" w:eastAsia="黑体"/>
          <w:sz w:val="28"/>
          <w:szCs w:val="28"/>
          <w:lang w:val="en-US"/>
        </w:rPr>
        <w:t>附录</w:t>
      </w:r>
      <w:r>
        <w:rPr>
          <w:rStyle w:val="32"/>
          <w:rFonts w:hint="eastAsia" w:ascii="Times New Roman" w:hAnsi="Times New Roman" w:eastAsia="黑体"/>
          <w:sz w:val="28"/>
          <w:szCs w:val="28"/>
          <w:lang w:val="en-US"/>
        </w:rPr>
        <w:t>L</w:t>
      </w:r>
      <w:r>
        <w:rPr>
          <w:rStyle w:val="32"/>
          <w:rFonts w:ascii="Times New Roman" w:hAnsi="Times New Roman" w:eastAsia="黑体"/>
          <w:sz w:val="28"/>
          <w:szCs w:val="28"/>
          <w:lang w:val="en-US"/>
        </w:rPr>
        <w:t xml:space="preserve">  工程监理单位对施工质量的评价</w:t>
      </w:r>
      <w:bookmarkEnd w:id="952"/>
      <w:bookmarkEnd w:id="953"/>
      <w:bookmarkEnd w:id="954"/>
      <w:bookmarkEnd w:id="955"/>
      <w:bookmarkEnd w:id="956"/>
      <w:bookmarkEnd w:id="957"/>
      <w:bookmarkEnd w:id="958"/>
      <w:bookmarkEnd w:id="959"/>
    </w:p>
    <w:p w14:paraId="0E6FB5F5">
      <w:pPr>
        <w:jc w:val="center"/>
        <w:outlineLvl w:val="2"/>
        <w:rPr>
          <w:rFonts w:eastAsia="黑体"/>
          <w:color w:val="000000"/>
          <w:sz w:val="24"/>
          <w:szCs w:val="24"/>
          <w:lang w:val="zh-CN"/>
        </w:rPr>
      </w:pPr>
      <w:bookmarkStart w:id="960" w:name="_Toc21640"/>
      <w:bookmarkStart w:id="961" w:name="_Toc23388"/>
      <w:bookmarkStart w:id="962" w:name="_Toc29660"/>
      <w:bookmarkStart w:id="963" w:name="_Toc8104"/>
      <w:bookmarkStart w:id="964" w:name="_Toc29890"/>
      <w:bookmarkStart w:id="965" w:name="_Toc1257"/>
      <w:bookmarkStart w:id="966" w:name="_Toc26561"/>
      <w:bookmarkStart w:id="967" w:name="_Toc1935"/>
      <w:bookmarkStart w:id="968" w:name="_Toc25715"/>
      <w:bookmarkStart w:id="969" w:name="_Toc2752"/>
      <w:bookmarkStart w:id="970" w:name="_Toc4138"/>
      <w:bookmarkStart w:id="971" w:name="_Toc30021"/>
      <w:bookmarkStart w:id="972" w:name="_Toc12590"/>
      <w:bookmarkStart w:id="973" w:name="_Toc5889"/>
      <w:r>
        <w:rPr>
          <w:rFonts w:eastAsia="黑体"/>
          <w:color w:val="000000"/>
          <w:sz w:val="24"/>
          <w:szCs w:val="24"/>
          <w:lang w:val="zh-CN"/>
        </w:rPr>
        <w:t>表</w:t>
      </w:r>
      <w:r>
        <w:rPr>
          <w:rFonts w:hint="eastAsia" w:eastAsia="黑体"/>
          <w:color w:val="000000"/>
          <w:sz w:val="24"/>
          <w:szCs w:val="24"/>
        </w:rPr>
        <w:t>L</w:t>
      </w:r>
      <w:r>
        <w:rPr>
          <w:rFonts w:eastAsia="黑体"/>
          <w:color w:val="000000"/>
          <w:sz w:val="24"/>
          <w:szCs w:val="24"/>
          <w:lang w:val="zh-CN"/>
        </w:rPr>
        <w:t>.0.1  工程监理单位对施工质量的评价表</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4231863E">
      <w:pPr>
        <w:widowControl/>
        <w:jc w:val="center"/>
        <w:textAlignment w:val="center"/>
        <w:rPr>
          <w:rFonts w:eastAsia="黑体"/>
          <w:color w:val="000000"/>
          <w:kern w:val="0"/>
          <w:sz w:val="24"/>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188"/>
        <w:gridCol w:w="2190"/>
        <w:gridCol w:w="2186"/>
      </w:tblGrid>
      <w:tr w14:paraId="4E0A8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08" w:type="dxa"/>
            <w:tcBorders>
              <w:top w:val="single" w:color="auto" w:sz="8" w:space="0"/>
              <w:left w:val="single" w:color="auto" w:sz="8" w:space="0"/>
              <w:bottom w:val="single" w:color="auto" w:sz="8" w:space="0"/>
              <w:right w:val="single" w:color="auto" w:sz="8" w:space="0"/>
            </w:tcBorders>
            <w:vAlign w:val="center"/>
          </w:tcPr>
          <w:p w14:paraId="564EDB4A">
            <w:pPr>
              <w:spacing w:line="360" w:lineRule="auto"/>
              <w:jc w:val="center"/>
              <w:rPr>
                <w:color w:val="000000"/>
                <w:szCs w:val="21"/>
              </w:rPr>
            </w:pPr>
            <w:r>
              <w:rPr>
                <w:color w:val="000000"/>
                <w:szCs w:val="21"/>
              </w:rPr>
              <w:t>工程名称</w:t>
            </w:r>
          </w:p>
        </w:tc>
        <w:tc>
          <w:tcPr>
            <w:tcW w:w="6564" w:type="dxa"/>
            <w:gridSpan w:val="3"/>
            <w:tcBorders>
              <w:top w:val="single" w:color="auto" w:sz="8" w:space="0"/>
              <w:left w:val="single" w:color="auto" w:sz="8" w:space="0"/>
              <w:bottom w:val="single" w:color="auto" w:sz="8" w:space="0"/>
              <w:right w:val="single" w:color="auto" w:sz="8" w:space="0"/>
            </w:tcBorders>
            <w:vAlign w:val="center"/>
          </w:tcPr>
          <w:p w14:paraId="36A584BD">
            <w:pPr>
              <w:spacing w:line="360" w:lineRule="auto"/>
              <w:jc w:val="center"/>
              <w:rPr>
                <w:color w:val="000000"/>
                <w:szCs w:val="21"/>
              </w:rPr>
            </w:pPr>
          </w:p>
        </w:tc>
      </w:tr>
      <w:tr w14:paraId="7C115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8" w:space="0"/>
              <w:left w:val="single" w:color="auto" w:sz="8" w:space="0"/>
              <w:bottom w:val="single" w:color="auto" w:sz="8" w:space="0"/>
              <w:right w:val="single" w:color="auto" w:sz="8" w:space="0"/>
            </w:tcBorders>
            <w:vAlign w:val="center"/>
          </w:tcPr>
          <w:p w14:paraId="091A6CA1">
            <w:pPr>
              <w:jc w:val="center"/>
              <w:rPr>
                <w:color w:val="000000"/>
                <w:szCs w:val="21"/>
              </w:rPr>
            </w:pPr>
            <w:r>
              <w:rPr>
                <w:color w:val="000000"/>
                <w:szCs w:val="21"/>
              </w:rPr>
              <w:t xml:space="preserve">          评价</w:t>
            </w:r>
          </w:p>
          <w:p w14:paraId="3AF0FAEF">
            <w:pPr>
              <w:jc w:val="left"/>
              <w:rPr>
                <w:color w:val="000000"/>
                <w:szCs w:val="21"/>
              </w:rPr>
            </w:pPr>
            <w:r>
              <w:rPr>
                <w:color w:val="000000"/>
                <w:szCs w:val="21"/>
              </w:rPr>
              <w:t>项目</w:t>
            </w:r>
          </w:p>
        </w:tc>
        <w:tc>
          <w:tcPr>
            <w:tcW w:w="2188" w:type="dxa"/>
            <w:tcBorders>
              <w:top w:val="single" w:color="auto" w:sz="8" w:space="0"/>
              <w:left w:val="single" w:color="auto" w:sz="8" w:space="0"/>
              <w:bottom w:val="single" w:color="auto" w:sz="8" w:space="0"/>
              <w:right w:val="single" w:color="auto" w:sz="8" w:space="0"/>
            </w:tcBorders>
            <w:vAlign w:val="center"/>
          </w:tcPr>
          <w:p w14:paraId="2676C711">
            <w:pPr>
              <w:spacing w:line="360" w:lineRule="auto"/>
              <w:jc w:val="center"/>
              <w:rPr>
                <w:color w:val="000000"/>
                <w:szCs w:val="21"/>
              </w:rPr>
            </w:pPr>
            <w:r>
              <w:rPr>
                <w:color w:val="000000"/>
                <w:szCs w:val="21"/>
              </w:rPr>
              <w:t>非常满意</w:t>
            </w:r>
          </w:p>
        </w:tc>
        <w:tc>
          <w:tcPr>
            <w:tcW w:w="2190" w:type="dxa"/>
            <w:tcBorders>
              <w:top w:val="single" w:color="auto" w:sz="8" w:space="0"/>
              <w:left w:val="single" w:color="auto" w:sz="8" w:space="0"/>
              <w:bottom w:val="single" w:color="auto" w:sz="8" w:space="0"/>
              <w:right w:val="single" w:color="auto" w:sz="8" w:space="0"/>
            </w:tcBorders>
            <w:vAlign w:val="center"/>
          </w:tcPr>
          <w:p w14:paraId="291A1D9A">
            <w:pPr>
              <w:spacing w:line="360" w:lineRule="auto"/>
              <w:jc w:val="center"/>
              <w:rPr>
                <w:color w:val="000000"/>
                <w:szCs w:val="21"/>
              </w:rPr>
            </w:pPr>
            <w:r>
              <w:rPr>
                <w:color w:val="000000"/>
                <w:szCs w:val="21"/>
              </w:rPr>
              <w:t>满意</w:t>
            </w:r>
          </w:p>
        </w:tc>
        <w:tc>
          <w:tcPr>
            <w:tcW w:w="2186" w:type="dxa"/>
            <w:tcBorders>
              <w:top w:val="single" w:color="auto" w:sz="8" w:space="0"/>
              <w:left w:val="single" w:color="auto" w:sz="8" w:space="0"/>
              <w:bottom w:val="single" w:color="auto" w:sz="8" w:space="0"/>
              <w:right w:val="single" w:color="auto" w:sz="8" w:space="0"/>
            </w:tcBorders>
            <w:vAlign w:val="center"/>
          </w:tcPr>
          <w:p w14:paraId="38B3E454">
            <w:pPr>
              <w:spacing w:line="360" w:lineRule="auto"/>
              <w:jc w:val="center"/>
              <w:rPr>
                <w:color w:val="000000"/>
                <w:szCs w:val="21"/>
              </w:rPr>
            </w:pPr>
            <w:r>
              <w:rPr>
                <w:color w:val="000000"/>
                <w:szCs w:val="21"/>
              </w:rPr>
              <w:t>不满意</w:t>
            </w:r>
          </w:p>
        </w:tc>
      </w:tr>
      <w:tr w14:paraId="7F138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tcBorders>
              <w:top w:val="single" w:color="auto" w:sz="8" w:space="0"/>
              <w:left w:val="single" w:color="auto" w:sz="8" w:space="0"/>
              <w:bottom w:val="single" w:color="auto" w:sz="8" w:space="0"/>
              <w:right w:val="single" w:color="auto" w:sz="8" w:space="0"/>
            </w:tcBorders>
            <w:vAlign w:val="center"/>
          </w:tcPr>
          <w:p w14:paraId="0CAD3A95">
            <w:pPr>
              <w:spacing w:line="360" w:lineRule="auto"/>
              <w:jc w:val="center"/>
              <w:rPr>
                <w:color w:val="000000"/>
                <w:szCs w:val="21"/>
              </w:rPr>
            </w:pPr>
            <w:r>
              <w:rPr>
                <w:color w:val="000000"/>
                <w:szCs w:val="21"/>
              </w:rPr>
              <w:t>施工管理</w:t>
            </w:r>
          </w:p>
        </w:tc>
        <w:tc>
          <w:tcPr>
            <w:tcW w:w="2188" w:type="dxa"/>
            <w:tcBorders>
              <w:top w:val="single" w:color="auto" w:sz="8" w:space="0"/>
              <w:left w:val="single" w:color="auto" w:sz="8" w:space="0"/>
              <w:bottom w:val="single" w:color="auto" w:sz="8" w:space="0"/>
              <w:right w:val="single" w:color="auto" w:sz="8" w:space="0"/>
            </w:tcBorders>
            <w:vAlign w:val="center"/>
          </w:tcPr>
          <w:p w14:paraId="33A8209B">
            <w:pPr>
              <w:spacing w:line="360" w:lineRule="auto"/>
              <w:jc w:val="center"/>
              <w:rPr>
                <w:color w:val="000000"/>
                <w:szCs w:val="21"/>
              </w:rPr>
            </w:pPr>
          </w:p>
        </w:tc>
        <w:tc>
          <w:tcPr>
            <w:tcW w:w="2190" w:type="dxa"/>
            <w:tcBorders>
              <w:top w:val="single" w:color="auto" w:sz="8" w:space="0"/>
              <w:left w:val="single" w:color="auto" w:sz="8" w:space="0"/>
              <w:bottom w:val="single" w:color="auto" w:sz="8" w:space="0"/>
              <w:right w:val="single" w:color="auto" w:sz="8" w:space="0"/>
            </w:tcBorders>
            <w:vAlign w:val="center"/>
          </w:tcPr>
          <w:p w14:paraId="042E3E0E">
            <w:pPr>
              <w:spacing w:line="360" w:lineRule="auto"/>
              <w:jc w:val="center"/>
              <w:rPr>
                <w:color w:val="000000"/>
                <w:szCs w:val="21"/>
              </w:rPr>
            </w:pPr>
          </w:p>
        </w:tc>
        <w:tc>
          <w:tcPr>
            <w:tcW w:w="2186" w:type="dxa"/>
            <w:tcBorders>
              <w:top w:val="single" w:color="auto" w:sz="8" w:space="0"/>
              <w:left w:val="single" w:color="auto" w:sz="8" w:space="0"/>
              <w:bottom w:val="single" w:color="auto" w:sz="8" w:space="0"/>
              <w:right w:val="single" w:color="auto" w:sz="8" w:space="0"/>
            </w:tcBorders>
            <w:vAlign w:val="center"/>
          </w:tcPr>
          <w:p w14:paraId="63A3543D">
            <w:pPr>
              <w:spacing w:line="360" w:lineRule="auto"/>
              <w:jc w:val="center"/>
              <w:rPr>
                <w:color w:val="000000"/>
                <w:szCs w:val="21"/>
              </w:rPr>
            </w:pPr>
          </w:p>
        </w:tc>
      </w:tr>
      <w:tr w14:paraId="52CF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tcBorders>
              <w:top w:val="single" w:color="auto" w:sz="8" w:space="0"/>
              <w:left w:val="single" w:color="auto" w:sz="8" w:space="0"/>
              <w:bottom w:val="single" w:color="auto" w:sz="8" w:space="0"/>
              <w:right w:val="single" w:color="auto" w:sz="8" w:space="0"/>
            </w:tcBorders>
            <w:vAlign w:val="center"/>
          </w:tcPr>
          <w:p w14:paraId="6A0A5256">
            <w:pPr>
              <w:spacing w:line="360" w:lineRule="auto"/>
              <w:jc w:val="center"/>
              <w:rPr>
                <w:color w:val="000000"/>
                <w:szCs w:val="21"/>
              </w:rPr>
            </w:pPr>
            <w:r>
              <w:rPr>
                <w:color w:val="000000"/>
                <w:szCs w:val="21"/>
              </w:rPr>
              <w:t>工程质量</w:t>
            </w:r>
          </w:p>
        </w:tc>
        <w:tc>
          <w:tcPr>
            <w:tcW w:w="2188" w:type="dxa"/>
            <w:tcBorders>
              <w:top w:val="single" w:color="auto" w:sz="8" w:space="0"/>
              <w:left w:val="single" w:color="auto" w:sz="8" w:space="0"/>
              <w:bottom w:val="single" w:color="auto" w:sz="8" w:space="0"/>
              <w:right w:val="single" w:color="auto" w:sz="8" w:space="0"/>
            </w:tcBorders>
            <w:vAlign w:val="center"/>
          </w:tcPr>
          <w:p w14:paraId="5532E72D">
            <w:pPr>
              <w:spacing w:line="360" w:lineRule="auto"/>
              <w:jc w:val="center"/>
              <w:rPr>
                <w:color w:val="000000"/>
                <w:szCs w:val="21"/>
              </w:rPr>
            </w:pPr>
          </w:p>
        </w:tc>
        <w:tc>
          <w:tcPr>
            <w:tcW w:w="2190" w:type="dxa"/>
            <w:tcBorders>
              <w:top w:val="single" w:color="auto" w:sz="8" w:space="0"/>
              <w:left w:val="single" w:color="auto" w:sz="8" w:space="0"/>
              <w:bottom w:val="single" w:color="auto" w:sz="8" w:space="0"/>
              <w:right w:val="single" w:color="auto" w:sz="8" w:space="0"/>
            </w:tcBorders>
            <w:vAlign w:val="center"/>
          </w:tcPr>
          <w:p w14:paraId="4B398299">
            <w:pPr>
              <w:spacing w:line="360" w:lineRule="auto"/>
              <w:jc w:val="center"/>
              <w:rPr>
                <w:color w:val="000000"/>
                <w:szCs w:val="21"/>
              </w:rPr>
            </w:pPr>
          </w:p>
        </w:tc>
        <w:tc>
          <w:tcPr>
            <w:tcW w:w="2186" w:type="dxa"/>
            <w:tcBorders>
              <w:top w:val="single" w:color="auto" w:sz="8" w:space="0"/>
              <w:left w:val="single" w:color="auto" w:sz="8" w:space="0"/>
              <w:bottom w:val="single" w:color="auto" w:sz="8" w:space="0"/>
              <w:right w:val="single" w:color="auto" w:sz="8" w:space="0"/>
            </w:tcBorders>
            <w:vAlign w:val="center"/>
          </w:tcPr>
          <w:p w14:paraId="7A68EA0E">
            <w:pPr>
              <w:spacing w:line="360" w:lineRule="auto"/>
              <w:jc w:val="center"/>
              <w:rPr>
                <w:color w:val="000000"/>
                <w:szCs w:val="21"/>
              </w:rPr>
            </w:pPr>
          </w:p>
        </w:tc>
      </w:tr>
      <w:tr w14:paraId="1AB07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tcBorders>
              <w:top w:val="single" w:color="auto" w:sz="8" w:space="0"/>
              <w:left w:val="single" w:color="auto" w:sz="8" w:space="0"/>
              <w:bottom w:val="single" w:color="auto" w:sz="8" w:space="0"/>
              <w:right w:val="single" w:color="auto" w:sz="8" w:space="0"/>
            </w:tcBorders>
            <w:vAlign w:val="center"/>
          </w:tcPr>
          <w:p w14:paraId="4FFB3681">
            <w:pPr>
              <w:spacing w:line="360" w:lineRule="auto"/>
              <w:jc w:val="center"/>
              <w:rPr>
                <w:color w:val="000000"/>
                <w:szCs w:val="21"/>
              </w:rPr>
            </w:pPr>
            <w:r>
              <w:rPr>
                <w:color w:val="000000"/>
                <w:szCs w:val="21"/>
              </w:rPr>
              <w:t>施工安全</w:t>
            </w:r>
          </w:p>
        </w:tc>
        <w:tc>
          <w:tcPr>
            <w:tcW w:w="2188" w:type="dxa"/>
            <w:tcBorders>
              <w:top w:val="single" w:color="auto" w:sz="8" w:space="0"/>
              <w:left w:val="single" w:color="auto" w:sz="8" w:space="0"/>
              <w:bottom w:val="single" w:color="auto" w:sz="8" w:space="0"/>
              <w:right w:val="single" w:color="auto" w:sz="8" w:space="0"/>
            </w:tcBorders>
            <w:vAlign w:val="center"/>
          </w:tcPr>
          <w:p w14:paraId="74286455">
            <w:pPr>
              <w:spacing w:line="360" w:lineRule="auto"/>
              <w:jc w:val="center"/>
              <w:rPr>
                <w:color w:val="000000"/>
                <w:szCs w:val="21"/>
              </w:rPr>
            </w:pPr>
          </w:p>
        </w:tc>
        <w:tc>
          <w:tcPr>
            <w:tcW w:w="2190" w:type="dxa"/>
            <w:tcBorders>
              <w:top w:val="single" w:color="auto" w:sz="8" w:space="0"/>
              <w:left w:val="single" w:color="auto" w:sz="8" w:space="0"/>
              <w:bottom w:val="single" w:color="auto" w:sz="8" w:space="0"/>
              <w:right w:val="single" w:color="auto" w:sz="8" w:space="0"/>
            </w:tcBorders>
            <w:vAlign w:val="center"/>
          </w:tcPr>
          <w:p w14:paraId="3F3BA99C">
            <w:pPr>
              <w:spacing w:line="360" w:lineRule="auto"/>
              <w:jc w:val="center"/>
              <w:rPr>
                <w:color w:val="000000"/>
                <w:szCs w:val="21"/>
              </w:rPr>
            </w:pPr>
          </w:p>
        </w:tc>
        <w:tc>
          <w:tcPr>
            <w:tcW w:w="2186" w:type="dxa"/>
            <w:tcBorders>
              <w:top w:val="single" w:color="auto" w:sz="8" w:space="0"/>
              <w:left w:val="single" w:color="auto" w:sz="8" w:space="0"/>
              <w:bottom w:val="single" w:color="auto" w:sz="8" w:space="0"/>
              <w:right w:val="single" w:color="auto" w:sz="8" w:space="0"/>
            </w:tcBorders>
            <w:vAlign w:val="center"/>
          </w:tcPr>
          <w:p w14:paraId="3E01AD7F">
            <w:pPr>
              <w:spacing w:line="360" w:lineRule="auto"/>
              <w:jc w:val="center"/>
              <w:rPr>
                <w:color w:val="000000"/>
                <w:szCs w:val="21"/>
              </w:rPr>
            </w:pPr>
          </w:p>
        </w:tc>
      </w:tr>
      <w:tr w14:paraId="40D60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tcBorders>
              <w:top w:val="single" w:color="auto" w:sz="8" w:space="0"/>
              <w:left w:val="single" w:color="auto" w:sz="8" w:space="0"/>
              <w:bottom w:val="single" w:color="auto" w:sz="8" w:space="0"/>
              <w:right w:val="single" w:color="auto" w:sz="8" w:space="0"/>
            </w:tcBorders>
            <w:vAlign w:val="center"/>
          </w:tcPr>
          <w:p w14:paraId="29708F9A">
            <w:pPr>
              <w:spacing w:line="360" w:lineRule="auto"/>
              <w:jc w:val="center"/>
              <w:rPr>
                <w:color w:val="000000"/>
                <w:szCs w:val="21"/>
              </w:rPr>
            </w:pPr>
            <w:r>
              <w:rPr>
                <w:color w:val="000000"/>
                <w:szCs w:val="21"/>
              </w:rPr>
              <w:t>文明施工</w:t>
            </w:r>
          </w:p>
        </w:tc>
        <w:tc>
          <w:tcPr>
            <w:tcW w:w="2188" w:type="dxa"/>
            <w:tcBorders>
              <w:top w:val="single" w:color="auto" w:sz="8" w:space="0"/>
              <w:left w:val="single" w:color="auto" w:sz="8" w:space="0"/>
              <w:bottom w:val="single" w:color="auto" w:sz="8" w:space="0"/>
              <w:right w:val="single" w:color="auto" w:sz="8" w:space="0"/>
            </w:tcBorders>
            <w:vAlign w:val="center"/>
          </w:tcPr>
          <w:p w14:paraId="15A200A9">
            <w:pPr>
              <w:spacing w:line="360" w:lineRule="auto"/>
              <w:jc w:val="center"/>
              <w:rPr>
                <w:color w:val="000000"/>
                <w:szCs w:val="21"/>
              </w:rPr>
            </w:pPr>
          </w:p>
        </w:tc>
        <w:tc>
          <w:tcPr>
            <w:tcW w:w="2190" w:type="dxa"/>
            <w:tcBorders>
              <w:top w:val="single" w:color="auto" w:sz="8" w:space="0"/>
              <w:left w:val="single" w:color="auto" w:sz="8" w:space="0"/>
              <w:bottom w:val="single" w:color="auto" w:sz="8" w:space="0"/>
              <w:right w:val="single" w:color="auto" w:sz="8" w:space="0"/>
            </w:tcBorders>
            <w:vAlign w:val="center"/>
          </w:tcPr>
          <w:p w14:paraId="229F00BC">
            <w:pPr>
              <w:spacing w:line="360" w:lineRule="auto"/>
              <w:jc w:val="center"/>
              <w:rPr>
                <w:color w:val="000000"/>
                <w:szCs w:val="21"/>
              </w:rPr>
            </w:pPr>
          </w:p>
        </w:tc>
        <w:tc>
          <w:tcPr>
            <w:tcW w:w="2186" w:type="dxa"/>
            <w:tcBorders>
              <w:top w:val="single" w:color="auto" w:sz="8" w:space="0"/>
              <w:left w:val="single" w:color="auto" w:sz="8" w:space="0"/>
              <w:bottom w:val="single" w:color="auto" w:sz="8" w:space="0"/>
              <w:right w:val="single" w:color="auto" w:sz="8" w:space="0"/>
            </w:tcBorders>
            <w:vAlign w:val="center"/>
          </w:tcPr>
          <w:p w14:paraId="731CE0C0">
            <w:pPr>
              <w:spacing w:line="360" w:lineRule="auto"/>
              <w:jc w:val="center"/>
              <w:rPr>
                <w:color w:val="000000"/>
                <w:szCs w:val="21"/>
              </w:rPr>
            </w:pPr>
          </w:p>
        </w:tc>
      </w:tr>
      <w:tr w14:paraId="15E7F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0" w:hRule="atLeast"/>
        </w:trPr>
        <w:tc>
          <w:tcPr>
            <w:tcW w:w="8472" w:type="dxa"/>
            <w:gridSpan w:val="4"/>
            <w:tcBorders>
              <w:top w:val="single" w:color="auto" w:sz="8" w:space="0"/>
              <w:left w:val="single" w:color="auto" w:sz="8" w:space="0"/>
              <w:bottom w:val="single" w:color="auto" w:sz="8" w:space="0"/>
              <w:right w:val="single" w:color="auto" w:sz="8" w:space="0"/>
            </w:tcBorders>
          </w:tcPr>
          <w:p w14:paraId="32D1F91F">
            <w:pPr>
              <w:rPr>
                <w:color w:val="000000"/>
                <w:szCs w:val="21"/>
              </w:rPr>
            </w:pPr>
            <w:r>
              <w:rPr>
                <w:color w:val="000000"/>
                <w:szCs w:val="21"/>
              </w:rPr>
              <w:t>评价意见：</w:t>
            </w:r>
          </w:p>
          <w:p w14:paraId="162B4191">
            <w:pPr>
              <w:rPr>
                <w:color w:val="000000"/>
                <w:szCs w:val="21"/>
              </w:rPr>
            </w:pPr>
          </w:p>
          <w:p w14:paraId="6F918000">
            <w:pPr>
              <w:rPr>
                <w:color w:val="000000"/>
                <w:szCs w:val="21"/>
              </w:rPr>
            </w:pPr>
          </w:p>
          <w:p w14:paraId="24560A32">
            <w:pPr>
              <w:rPr>
                <w:color w:val="000000"/>
                <w:szCs w:val="21"/>
              </w:rPr>
            </w:pPr>
          </w:p>
          <w:p w14:paraId="7700B597">
            <w:pPr>
              <w:rPr>
                <w:color w:val="000000"/>
                <w:szCs w:val="21"/>
              </w:rPr>
            </w:pPr>
          </w:p>
          <w:p w14:paraId="36B7F6A7">
            <w:pPr>
              <w:rPr>
                <w:color w:val="000000"/>
                <w:szCs w:val="21"/>
              </w:rPr>
            </w:pPr>
          </w:p>
          <w:p w14:paraId="7EC4BB5B">
            <w:pPr>
              <w:rPr>
                <w:color w:val="000000"/>
                <w:szCs w:val="21"/>
              </w:rPr>
            </w:pPr>
          </w:p>
          <w:p w14:paraId="5C8E04F4">
            <w:pPr>
              <w:rPr>
                <w:color w:val="000000"/>
                <w:szCs w:val="21"/>
              </w:rPr>
            </w:pPr>
          </w:p>
          <w:p w14:paraId="005A9A99">
            <w:pPr>
              <w:rPr>
                <w:color w:val="000000"/>
                <w:szCs w:val="21"/>
              </w:rPr>
            </w:pPr>
          </w:p>
          <w:p w14:paraId="37C553C8">
            <w:pPr>
              <w:rPr>
                <w:color w:val="000000"/>
                <w:szCs w:val="21"/>
              </w:rPr>
            </w:pPr>
          </w:p>
          <w:p w14:paraId="755C1D11">
            <w:pPr>
              <w:wordWrap w:val="0"/>
              <w:ind w:right="280"/>
              <w:jc w:val="right"/>
              <w:rPr>
                <w:color w:val="000000"/>
                <w:szCs w:val="21"/>
              </w:rPr>
            </w:pPr>
          </w:p>
        </w:tc>
      </w:tr>
      <w:tr w14:paraId="0B036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472" w:type="dxa"/>
            <w:gridSpan w:val="4"/>
            <w:tcBorders>
              <w:top w:val="single" w:color="auto" w:sz="8" w:space="0"/>
              <w:left w:val="single" w:color="auto" w:sz="8" w:space="0"/>
              <w:bottom w:val="single" w:color="auto" w:sz="8" w:space="0"/>
              <w:right w:val="single" w:color="auto" w:sz="8" w:space="0"/>
            </w:tcBorders>
          </w:tcPr>
          <w:p w14:paraId="2880BC90">
            <w:pPr>
              <w:rPr>
                <w:color w:val="000000"/>
                <w:szCs w:val="21"/>
              </w:rPr>
            </w:pPr>
            <w:r>
              <w:rPr>
                <w:color w:val="000000"/>
                <w:szCs w:val="21"/>
              </w:rPr>
              <w:t>监理单位代表签字：</w:t>
            </w:r>
          </w:p>
          <w:p w14:paraId="184D354E">
            <w:pPr>
              <w:wordWrap w:val="0"/>
              <w:ind w:right="1240"/>
              <w:rPr>
                <w:color w:val="000000"/>
                <w:szCs w:val="21"/>
              </w:rPr>
            </w:pPr>
          </w:p>
          <w:p w14:paraId="1F5FDEEB">
            <w:pPr>
              <w:wordWrap w:val="0"/>
              <w:ind w:right="1240"/>
              <w:rPr>
                <w:color w:val="000000"/>
                <w:szCs w:val="21"/>
              </w:rPr>
            </w:pPr>
          </w:p>
          <w:p w14:paraId="217E45D7">
            <w:pPr>
              <w:wordWrap w:val="0"/>
              <w:ind w:right="1240"/>
              <w:rPr>
                <w:color w:val="000000"/>
                <w:szCs w:val="21"/>
              </w:rPr>
            </w:pPr>
            <w:r>
              <w:rPr>
                <w:color w:val="000000"/>
                <w:szCs w:val="21"/>
              </w:rPr>
              <w:t xml:space="preserve">                                              年   月   日</w:t>
            </w:r>
          </w:p>
        </w:tc>
      </w:tr>
    </w:tbl>
    <w:p w14:paraId="2448179C">
      <w:pPr>
        <w:widowControl/>
        <w:jc w:val="center"/>
        <w:textAlignment w:val="center"/>
        <w:outlineLvl w:val="1"/>
        <w:rPr>
          <w:rStyle w:val="32"/>
          <w:rFonts w:ascii="Times New Roman" w:hAnsi="Times New Roman" w:eastAsia="黑体"/>
          <w:sz w:val="28"/>
          <w:szCs w:val="28"/>
          <w:lang w:val="en-US"/>
        </w:rPr>
      </w:pPr>
      <w:r>
        <w:rPr>
          <w:b/>
          <w:color w:val="000000"/>
          <w:sz w:val="36"/>
          <w:szCs w:val="36"/>
        </w:rPr>
        <w:br w:type="page"/>
      </w:r>
      <w:bookmarkStart w:id="974" w:name="_Toc19794"/>
      <w:bookmarkStart w:id="975" w:name="_Toc7893"/>
      <w:bookmarkStart w:id="976" w:name="_Toc2986"/>
      <w:bookmarkStart w:id="977" w:name="_Toc24548"/>
      <w:bookmarkStart w:id="978" w:name="_Toc25143"/>
      <w:bookmarkStart w:id="979" w:name="_Toc27990"/>
      <w:bookmarkStart w:id="980" w:name="_Toc2221"/>
      <w:bookmarkStart w:id="981" w:name="_Toc5673"/>
      <w:bookmarkStart w:id="982" w:name="_Toc5986"/>
      <w:bookmarkStart w:id="983" w:name="_Toc7508"/>
      <w:bookmarkStart w:id="984" w:name="_Toc10983"/>
      <w:bookmarkStart w:id="985" w:name="_Toc5377_WPSOffice_Level1"/>
      <w:bookmarkStart w:id="986" w:name="_Toc2613"/>
      <w:bookmarkStart w:id="987" w:name="_Toc22474"/>
      <w:r>
        <w:rPr>
          <w:rStyle w:val="32"/>
          <w:rFonts w:ascii="Times New Roman" w:hAnsi="Times New Roman" w:eastAsia="黑体"/>
          <w:sz w:val="28"/>
          <w:szCs w:val="28"/>
          <w:lang w:val="en-US"/>
        </w:rPr>
        <w:t>附录</w:t>
      </w:r>
      <w:r>
        <w:rPr>
          <w:rStyle w:val="32"/>
          <w:rFonts w:hint="eastAsia" w:eastAsia="黑体"/>
          <w:sz w:val="28"/>
          <w:szCs w:val="28"/>
          <w:lang w:val="en-US"/>
        </w:rPr>
        <w:t>M</w:t>
      </w:r>
      <w:r>
        <w:rPr>
          <w:rStyle w:val="32"/>
          <w:rFonts w:ascii="Times New Roman" w:hAnsi="Times New Roman" w:eastAsia="黑体"/>
          <w:sz w:val="28"/>
          <w:szCs w:val="28"/>
          <w:lang w:val="en-US"/>
        </w:rPr>
        <w:t xml:space="preserve">  建筑长城杯工程质量</w:t>
      </w:r>
      <w:r>
        <w:rPr>
          <w:rStyle w:val="32"/>
          <w:rFonts w:hint="eastAsia" w:ascii="Times New Roman" w:hAnsi="Times New Roman" w:eastAsia="黑体"/>
          <w:sz w:val="28"/>
          <w:szCs w:val="28"/>
          <w:lang w:val="en-US"/>
        </w:rPr>
        <w:t>评议</w:t>
      </w:r>
      <w:r>
        <w:rPr>
          <w:rStyle w:val="32"/>
          <w:rFonts w:ascii="Times New Roman" w:hAnsi="Times New Roman" w:eastAsia="黑体"/>
          <w:sz w:val="28"/>
          <w:szCs w:val="28"/>
          <w:lang w:val="en-US"/>
        </w:rPr>
        <w:t>评价</w:t>
      </w:r>
      <w:bookmarkEnd w:id="974"/>
      <w:bookmarkEnd w:id="975"/>
      <w:bookmarkEnd w:id="976"/>
      <w:bookmarkEnd w:id="977"/>
      <w:bookmarkEnd w:id="978"/>
      <w:bookmarkEnd w:id="979"/>
      <w:bookmarkEnd w:id="980"/>
      <w:bookmarkEnd w:id="981"/>
      <w:r>
        <w:rPr>
          <w:rStyle w:val="32"/>
          <w:rFonts w:ascii="Times New Roman" w:hAnsi="Times New Roman" w:eastAsia="黑体"/>
          <w:sz w:val="28"/>
          <w:szCs w:val="28"/>
          <w:lang w:val="en-US"/>
        </w:rPr>
        <w:t xml:space="preserve">  </w:t>
      </w:r>
    </w:p>
    <w:p w14:paraId="7881D725">
      <w:pPr>
        <w:jc w:val="center"/>
        <w:outlineLvl w:val="2"/>
        <w:rPr>
          <w:rFonts w:eastAsia="黑体"/>
          <w:color w:val="000000"/>
          <w:sz w:val="24"/>
          <w:szCs w:val="24"/>
          <w:lang w:val="zh-CN"/>
        </w:rPr>
      </w:pPr>
      <w:bookmarkStart w:id="988" w:name="_Toc25265"/>
      <w:bookmarkStart w:id="989" w:name="_Toc18301"/>
      <w:bookmarkStart w:id="990" w:name="_Toc29696"/>
      <w:bookmarkStart w:id="991" w:name="_Toc27219"/>
      <w:bookmarkStart w:id="992" w:name="_Toc15664"/>
      <w:bookmarkStart w:id="993" w:name="_Toc19361"/>
      <w:bookmarkStart w:id="994" w:name="_Toc25113"/>
      <w:bookmarkStart w:id="995" w:name="_Toc24008"/>
      <w:bookmarkStart w:id="996" w:name="_Toc19280"/>
      <w:bookmarkStart w:id="997" w:name="_Toc29423"/>
      <w:bookmarkStart w:id="998" w:name="_Toc11964"/>
      <w:bookmarkStart w:id="999" w:name="_Toc9343"/>
      <w:bookmarkStart w:id="1000" w:name="_Toc6585"/>
      <w:bookmarkStart w:id="1001" w:name="_Toc5010"/>
      <w:r>
        <w:rPr>
          <w:rFonts w:eastAsia="黑体"/>
          <w:color w:val="000000"/>
          <w:sz w:val="24"/>
          <w:szCs w:val="24"/>
          <w:lang w:val="zh-CN"/>
        </w:rPr>
        <w:t>表</w:t>
      </w:r>
      <w:r>
        <w:rPr>
          <w:rFonts w:hint="eastAsia" w:eastAsia="黑体"/>
          <w:color w:val="000000"/>
          <w:sz w:val="24"/>
          <w:szCs w:val="24"/>
        </w:rPr>
        <w:t>M</w:t>
      </w:r>
      <w:r>
        <w:rPr>
          <w:rFonts w:eastAsia="黑体"/>
          <w:color w:val="000000"/>
          <w:sz w:val="24"/>
          <w:szCs w:val="24"/>
          <w:lang w:val="zh-CN"/>
        </w:rPr>
        <w:t>.0.1  建筑长城杯工程质量</w:t>
      </w:r>
      <w:r>
        <w:rPr>
          <w:rFonts w:hint="eastAsia" w:eastAsia="黑体"/>
          <w:color w:val="000000"/>
          <w:sz w:val="24"/>
          <w:szCs w:val="24"/>
        </w:rPr>
        <w:t>评议</w:t>
      </w:r>
      <w:r>
        <w:rPr>
          <w:rFonts w:eastAsia="黑体"/>
          <w:color w:val="000000"/>
          <w:sz w:val="24"/>
          <w:szCs w:val="24"/>
          <w:lang w:val="zh-CN"/>
        </w:rPr>
        <w:t>评价表</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431DA02A">
      <w:pPr>
        <w:widowControl/>
        <w:spacing w:before="156" w:beforeLines="50" w:after="156" w:afterLines="50"/>
        <w:jc w:val="left"/>
        <w:textAlignment w:val="center"/>
        <w:rPr>
          <w:color w:val="000000"/>
          <w:kern w:val="0"/>
          <w:sz w:val="24"/>
        </w:rPr>
      </w:pPr>
      <w:r>
        <w:rPr>
          <w:color w:val="000000"/>
          <w:kern w:val="0"/>
          <w:sz w:val="24"/>
        </w:rPr>
        <w:t>工程名称：                             施工单位</w:t>
      </w:r>
      <w:r>
        <w:rPr>
          <w:rFonts w:hint="eastAsia"/>
          <w:color w:val="000000"/>
          <w:kern w:val="0"/>
          <w:sz w:val="24"/>
        </w:rPr>
        <w:t>：</w:t>
      </w:r>
    </w:p>
    <w:tbl>
      <w:tblPr>
        <w:tblStyle w:val="25"/>
        <w:tblW w:w="88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60"/>
        <w:gridCol w:w="3144"/>
        <w:gridCol w:w="1239"/>
        <w:gridCol w:w="587"/>
        <w:gridCol w:w="652"/>
        <w:gridCol w:w="1239"/>
        <w:gridCol w:w="1239"/>
      </w:tblGrid>
      <w:tr w14:paraId="465D8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3904"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5499472">
            <w:pPr>
              <w:widowControl/>
              <w:spacing w:line="360" w:lineRule="auto"/>
              <w:ind w:left="210" w:leftChars="100"/>
              <w:jc w:val="left"/>
              <w:textAlignment w:val="center"/>
              <w:rPr>
                <w:color w:val="000000"/>
                <w:szCs w:val="21"/>
              </w:rPr>
            </w:pPr>
            <w:r>
              <w:rPr>
                <w:rStyle w:val="39"/>
                <w:rFonts w:hint="default" w:ascii="Times New Roman" w:hAnsi="Times New Roman" w:cs="Times New Roman"/>
                <w:sz w:val="21"/>
                <w:szCs w:val="21"/>
              </w:rPr>
              <w:t>建筑面积（m</w:t>
            </w:r>
            <w:r>
              <w:rPr>
                <w:rStyle w:val="40"/>
                <w:rFonts w:hint="default" w:ascii="Times New Roman" w:hAnsi="Times New Roman" w:cs="Times New Roman"/>
                <w:sz w:val="21"/>
                <w:szCs w:val="21"/>
              </w:rPr>
              <w:t>2</w:t>
            </w:r>
            <w:r>
              <w:rPr>
                <w:rStyle w:val="39"/>
                <w:rFonts w:hint="default" w:ascii="Times New Roman" w:hAnsi="Times New Roman" w:cs="Times New Roman"/>
                <w:sz w:val="21"/>
                <w:szCs w:val="21"/>
              </w:rPr>
              <w:t>）</w:t>
            </w:r>
          </w:p>
        </w:tc>
        <w:tc>
          <w:tcPr>
            <w:tcW w:w="1826"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0985EA5">
            <w:pPr>
              <w:widowControl/>
              <w:spacing w:line="360" w:lineRule="auto"/>
              <w:jc w:val="center"/>
              <w:textAlignment w:val="center"/>
              <w:rPr>
                <w:color w:val="000000"/>
                <w:szCs w:val="21"/>
              </w:rPr>
            </w:pPr>
          </w:p>
        </w:tc>
        <w:tc>
          <w:tcPr>
            <w:tcW w:w="1891"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BCA2D28">
            <w:pPr>
              <w:widowControl/>
              <w:spacing w:line="360" w:lineRule="auto"/>
              <w:jc w:val="center"/>
              <w:textAlignment w:val="center"/>
              <w:rPr>
                <w:color w:val="000000"/>
                <w:szCs w:val="21"/>
              </w:rPr>
            </w:pPr>
            <w:r>
              <w:rPr>
                <w:color w:val="000000"/>
                <w:kern w:val="0"/>
                <w:szCs w:val="21"/>
              </w:rPr>
              <w:t>层数</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AFFE186">
            <w:pPr>
              <w:spacing w:line="360" w:lineRule="auto"/>
              <w:jc w:val="center"/>
              <w:rPr>
                <w:color w:val="000000"/>
                <w:szCs w:val="21"/>
              </w:rPr>
            </w:pPr>
          </w:p>
        </w:tc>
      </w:tr>
      <w:tr w14:paraId="3D745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3904"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F5DC450">
            <w:pPr>
              <w:widowControl/>
              <w:spacing w:line="360" w:lineRule="auto"/>
              <w:ind w:left="210" w:leftChars="100"/>
              <w:jc w:val="left"/>
              <w:textAlignment w:val="center"/>
              <w:rPr>
                <w:color w:val="000000"/>
                <w:szCs w:val="21"/>
              </w:rPr>
            </w:pPr>
            <w:r>
              <w:rPr>
                <w:color w:val="000000"/>
                <w:kern w:val="0"/>
                <w:szCs w:val="21"/>
              </w:rPr>
              <w:t>结构获奖情况</w:t>
            </w:r>
          </w:p>
        </w:tc>
        <w:tc>
          <w:tcPr>
            <w:tcW w:w="1826"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DB68818">
            <w:pPr>
              <w:spacing w:line="360" w:lineRule="auto"/>
              <w:jc w:val="center"/>
              <w:rPr>
                <w:color w:val="000000"/>
                <w:szCs w:val="21"/>
              </w:rPr>
            </w:pPr>
          </w:p>
        </w:tc>
        <w:tc>
          <w:tcPr>
            <w:tcW w:w="1891"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3856FA8">
            <w:pPr>
              <w:widowControl/>
              <w:spacing w:line="360" w:lineRule="auto"/>
              <w:jc w:val="center"/>
              <w:textAlignment w:val="center"/>
              <w:rPr>
                <w:color w:val="000000"/>
                <w:szCs w:val="21"/>
              </w:rPr>
            </w:pPr>
            <w:r>
              <w:rPr>
                <w:color w:val="000000"/>
                <w:kern w:val="0"/>
                <w:szCs w:val="21"/>
              </w:rPr>
              <w:t>有无备案</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7299C49">
            <w:pPr>
              <w:spacing w:line="360" w:lineRule="auto"/>
              <w:jc w:val="center"/>
              <w:rPr>
                <w:color w:val="000000"/>
                <w:szCs w:val="21"/>
              </w:rPr>
            </w:pPr>
          </w:p>
        </w:tc>
      </w:tr>
      <w:tr w14:paraId="77EFA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6" w:hRule="atLeast"/>
        </w:trPr>
        <w:tc>
          <w:tcPr>
            <w:tcW w:w="7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B871735">
            <w:pPr>
              <w:widowControl/>
              <w:spacing w:line="360" w:lineRule="auto"/>
              <w:jc w:val="center"/>
              <w:textAlignment w:val="center"/>
              <w:rPr>
                <w:color w:val="000000"/>
                <w:szCs w:val="21"/>
              </w:rPr>
            </w:pPr>
            <w:r>
              <w:rPr>
                <w:color w:val="000000"/>
                <w:kern w:val="0"/>
                <w:szCs w:val="21"/>
              </w:rPr>
              <w:t>项次</w:t>
            </w:r>
          </w:p>
        </w:tc>
        <w:tc>
          <w:tcPr>
            <w:tcW w:w="31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FE960BA">
            <w:pPr>
              <w:widowControl/>
              <w:spacing w:line="360" w:lineRule="auto"/>
              <w:jc w:val="center"/>
              <w:textAlignment w:val="center"/>
              <w:rPr>
                <w:color w:val="000000"/>
                <w:szCs w:val="21"/>
              </w:rPr>
            </w:pPr>
            <w:r>
              <w:rPr>
                <w:rFonts w:hint="eastAsia"/>
                <w:color w:val="000000"/>
                <w:kern w:val="0"/>
                <w:szCs w:val="21"/>
              </w:rPr>
              <w:t>初评</w:t>
            </w:r>
            <w:r>
              <w:rPr>
                <w:color w:val="000000"/>
                <w:kern w:val="0"/>
                <w:szCs w:val="21"/>
              </w:rPr>
              <w:t>检查项目</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3E4640A">
            <w:pPr>
              <w:widowControl/>
              <w:spacing w:line="360" w:lineRule="auto"/>
              <w:jc w:val="center"/>
              <w:textAlignment w:val="center"/>
              <w:rPr>
                <w:color w:val="000000"/>
                <w:szCs w:val="21"/>
              </w:rPr>
            </w:pPr>
            <w:r>
              <w:rPr>
                <w:color w:val="000000"/>
                <w:szCs w:val="21"/>
              </w:rPr>
              <w:t>精</w:t>
            </w:r>
          </w:p>
        </w:tc>
        <w:tc>
          <w:tcPr>
            <w:tcW w:w="1239"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FE554B5">
            <w:pPr>
              <w:widowControl/>
              <w:spacing w:line="360" w:lineRule="auto"/>
              <w:jc w:val="center"/>
              <w:textAlignment w:val="center"/>
              <w:rPr>
                <w:color w:val="000000"/>
                <w:szCs w:val="21"/>
              </w:rPr>
            </w:pPr>
            <w:r>
              <w:rPr>
                <w:color w:val="000000"/>
                <w:szCs w:val="21"/>
              </w:rPr>
              <w:t>良</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C39833C">
            <w:pPr>
              <w:widowControl/>
              <w:spacing w:line="360" w:lineRule="auto"/>
              <w:jc w:val="center"/>
              <w:textAlignment w:val="center"/>
              <w:rPr>
                <w:color w:val="000000"/>
                <w:szCs w:val="21"/>
              </w:rPr>
            </w:pPr>
            <w:r>
              <w:rPr>
                <w:color w:val="000000"/>
                <w:szCs w:val="21"/>
              </w:rPr>
              <w:t>一般</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4A9E0F2">
            <w:pPr>
              <w:widowControl/>
              <w:spacing w:line="360" w:lineRule="auto"/>
              <w:jc w:val="center"/>
              <w:textAlignment w:val="center"/>
              <w:rPr>
                <w:color w:val="000000"/>
                <w:szCs w:val="21"/>
              </w:rPr>
            </w:pPr>
            <w:r>
              <w:rPr>
                <w:color w:val="000000"/>
                <w:kern w:val="0"/>
                <w:szCs w:val="21"/>
              </w:rPr>
              <w:t>实得分</w:t>
            </w:r>
          </w:p>
        </w:tc>
      </w:tr>
      <w:tr w14:paraId="188DC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7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3BC73FB">
            <w:pPr>
              <w:widowControl/>
              <w:spacing w:line="360" w:lineRule="auto"/>
              <w:jc w:val="center"/>
              <w:textAlignment w:val="center"/>
              <w:rPr>
                <w:color w:val="000000"/>
                <w:szCs w:val="21"/>
              </w:rPr>
            </w:pPr>
            <w:r>
              <w:rPr>
                <w:color w:val="000000"/>
                <w:kern w:val="0"/>
                <w:szCs w:val="21"/>
              </w:rPr>
              <w:t>1★</w:t>
            </w:r>
          </w:p>
        </w:tc>
        <w:tc>
          <w:tcPr>
            <w:tcW w:w="31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1923A3D">
            <w:pPr>
              <w:widowControl/>
              <w:spacing w:line="360" w:lineRule="auto"/>
              <w:ind w:left="210" w:leftChars="100"/>
              <w:jc w:val="left"/>
              <w:textAlignment w:val="center"/>
              <w:rPr>
                <w:color w:val="000000"/>
                <w:szCs w:val="21"/>
              </w:rPr>
            </w:pPr>
            <w:r>
              <w:rPr>
                <w:color w:val="000000"/>
                <w:kern w:val="0"/>
                <w:szCs w:val="21"/>
              </w:rPr>
              <w:t>土建工程</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FDDE85A">
            <w:pPr>
              <w:widowControl/>
              <w:spacing w:line="360" w:lineRule="auto"/>
              <w:ind w:left="105" w:leftChars="50"/>
              <w:jc w:val="left"/>
              <w:textAlignment w:val="center"/>
              <w:rPr>
                <w:color w:val="000000"/>
                <w:szCs w:val="21"/>
              </w:rPr>
            </w:pPr>
            <w:r>
              <w:rPr>
                <w:color w:val="000000"/>
                <w:kern w:val="0"/>
                <w:szCs w:val="21"/>
              </w:rPr>
              <w:t>20～18</w:t>
            </w:r>
          </w:p>
        </w:tc>
        <w:tc>
          <w:tcPr>
            <w:tcW w:w="1239"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81F8DC9">
            <w:pPr>
              <w:widowControl/>
              <w:spacing w:line="360" w:lineRule="auto"/>
              <w:ind w:left="105" w:leftChars="50"/>
              <w:jc w:val="left"/>
              <w:textAlignment w:val="center"/>
              <w:rPr>
                <w:color w:val="000000"/>
                <w:szCs w:val="21"/>
              </w:rPr>
            </w:pPr>
            <w:r>
              <w:rPr>
                <w:color w:val="000000"/>
                <w:kern w:val="0"/>
                <w:szCs w:val="21"/>
              </w:rPr>
              <w:t>17.9～16</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D7F8070">
            <w:pPr>
              <w:widowControl/>
              <w:spacing w:line="360" w:lineRule="auto"/>
              <w:ind w:left="105" w:leftChars="50"/>
              <w:jc w:val="left"/>
              <w:textAlignment w:val="center"/>
              <w:rPr>
                <w:color w:val="000000"/>
                <w:szCs w:val="21"/>
              </w:rPr>
            </w:pPr>
            <w:r>
              <w:rPr>
                <w:color w:val="000000"/>
                <w:kern w:val="0"/>
                <w:szCs w:val="21"/>
              </w:rPr>
              <w:t>15.9</w:t>
            </w:r>
            <w:r>
              <w:rPr>
                <w:rFonts w:hint="eastAsia"/>
                <w:color w:val="000000"/>
                <w:kern w:val="0"/>
                <w:szCs w:val="21"/>
              </w:rPr>
              <w:t>以下</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BA87CDA">
            <w:pPr>
              <w:spacing w:line="360" w:lineRule="auto"/>
              <w:jc w:val="center"/>
              <w:rPr>
                <w:color w:val="000000"/>
                <w:szCs w:val="21"/>
              </w:rPr>
            </w:pPr>
          </w:p>
        </w:tc>
      </w:tr>
      <w:tr w14:paraId="14E4E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7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C0E3F2A">
            <w:pPr>
              <w:widowControl/>
              <w:spacing w:line="360" w:lineRule="auto"/>
              <w:jc w:val="center"/>
              <w:textAlignment w:val="center"/>
              <w:rPr>
                <w:color w:val="000000"/>
                <w:szCs w:val="21"/>
              </w:rPr>
            </w:pPr>
            <w:r>
              <w:rPr>
                <w:color w:val="000000"/>
                <w:kern w:val="0"/>
                <w:szCs w:val="21"/>
              </w:rPr>
              <w:t>2★</w:t>
            </w:r>
          </w:p>
        </w:tc>
        <w:tc>
          <w:tcPr>
            <w:tcW w:w="31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EEDFD6F">
            <w:pPr>
              <w:widowControl/>
              <w:spacing w:line="360" w:lineRule="auto"/>
              <w:ind w:left="210" w:leftChars="100"/>
              <w:jc w:val="left"/>
              <w:textAlignment w:val="center"/>
              <w:rPr>
                <w:color w:val="000000"/>
                <w:szCs w:val="21"/>
              </w:rPr>
            </w:pPr>
            <w:r>
              <w:rPr>
                <w:color w:val="000000"/>
                <w:kern w:val="0"/>
                <w:szCs w:val="21"/>
              </w:rPr>
              <w:t>建筑电气设备安装工程</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CB8519D">
            <w:pPr>
              <w:widowControl/>
              <w:ind w:left="105" w:leftChars="50"/>
              <w:jc w:val="left"/>
              <w:textAlignment w:val="center"/>
              <w:rPr>
                <w:color w:val="000000"/>
                <w:kern w:val="0"/>
                <w:szCs w:val="21"/>
              </w:rPr>
            </w:pPr>
            <w:r>
              <w:rPr>
                <w:color w:val="000000"/>
                <w:kern w:val="0"/>
                <w:szCs w:val="21"/>
              </w:rPr>
              <w:t>20～18</w:t>
            </w:r>
          </w:p>
          <w:p w14:paraId="7A235C69">
            <w:pPr>
              <w:widowControl/>
              <w:ind w:left="105" w:leftChars="50"/>
              <w:jc w:val="left"/>
              <w:textAlignment w:val="center"/>
              <w:rPr>
                <w:color w:val="000000"/>
                <w:szCs w:val="21"/>
                <w:highlight w:val="yellow"/>
              </w:rPr>
            </w:pPr>
            <w:r>
              <w:rPr>
                <w:rFonts w:hint="eastAsia"/>
                <w:color w:val="000000"/>
                <w:kern w:val="0"/>
                <w:szCs w:val="21"/>
              </w:rPr>
              <w:t>（1</w:t>
            </w:r>
            <w:r>
              <w:rPr>
                <w:color w:val="000000"/>
                <w:kern w:val="0"/>
                <w:szCs w:val="21"/>
              </w:rPr>
              <w:t>0～</w:t>
            </w:r>
            <w:r>
              <w:rPr>
                <w:rFonts w:hint="eastAsia"/>
                <w:color w:val="000000"/>
                <w:kern w:val="0"/>
                <w:szCs w:val="21"/>
              </w:rPr>
              <w:t>9）</w:t>
            </w:r>
          </w:p>
        </w:tc>
        <w:tc>
          <w:tcPr>
            <w:tcW w:w="1239"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3AB48ED">
            <w:pPr>
              <w:widowControl/>
              <w:ind w:left="105" w:leftChars="50"/>
              <w:jc w:val="left"/>
              <w:textAlignment w:val="center"/>
              <w:rPr>
                <w:color w:val="000000"/>
                <w:kern w:val="0"/>
                <w:szCs w:val="21"/>
              </w:rPr>
            </w:pPr>
            <w:r>
              <w:rPr>
                <w:color w:val="000000"/>
                <w:kern w:val="0"/>
                <w:szCs w:val="21"/>
              </w:rPr>
              <w:t>17.9～16</w:t>
            </w:r>
          </w:p>
          <w:p w14:paraId="3AB2B7A3">
            <w:pPr>
              <w:widowControl/>
              <w:ind w:left="105" w:leftChars="50"/>
              <w:jc w:val="left"/>
              <w:textAlignment w:val="center"/>
              <w:rPr>
                <w:color w:val="000000"/>
                <w:szCs w:val="21"/>
                <w:highlight w:val="yellow"/>
              </w:rPr>
            </w:pPr>
            <w:r>
              <w:rPr>
                <w:rFonts w:hint="eastAsia"/>
                <w:color w:val="000000"/>
                <w:kern w:val="0"/>
                <w:szCs w:val="21"/>
              </w:rPr>
              <w:t>（8.9</w:t>
            </w:r>
            <w:r>
              <w:rPr>
                <w:color w:val="000000"/>
                <w:kern w:val="0"/>
                <w:szCs w:val="21"/>
              </w:rPr>
              <w:t>～</w:t>
            </w:r>
            <w:r>
              <w:rPr>
                <w:rFonts w:hint="eastAsia"/>
                <w:color w:val="000000"/>
                <w:kern w:val="0"/>
                <w:szCs w:val="21"/>
              </w:rPr>
              <w:t>8）</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438686C">
            <w:pPr>
              <w:widowControl/>
              <w:ind w:left="105" w:leftChars="50"/>
              <w:jc w:val="left"/>
              <w:textAlignment w:val="center"/>
              <w:rPr>
                <w:color w:val="000000"/>
                <w:kern w:val="0"/>
                <w:szCs w:val="21"/>
              </w:rPr>
            </w:pPr>
            <w:r>
              <w:rPr>
                <w:color w:val="000000"/>
                <w:kern w:val="0"/>
                <w:szCs w:val="21"/>
              </w:rPr>
              <w:t>15.9</w:t>
            </w:r>
            <w:r>
              <w:rPr>
                <w:rFonts w:hint="eastAsia"/>
                <w:color w:val="000000"/>
                <w:kern w:val="0"/>
                <w:szCs w:val="21"/>
              </w:rPr>
              <w:t>（7.9）</w:t>
            </w:r>
          </w:p>
          <w:p w14:paraId="7554670A">
            <w:pPr>
              <w:widowControl/>
              <w:ind w:left="105" w:leftChars="50"/>
              <w:jc w:val="left"/>
              <w:textAlignment w:val="center"/>
              <w:rPr>
                <w:color w:val="000000"/>
                <w:szCs w:val="21"/>
                <w:highlight w:val="yellow"/>
              </w:rPr>
            </w:pPr>
            <w:r>
              <w:rPr>
                <w:rFonts w:hint="eastAsia"/>
                <w:color w:val="000000"/>
                <w:kern w:val="0"/>
                <w:szCs w:val="21"/>
              </w:rPr>
              <w:t>以下</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472C866A">
            <w:pPr>
              <w:spacing w:line="360" w:lineRule="auto"/>
              <w:jc w:val="center"/>
              <w:rPr>
                <w:color w:val="000000"/>
                <w:szCs w:val="21"/>
              </w:rPr>
            </w:pPr>
          </w:p>
        </w:tc>
      </w:tr>
      <w:tr w14:paraId="39D5C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7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BD833F6">
            <w:pPr>
              <w:widowControl/>
              <w:spacing w:line="360" w:lineRule="auto"/>
              <w:jc w:val="center"/>
              <w:textAlignment w:val="center"/>
              <w:rPr>
                <w:color w:val="000000"/>
                <w:szCs w:val="21"/>
              </w:rPr>
            </w:pPr>
            <w:r>
              <w:rPr>
                <w:color w:val="000000"/>
                <w:kern w:val="0"/>
                <w:szCs w:val="21"/>
              </w:rPr>
              <w:t>3★</w:t>
            </w:r>
          </w:p>
        </w:tc>
        <w:tc>
          <w:tcPr>
            <w:tcW w:w="31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477C9A5">
            <w:pPr>
              <w:widowControl/>
              <w:spacing w:line="360" w:lineRule="auto"/>
              <w:ind w:left="210" w:leftChars="100"/>
              <w:jc w:val="left"/>
              <w:textAlignment w:val="center"/>
              <w:rPr>
                <w:color w:val="000000"/>
                <w:szCs w:val="21"/>
              </w:rPr>
            </w:pPr>
            <w:r>
              <w:rPr>
                <w:color w:val="000000"/>
                <w:kern w:val="0"/>
                <w:szCs w:val="21"/>
              </w:rPr>
              <w:t>建筑设备安装工程</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40AE5B3">
            <w:pPr>
              <w:widowControl/>
              <w:ind w:left="105" w:leftChars="50"/>
              <w:jc w:val="left"/>
              <w:textAlignment w:val="center"/>
              <w:rPr>
                <w:color w:val="000000"/>
                <w:kern w:val="0"/>
                <w:szCs w:val="21"/>
              </w:rPr>
            </w:pPr>
            <w:r>
              <w:rPr>
                <w:color w:val="000000"/>
                <w:kern w:val="0"/>
                <w:szCs w:val="21"/>
              </w:rPr>
              <w:t>20～18</w:t>
            </w:r>
          </w:p>
          <w:p w14:paraId="614EA0B8">
            <w:pPr>
              <w:widowControl/>
              <w:ind w:left="105" w:leftChars="50"/>
              <w:jc w:val="left"/>
              <w:textAlignment w:val="center"/>
              <w:rPr>
                <w:color w:val="000000"/>
                <w:szCs w:val="21"/>
                <w:highlight w:val="yellow"/>
              </w:rPr>
            </w:pPr>
            <w:r>
              <w:rPr>
                <w:rFonts w:hint="eastAsia"/>
                <w:color w:val="000000"/>
                <w:kern w:val="0"/>
                <w:szCs w:val="21"/>
              </w:rPr>
              <w:t>（1</w:t>
            </w:r>
            <w:r>
              <w:rPr>
                <w:color w:val="000000"/>
                <w:kern w:val="0"/>
                <w:szCs w:val="21"/>
              </w:rPr>
              <w:t>0～</w:t>
            </w:r>
            <w:r>
              <w:rPr>
                <w:rFonts w:hint="eastAsia"/>
                <w:color w:val="000000"/>
                <w:kern w:val="0"/>
                <w:szCs w:val="21"/>
              </w:rPr>
              <w:t>9）</w:t>
            </w:r>
          </w:p>
        </w:tc>
        <w:tc>
          <w:tcPr>
            <w:tcW w:w="1239"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50E2831">
            <w:pPr>
              <w:widowControl/>
              <w:ind w:left="105" w:leftChars="50"/>
              <w:jc w:val="left"/>
              <w:textAlignment w:val="center"/>
              <w:rPr>
                <w:color w:val="000000"/>
                <w:kern w:val="0"/>
                <w:szCs w:val="21"/>
              </w:rPr>
            </w:pPr>
            <w:r>
              <w:rPr>
                <w:color w:val="000000"/>
                <w:kern w:val="0"/>
                <w:szCs w:val="21"/>
              </w:rPr>
              <w:t>17.9～16</w:t>
            </w:r>
          </w:p>
          <w:p w14:paraId="5C79BD07">
            <w:pPr>
              <w:widowControl/>
              <w:ind w:left="105" w:leftChars="50"/>
              <w:jc w:val="left"/>
              <w:textAlignment w:val="center"/>
              <w:rPr>
                <w:color w:val="000000"/>
                <w:szCs w:val="21"/>
                <w:highlight w:val="yellow"/>
              </w:rPr>
            </w:pPr>
            <w:r>
              <w:rPr>
                <w:rFonts w:hint="eastAsia"/>
                <w:color w:val="000000"/>
                <w:kern w:val="0"/>
                <w:szCs w:val="21"/>
              </w:rPr>
              <w:t>（8.9</w:t>
            </w:r>
            <w:r>
              <w:rPr>
                <w:color w:val="000000"/>
                <w:kern w:val="0"/>
                <w:szCs w:val="21"/>
              </w:rPr>
              <w:t>～</w:t>
            </w:r>
            <w:r>
              <w:rPr>
                <w:rFonts w:hint="eastAsia"/>
                <w:color w:val="000000"/>
                <w:kern w:val="0"/>
                <w:szCs w:val="21"/>
              </w:rPr>
              <w:t>8）</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50FD8BA">
            <w:pPr>
              <w:widowControl/>
              <w:ind w:left="105" w:leftChars="50"/>
              <w:jc w:val="left"/>
              <w:textAlignment w:val="center"/>
              <w:rPr>
                <w:color w:val="000000"/>
                <w:kern w:val="0"/>
                <w:szCs w:val="21"/>
              </w:rPr>
            </w:pPr>
            <w:r>
              <w:rPr>
                <w:color w:val="000000"/>
                <w:kern w:val="0"/>
                <w:szCs w:val="21"/>
              </w:rPr>
              <w:t>15.9</w:t>
            </w:r>
            <w:r>
              <w:rPr>
                <w:rFonts w:hint="eastAsia"/>
                <w:color w:val="000000"/>
                <w:kern w:val="0"/>
                <w:szCs w:val="21"/>
              </w:rPr>
              <w:t>（7.9）</w:t>
            </w:r>
          </w:p>
          <w:p w14:paraId="06413F37">
            <w:pPr>
              <w:widowControl/>
              <w:ind w:left="105" w:leftChars="50"/>
              <w:jc w:val="left"/>
              <w:textAlignment w:val="center"/>
              <w:rPr>
                <w:color w:val="000000"/>
                <w:szCs w:val="21"/>
                <w:highlight w:val="yellow"/>
              </w:rPr>
            </w:pPr>
            <w:r>
              <w:rPr>
                <w:rFonts w:hint="eastAsia"/>
                <w:color w:val="000000"/>
                <w:kern w:val="0"/>
                <w:szCs w:val="21"/>
              </w:rPr>
              <w:t>以下</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D04D901">
            <w:pPr>
              <w:spacing w:line="360" w:lineRule="auto"/>
              <w:jc w:val="center"/>
              <w:rPr>
                <w:color w:val="000000"/>
                <w:szCs w:val="21"/>
              </w:rPr>
            </w:pPr>
          </w:p>
        </w:tc>
      </w:tr>
      <w:tr w14:paraId="36D80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7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69F86F0">
            <w:pPr>
              <w:widowControl/>
              <w:spacing w:line="360" w:lineRule="auto"/>
              <w:jc w:val="center"/>
              <w:textAlignment w:val="center"/>
              <w:rPr>
                <w:color w:val="000000"/>
                <w:szCs w:val="21"/>
              </w:rPr>
            </w:pPr>
            <w:r>
              <w:rPr>
                <w:color w:val="000000"/>
                <w:kern w:val="0"/>
                <w:szCs w:val="21"/>
              </w:rPr>
              <w:t>4★</w:t>
            </w:r>
          </w:p>
        </w:tc>
        <w:tc>
          <w:tcPr>
            <w:tcW w:w="31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9627F6B">
            <w:pPr>
              <w:widowControl/>
              <w:spacing w:line="360" w:lineRule="auto"/>
              <w:ind w:firstLine="210" w:firstLineChars="100"/>
              <w:jc w:val="left"/>
              <w:textAlignment w:val="center"/>
              <w:rPr>
                <w:color w:val="000000"/>
                <w:kern w:val="0"/>
                <w:szCs w:val="21"/>
              </w:rPr>
            </w:pPr>
            <w:r>
              <w:rPr>
                <w:color w:val="000000"/>
                <w:kern w:val="0"/>
                <w:szCs w:val="21"/>
              </w:rPr>
              <w:t>工程资料管理</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061494A">
            <w:pPr>
              <w:widowControl/>
              <w:ind w:left="105" w:leftChars="50"/>
              <w:jc w:val="left"/>
              <w:textAlignment w:val="center"/>
              <w:rPr>
                <w:color w:val="000000"/>
                <w:szCs w:val="21"/>
              </w:rPr>
            </w:pPr>
            <w:r>
              <w:rPr>
                <w:color w:val="000000"/>
                <w:szCs w:val="21"/>
              </w:rPr>
              <w:t>15～13.5</w:t>
            </w:r>
          </w:p>
          <w:p w14:paraId="69F96AAF">
            <w:pPr>
              <w:widowControl/>
              <w:ind w:left="105" w:leftChars="50"/>
              <w:jc w:val="left"/>
              <w:textAlignment w:val="center"/>
              <w:rPr>
                <w:color w:val="000000"/>
                <w:szCs w:val="21"/>
              </w:rPr>
            </w:pPr>
            <w:r>
              <w:rPr>
                <w:rFonts w:hint="eastAsia"/>
                <w:color w:val="000000"/>
                <w:kern w:val="0"/>
                <w:szCs w:val="21"/>
              </w:rPr>
              <w:t>（35</w:t>
            </w:r>
            <w:r>
              <w:rPr>
                <w:color w:val="000000"/>
                <w:szCs w:val="21"/>
              </w:rPr>
              <w:t>～</w:t>
            </w:r>
            <w:r>
              <w:rPr>
                <w:rFonts w:hint="eastAsia"/>
                <w:color w:val="000000"/>
                <w:szCs w:val="21"/>
              </w:rPr>
              <w:t>31.5</w:t>
            </w:r>
            <w:r>
              <w:rPr>
                <w:rFonts w:hint="eastAsia"/>
                <w:color w:val="000000"/>
                <w:kern w:val="0"/>
                <w:szCs w:val="21"/>
              </w:rPr>
              <w:t>）</w:t>
            </w:r>
          </w:p>
        </w:tc>
        <w:tc>
          <w:tcPr>
            <w:tcW w:w="1239"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482BCB6">
            <w:pPr>
              <w:widowControl/>
              <w:ind w:left="105" w:leftChars="50"/>
              <w:jc w:val="left"/>
              <w:textAlignment w:val="center"/>
              <w:rPr>
                <w:color w:val="000000"/>
                <w:szCs w:val="21"/>
              </w:rPr>
            </w:pPr>
            <w:r>
              <w:rPr>
                <w:color w:val="000000"/>
                <w:kern w:val="0"/>
                <w:szCs w:val="21"/>
              </w:rPr>
              <w:t>13.4～12</w:t>
            </w:r>
            <w:r>
              <w:rPr>
                <w:rFonts w:hint="eastAsia"/>
                <w:color w:val="000000"/>
                <w:kern w:val="0"/>
                <w:szCs w:val="21"/>
              </w:rPr>
              <w:t>（31.4</w:t>
            </w:r>
            <w:r>
              <w:rPr>
                <w:color w:val="000000"/>
                <w:szCs w:val="21"/>
              </w:rPr>
              <w:t>～</w:t>
            </w:r>
            <w:r>
              <w:rPr>
                <w:rFonts w:hint="eastAsia"/>
                <w:color w:val="000000"/>
                <w:szCs w:val="21"/>
              </w:rPr>
              <w:t>28</w:t>
            </w:r>
            <w:r>
              <w:rPr>
                <w:rFonts w:hint="eastAsia"/>
                <w:color w:val="000000"/>
                <w:kern w:val="0"/>
                <w:szCs w:val="21"/>
              </w:rPr>
              <w:t>）</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AEC214F">
            <w:pPr>
              <w:widowControl/>
              <w:ind w:left="105" w:leftChars="50"/>
              <w:jc w:val="left"/>
              <w:textAlignment w:val="center"/>
              <w:rPr>
                <w:color w:val="000000"/>
                <w:szCs w:val="21"/>
              </w:rPr>
            </w:pPr>
            <w:r>
              <w:rPr>
                <w:color w:val="000000"/>
                <w:kern w:val="0"/>
                <w:szCs w:val="21"/>
              </w:rPr>
              <w:t>11.9</w:t>
            </w:r>
            <w:r>
              <w:rPr>
                <w:rFonts w:hint="eastAsia"/>
                <w:color w:val="000000"/>
                <w:kern w:val="0"/>
                <w:szCs w:val="21"/>
              </w:rPr>
              <w:t>（27.9）以下</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B33A9CC">
            <w:pPr>
              <w:spacing w:line="360" w:lineRule="auto"/>
              <w:jc w:val="center"/>
              <w:rPr>
                <w:color w:val="000000"/>
                <w:szCs w:val="21"/>
              </w:rPr>
            </w:pPr>
          </w:p>
        </w:tc>
      </w:tr>
      <w:tr w14:paraId="1A25B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7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A37F4F8">
            <w:pPr>
              <w:widowControl/>
              <w:spacing w:line="360" w:lineRule="auto"/>
              <w:jc w:val="center"/>
              <w:textAlignment w:val="center"/>
              <w:rPr>
                <w:color w:val="000000"/>
                <w:szCs w:val="21"/>
              </w:rPr>
            </w:pPr>
            <w:r>
              <w:rPr>
                <w:color w:val="000000"/>
                <w:kern w:val="0"/>
                <w:szCs w:val="21"/>
              </w:rPr>
              <w:t>5</w:t>
            </w:r>
          </w:p>
        </w:tc>
        <w:tc>
          <w:tcPr>
            <w:tcW w:w="31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14:paraId="49B91FB9">
            <w:pPr>
              <w:widowControl/>
              <w:spacing w:line="360" w:lineRule="auto"/>
              <w:ind w:left="210" w:leftChars="100"/>
              <w:jc w:val="left"/>
              <w:textAlignment w:val="center"/>
              <w:rPr>
                <w:color w:val="000000"/>
                <w:szCs w:val="21"/>
              </w:rPr>
            </w:pPr>
            <w:r>
              <w:rPr>
                <w:color w:val="000000"/>
                <w:kern w:val="0"/>
                <w:szCs w:val="21"/>
              </w:rPr>
              <w:t>施工项目管理</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D1B9E1B">
            <w:pPr>
              <w:widowControl/>
              <w:ind w:left="105" w:leftChars="50"/>
              <w:jc w:val="left"/>
              <w:textAlignment w:val="center"/>
              <w:rPr>
                <w:color w:val="000000"/>
                <w:szCs w:val="21"/>
              </w:rPr>
            </w:pPr>
            <w:r>
              <w:rPr>
                <w:color w:val="000000"/>
                <w:kern w:val="0"/>
                <w:szCs w:val="21"/>
              </w:rPr>
              <w:t>10～9</w:t>
            </w:r>
          </w:p>
        </w:tc>
        <w:tc>
          <w:tcPr>
            <w:tcW w:w="1239"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BB3B671">
            <w:pPr>
              <w:widowControl/>
              <w:ind w:left="105" w:leftChars="50"/>
              <w:jc w:val="left"/>
              <w:textAlignment w:val="center"/>
              <w:rPr>
                <w:color w:val="000000"/>
                <w:szCs w:val="21"/>
              </w:rPr>
            </w:pPr>
            <w:r>
              <w:rPr>
                <w:color w:val="000000"/>
                <w:kern w:val="0"/>
                <w:szCs w:val="21"/>
              </w:rPr>
              <w:t>8.9～8</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3B21EBC9">
            <w:pPr>
              <w:widowControl/>
              <w:ind w:left="105" w:leftChars="50"/>
              <w:jc w:val="left"/>
              <w:textAlignment w:val="center"/>
              <w:rPr>
                <w:color w:val="000000"/>
                <w:szCs w:val="21"/>
              </w:rPr>
            </w:pPr>
            <w:r>
              <w:rPr>
                <w:color w:val="000000"/>
                <w:kern w:val="0"/>
                <w:szCs w:val="21"/>
              </w:rPr>
              <w:t>7.9</w:t>
            </w:r>
            <w:r>
              <w:rPr>
                <w:rFonts w:hint="eastAsia"/>
                <w:color w:val="000000"/>
                <w:kern w:val="0"/>
                <w:szCs w:val="21"/>
              </w:rPr>
              <w:t>以下</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5669C6A">
            <w:pPr>
              <w:spacing w:line="360" w:lineRule="auto"/>
              <w:jc w:val="center"/>
              <w:rPr>
                <w:color w:val="000000"/>
                <w:szCs w:val="21"/>
              </w:rPr>
            </w:pPr>
          </w:p>
        </w:tc>
      </w:tr>
      <w:tr w14:paraId="5C4A9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7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F4603F2">
            <w:pPr>
              <w:widowControl/>
              <w:spacing w:line="360" w:lineRule="auto"/>
              <w:jc w:val="center"/>
              <w:textAlignment w:val="center"/>
              <w:rPr>
                <w:color w:val="000000"/>
                <w:szCs w:val="21"/>
              </w:rPr>
            </w:pPr>
            <w:r>
              <w:rPr>
                <w:color w:val="000000"/>
                <w:kern w:val="0"/>
                <w:szCs w:val="21"/>
              </w:rPr>
              <w:t>6</w:t>
            </w:r>
          </w:p>
        </w:tc>
        <w:tc>
          <w:tcPr>
            <w:tcW w:w="31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044BB86">
            <w:pPr>
              <w:widowControl/>
              <w:spacing w:line="360" w:lineRule="auto"/>
              <w:ind w:left="210" w:leftChars="100"/>
              <w:jc w:val="left"/>
              <w:textAlignment w:val="center"/>
              <w:rPr>
                <w:color w:val="000000"/>
                <w:szCs w:val="21"/>
              </w:rPr>
            </w:pPr>
            <w:r>
              <w:rPr>
                <w:rFonts w:hint="eastAsia"/>
                <w:color w:val="000000"/>
                <w:kern w:val="0"/>
                <w:szCs w:val="21"/>
              </w:rPr>
              <w:t>技术应用创新与智能建造</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005AB28">
            <w:pPr>
              <w:widowControl/>
              <w:ind w:left="105" w:leftChars="50"/>
              <w:jc w:val="left"/>
              <w:textAlignment w:val="center"/>
              <w:rPr>
                <w:color w:val="000000"/>
                <w:kern w:val="0"/>
                <w:szCs w:val="21"/>
              </w:rPr>
            </w:pPr>
            <w:r>
              <w:rPr>
                <w:color w:val="000000"/>
                <w:kern w:val="0"/>
                <w:szCs w:val="21"/>
              </w:rPr>
              <w:t>8～6</w:t>
            </w:r>
          </w:p>
        </w:tc>
        <w:tc>
          <w:tcPr>
            <w:tcW w:w="1239"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949173A">
            <w:pPr>
              <w:widowControl/>
              <w:ind w:left="105" w:leftChars="50"/>
              <w:jc w:val="left"/>
              <w:textAlignment w:val="center"/>
              <w:rPr>
                <w:color w:val="000000"/>
                <w:szCs w:val="21"/>
              </w:rPr>
            </w:pPr>
            <w:r>
              <w:rPr>
                <w:color w:val="000000"/>
                <w:kern w:val="0"/>
                <w:szCs w:val="21"/>
              </w:rPr>
              <w:t>5.9～4</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9193691">
            <w:pPr>
              <w:widowControl/>
              <w:ind w:left="105" w:leftChars="50"/>
              <w:jc w:val="left"/>
              <w:textAlignment w:val="center"/>
              <w:rPr>
                <w:color w:val="000000"/>
                <w:szCs w:val="21"/>
              </w:rPr>
            </w:pPr>
            <w:r>
              <w:rPr>
                <w:color w:val="000000"/>
                <w:kern w:val="0"/>
                <w:szCs w:val="21"/>
              </w:rPr>
              <w:t>3.9</w:t>
            </w:r>
            <w:r>
              <w:rPr>
                <w:rFonts w:hint="eastAsia"/>
                <w:color w:val="000000"/>
                <w:kern w:val="0"/>
                <w:szCs w:val="21"/>
              </w:rPr>
              <w:t>以下</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3D52731">
            <w:pPr>
              <w:spacing w:line="360" w:lineRule="auto"/>
              <w:jc w:val="center"/>
              <w:rPr>
                <w:color w:val="000000"/>
                <w:szCs w:val="21"/>
              </w:rPr>
            </w:pPr>
          </w:p>
        </w:tc>
      </w:tr>
      <w:tr w14:paraId="6C42D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760"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7EE698B7">
            <w:pPr>
              <w:widowControl/>
              <w:spacing w:line="360" w:lineRule="auto"/>
              <w:jc w:val="center"/>
              <w:textAlignment w:val="center"/>
              <w:rPr>
                <w:color w:val="000000"/>
                <w:szCs w:val="21"/>
              </w:rPr>
            </w:pPr>
            <w:r>
              <w:rPr>
                <w:color w:val="000000"/>
                <w:kern w:val="0"/>
                <w:szCs w:val="21"/>
              </w:rPr>
              <w:t>7</w:t>
            </w:r>
          </w:p>
        </w:tc>
        <w:tc>
          <w:tcPr>
            <w:tcW w:w="3144"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68A69F8E">
            <w:pPr>
              <w:widowControl/>
              <w:spacing w:line="360" w:lineRule="auto"/>
              <w:ind w:left="210" w:leftChars="100"/>
              <w:jc w:val="left"/>
              <w:textAlignment w:val="center"/>
              <w:rPr>
                <w:color w:val="000000"/>
                <w:szCs w:val="21"/>
              </w:rPr>
            </w:pPr>
            <w:r>
              <w:rPr>
                <w:rFonts w:hint="eastAsia"/>
                <w:color w:val="000000"/>
                <w:kern w:val="0"/>
                <w:szCs w:val="21"/>
              </w:rPr>
              <w:t>绿色施工</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F129F65">
            <w:pPr>
              <w:widowControl/>
              <w:ind w:left="105" w:leftChars="50"/>
              <w:jc w:val="left"/>
              <w:textAlignment w:val="center"/>
              <w:rPr>
                <w:color w:val="000000"/>
                <w:kern w:val="0"/>
                <w:szCs w:val="21"/>
              </w:rPr>
            </w:pPr>
            <w:r>
              <w:rPr>
                <w:color w:val="000000"/>
                <w:kern w:val="0"/>
                <w:szCs w:val="21"/>
              </w:rPr>
              <w:t>7～5</w:t>
            </w:r>
          </w:p>
        </w:tc>
        <w:tc>
          <w:tcPr>
            <w:tcW w:w="1239"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978A60E">
            <w:pPr>
              <w:widowControl/>
              <w:ind w:left="105" w:leftChars="50"/>
              <w:jc w:val="left"/>
              <w:textAlignment w:val="center"/>
              <w:rPr>
                <w:color w:val="000000"/>
                <w:szCs w:val="21"/>
              </w:rPr>
            </w:pPr>
            <w:r>
              <w:rPr>
                <w:color w:val="000000"/>
                <w:kern w:val="0"/>
                <w:szCs w:val="21"/>
              </w:rPr>
              <w:t>4.9～4</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037F591B">
            <w:pPr>
              <w:widowControl/>
              <w:ind w:left="105" w:leftChars="50"/>
              <w:jc w:val="left"/>
              <w:textAlignment w:val="center"/>
              <w:rPr>
                <w:color w:val="000000"/>
                <w:szCs w:val="21"/>
              </w:rPr>
            </w:pPr>
            <w:r>
              <w:rPr>
                <w:color w:val="000000"/>
                <w:kern w:val="0"/>
                <w:szCs w:val="21"/>
              </w:rPr>
              <w:t>3.9</w:t>
            </w:r>
            <w:r>
              <w:rPr>
                <w:rFonts w:hint="eastAsia"/>
                <w:color w:val="000000"/>
                <w:kern w:val="0"/>
                <w:szCs w:val="21"/>
              </w:rPr>
              <w:t>以下</w:t>
            </w:r>
          </w:p>
        </w:tc>
        <w:tc>
          <w:tcPr>
            <w:tcW w:w="1239" w:type="dxa"/>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2F992A5F">
            <w:pPr>
              <w:spacing w:line="360" w:lineRule="auto"/>
              <w:jc w:val="center"/>
              <w:rPr>
                <w:color w:val="000000"/>
                <w:szCs w:val="21"/>
              </w:rPr>
            </w:pPr>
          </w:p>
        </w:tc>
      </w:tr>
      <w:tr w14:paraId="4FEC5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3904" w:type="dxa"/>
            <w:gridSpan w:val="2"/>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1FEF5E26">
            <w:pPr>
              <w:spacing w:line="360" w:lineRule="auto"/>
              <w:jc w:val="center"/>
              <w:rPr>
                <w:color w:val="000000"/>
                <w:szCs w:val="21"/>
              </w:rPr>
            </w:pPr>
            <w:r>
              <w:rPr>
                <w:color w:val="000000"/>
                <w:kern w:val="0"/>
                <w:szCs w:val="21"/>
              </w:rPr>
              <w:t>总    分</w:t>
            </w:r>
          </w:p>
        </w:tc>
        <w:tc>
          <w:tcPr>
            <w:tcW w:w="4956" w:type="dxa"/>
            <w:gridSpan w:val="5"/>
            <w:tcBorders>
              <w:top w:val="single" w:color="auto" w:sz="8" w:space="0"/>
              <w:left w:val="single" w:color="auto" w:sz="8" w:space="0"/>
              <w:bottom w:val="single" w:color="auto" w:sz="8" w:space="0"/>
              <w:right w:val="single" w:color="auto" w:sz="8" w:space="0"/>
            </w:tcBorders>
            <w:noWrap/>
            <w:tcMar>
              <w:top w:w="15" w:type="dxa"/>
              <w:left w:w="15" w:type="dxa"/>
              <w:right w:w="15" w:type="dxa"/>
            </w:tcMar>
            <w:vAlign w:val="center"/>
          </w:tcPr>
          <w:p w14:paraId="508DDDA7">
            <w:pPr>
              <w:spacing w:line="360" w:lineRule="auto"/>
              <w:jc w:val="center"/>
              <w:rPr>
                <w:color w:val="000000"/>
                <w:szCs w:val="21"/>
              </w:rPr>
            </w:pPr>
          </w:p>
        </w:tc>
      </w:tr>
      <w:tr w14:paraId="6C384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79" w:hRule="atLeast"/>
        </w:trPr>
        <w:tc>
          <w:tcPr>
            <w:tcW w:w="8860" w:type="dxa"/>
            <w:gridSpan w:val="7"/>
            <w:tcBorders>
              <w:top w:val="single" w:color="auto" w:sz="8" w:space="0"/>
              <w:left w:val="single" w:color="auto" w:sz="8" w:space="0"/>
              <w:bottom w:val="single" w:color="auto" w:sz="8" w:space="0"/>
              <w:right w:val="single" w:color="auto" w:sz="8" w:space="0"/>
            </w:tcBorders>
            <w:noWrap/>
            <w:tcMar>
              <w:top w:w="15" w:type="dxa"/>
              <w:left w:w="15" w:type="dxa"/>
              <w:right w:w="15" w:type="dxa"/>
            </w:tcMar>
          </w:tcPr>
          <w:p w14:paraId="624A944E">
            <w:pPr>
              <w:rPr>
                <w:color w:val="000000"/>
                <w:kern w:val="0"/>
                <w:szCs w:val="21"/>
              </w:rPr>
            </w:pPr>
            <w:r>
              <w:rPr>
                <w:color w:val="000000"/>
                <w:kern w:val="0"/>
                <w:szCs w:val="21"/>
              </w:rPr>
              <w:t xml:space="preserve"> 综合评价：</w:t>
            </w:r>
          </w:p>
          <w:p w14:paraId="0B18B182">
            <w:pPr>
              <w:widowControl/>
              <w:textAlignment w:val="center"/>
              <w:rPr>
                <w:color w:val="000000"/>
                <w:kern w:val="0"/>
                <w:szCs w:val="21"/>
              </w:rPr>
            </w:pPr>
          </w:p>
          <w:p w14:paraId="05CC34DD">
            <w:pPr>
              <w:widowControl/>
              <w:textAlignment w:val="center"/>
              <w:rPr>
                <w:color w:val="000000"/>
                <w:kern w:val="0"/>
                <w:szCs w:val="21"/>
              </w:rPr>
            </w:pPr>
          </w:p>
          <w:p w14:paraId="54349B81">
            <w:pPr>
              <w:widowControl/>
              <w:textAlignment w:val="center"/>
              <w:rPr>
                <w:color w:val="000000"/>
                <w:kern w:val="0"/>
                <w:szCs w:val="21"/>
              </w:rPr>
            </w:pPr>
          </w:p>
          <w:p w14:paraId="4CF2B25E">
            <w:pPr>
              <w:widowControl/>
              <w:textAlignment w:val="center"/>
              <w:rPr>
                <w:color w:val="000000"/>
                <w:kern w:val="0"/>
                <w:szCs w:val="21"/>
              </w:rPr>
            </w:pPr>
          </w:p>
          <w:p w14:paraId="58DE81E2">
            <w:pPr>
              <w:widowControl/>
              <w:textAlignment w:val="center"/>
              <w:rPr>
                <w:color w:val="000000"/>
                <w:kern w:val="0"/>
                <w:szCs w:val="21"/>
              </w:rPr>
            </w:pPr>
          </w:p>
          <w:p w14:paraId="3673A400">
            <w:pPr>
              <w:widowControl/>
              <w:textAlignment w:val="center"/>
              <w:rPr>
                <w:color w:val="000000"/>
                <w:kern w:val="0"/>
                <w:szCs w:val="21"/>
              </w:rPr>
            </w:pPr>
          </w:p>
          <w:p w14:paraId="4E7FDFEC">
            <w:pPr>
              <w:widowControl/>
              <w:textAlignment w:val="center"/>
              <w:rPr>
                <w:color w:val="000000"/>
                <w:kern w:val="0"/>
                <w:szCs w:val="21"/>
              </w:rPr>
            </w:pPr>
          </w:p>
          <w:p w14:paraId="7A973D5F">
            <w:pPr>
              <w:widowControl/>
              <w:textAlignment w:val="center"/>
              <w:rPr>
                <w:color w:val="000000"/>
                <w:kern w:val="0"/>
                <w:szCs w:val="21"/>
              </w:rPr>
            </w:pPr>
          </w:p>
          <w:p w14:paraId="13DE38C7">
            <w:pPr>
              <w:widowControl/>
              <w:textAlignment w:val="center"/>
              <w:rPr>
                <w:color w:val="000000"/>
                <w:kern w:val="0"/>
                <w:szCs w:val="21"/>
              </w:rPr>
            </w:pPr>
          </w:p>
          <w:p w14:paraId="1E83DD30">
            <w:pPr>
              <w:widowControl/>
              <w:textAlignment w:val="center"/>
              <w:rPr>
                <w:color w:val="000000"/>
                <w:kern w:val="0"/>
                <w:szCs w:val="21"/>
              </w:rPr>
            </w:pPr>
          </w:p>
          <w:p w14:paraId="7F0A8AFD">
            <w:pPr>
              <w:widowControl/>
              <w:textAlignment w:val="center"/>
              <w:rPr>
                <w:color w:val="000000"/>
                <w:kern w:val="0"/>
                <w:szCs w:val="21"/>
              </w:rPr>
            </w:pPr>
          </w:p>
          <w:p w14:paraId="6EFA802A">
            <w:pPr>
              <w:widowControl/>
              <w:textAlignment w:val="center"/>
              <w:rPr>
                <w:color w:val="000000"/>
                <w:kern w:val="0"/>
                <w:szCs w:val="21"/>
              </w:rPr>
            </w:pPr>
          </w:p>
          <w:p w14:paraId="7326BC78">
            <w:pPr>
              <w:widowControl/>
              <w:textAlignment w:val="center"/>
              <w:rPr>
                <w:color w:val="000000"/>
                <w:szCs w:val="21"/>
              </w:rPr>
            </w:pPr>
            <w:r>
              <w:rPr>
                <w:color w:val="000000"/>
                <w:kern w:val="0"/>
                <w:szCs w:val="21"/>
              </w:rPr>
              <w:t xml:space="preserve">                                          组长：             年    月    日</w:t>
            </w:r>
          </w:p>
        </w:tc>
      </w:tr>
    </w:tbl>
    <w:p w14:paraId="0940806E">
      <w:pPr>
        <w:ind w:right="-315" w:rightChars="-150"/>
        <w:rPr>
          <w:color w:val="000000"/>
        </w:rPr>
      </w:pPr>
      <w:r>
        <w:rPr>
          <w:color w:val="000000"/>
        </w:rPr>
        <w:t>注：1 此表由组长填写。</w:t>
      </w:r>
      <w:r>
        <w:rPr>
          <w:color w:val="000000"/>
        </w:rPr>
        <w:tab/>
      </w:r>
      <w:r>
        <w:rPr>
          <w:color w:val="000000"/>
        </w:rPr>
        <w:tab/>
      </w:r>
      <w:r>
        <w:rPr>
          <w:color w:val="000000"/>
        </w:rPr>
        <w:tab/>
      </w:r>
      <w:r>
        <w:rPr>
          <w:color w:val="000000"/>
        </w:rPr>
        <w:tab/>
      </w:r>
      <w:r>
        <w:rPr>
          <w:color w:val="000000"/>
        </w:rPr>
        <w:tab/>
      </w:r>
    </w:p>
    <w:p w14:paraId="77884541">
      <w:pPr>
        <w:ind w:right="-315" w:rightChars="-150" w:firstLine="420"/>
        <w:rPr>
          <w:color w:val="000000"/>
        </w:rPr>
      </w:pPr>
      <w:r>
        <w:rPr>
          <w:color w:val="000000"/>
        </w:rPr>
        <w:t>2 带★的项目评价等级为“精”，其余各项评价等级为“精”或“良”，且总分达到88分及以上，整体工程方能推荐为建筑长城杯金质奖。</w:t>
      </w:r>
    </w:p>
    <w:p w14:paraId="2E45E28B">
      <w:pPr>
        <w:ind w:right="-315" w:rightChars="-150" w:firstLine="420"/>
        <w:rPr>
          <w:color w:val="000000"/>
        </w:rPr>
      </w:pPr>
      <w:r>
        <w:rPr>
          <w:color w:val="000000"/>
        </w:rPr>
        <w:t>3 土建工程和工程资料管理评价为“精”，其余各项评价为“精”或“良”，且总分达到80分以上，整体工程方能推荐为建筑长城杯银质奖。</w:t>
      </w:r>
    </w:p>
    <w:p w14:paraId="1EAD49D2">
      <w:pPr>
        <w:pStyle w:val="2"/>
        <w:ind w:left="134" w:firstLine="283"/>
        <w:rPr>
          <w:color w:val="000000"/>
        </w:rPr>
      </w:pPr>
      <w:r>
        <w:rPr>
          <w:rFonts w:hint="eastAsia"/>
          <w:color w:val="000000"/>
        </w:rPr>
        <w:t>4 括号内的分值适用于改造工程。</w:t>
      </w:r>
    </w:p>
    <w:p w14:paraId="04722D36">
      <w:pPr>
        <w:spacing w:line="400" w:lineRule="exact"/>
        <w:jc w:val="center"/>
        <w:outlineLvl w:val="2"/>
        <w:rPr>
          <w:rStyle w:val="32"/>
          <w:rFonts w:ascii="Times New Roman" w:hAnsi="Times New Roman" w:eastAsia="黑体"/>
          <w:sz w:val="28"/>
          <w:szCs w:val="28"/>
        </w:rPr>
      </w:pPr>
      <w:bookmarkStart w:id="1002" w:name="_Toc12566"/>
      <w:bookmarkStart w:id="1003" w:name="_Toc2244"/>
      <w:bookmarkStart w:id="1004" w:name="_Toc21124"/>
      <w:bookmarkStart w:id="1005" w:name="_Toc1496"/>
      <w:r>
        <w:rPr>
          <w:rStyle w:val="32"/>
          <w:rFonts w:ascii="Times New Roman" w:hAnsi="Times New Roman" w:eastAsia="黑体"/>
          <w:sz w:val="28"/>
          <w:szCs w:val="28"/>
        </w:rPr>
        <w:t>本标准用词说明</w:t>
      </w:r>
    </w:p>
    <w:p w14:paraId="723C09C4">
      <w:pPr>
        <w:spacing w:line="400" w:lineRule="exact"/>
        <w:jc w:val="center"/>
        <w:rPr>
          <w:b/>
          <w:color w:val="000000"/>
          <w:sz w:val="30"/>
          <w:szCs w:val="30"/>
        </w:rPr>
      </w:pPr>
    </w:p>
    <w:p w14:paraId="11090B12">
      <w:pPr>
        <w:spacing w:line="400" w:lineRule="exact"/>
        <w:ind w:firstLine="420" w:firstLineChars="200"/>
        <w:outlineLvl w:val="0"/>
        <w:rPr>
          <w:color w:val="000000"/>
          <w:szCs w:val="21"/>
        </w:rPr>
      </w:pPr>
      <w:bookmarkStart w:id="1006" w:name="_Toc16476"/>
      <w:bookmarkStart w:id="1007" w:name="_Toc32142"/>
      <w:bookmarkStart w:id="1008" w:name="_Toc21660_WPSOffice_Level1"/>
      <w:bookmarkStart w:id="1009" w:name="_Toc12740"/>
      <w:bookmarkStart w:id="1010" w:name="_Toc11357"/>
      <w:bookmarkStart w:id="1011" w:name="_Toc26687"/>
      <w:bookmarkStart w:id="1012" w:name="_Toc23629"/>
      <w:bookmarkStart w:id="1013" w:name="_Toc24961"/>
      <w:bookmarkStart w:id="1014" w:name="_Toc11291"/>
      <w:bookmarkStart w:id="1015" w:name="_Toc2373"/>
      <w:bookmarkStart w:id="1016" w:name="_Toc5941"/>
      <w:bookmarkStart w:id="1017" w:name="_Toc2057"/>
      <w:bookmarkStart w:id="1018" w:name="_Toc27226"/>
      <w:bookmarkStart w:id="1019" w:name="_Toc26157"/>
      <w:bookmarkStart w:id="1020" w:name="_Toc31132"/>
      <w:bookmarkStart w:id="1021" w:name="_Toc9750"/>
      <w:bookmarkStart w:id="1022" w:name="_Toc16145"/>
      <w:bookmarkStart w:id="1023" w:name="_Toc6981"/>
      <w:r>
        <w:rPr>
          <w:color w:val="000000"/>
          <w:szCs w:val="21"/>
        </w:rPr>
        <w:t>1 为便于在执行本</w:t>
      </w:r>
      <w:r>
        <w:rPr>
          <w:rFonts w:hint="eastAsia"/>
          <w:color w:val="000000"/>
          <w:szCs w:val="21"/>
          <w:lang w:val="en-US" w:eastAsia="zh-CN"/>
        </w:rPr>
        <w:t>标准</w:t>
      </w:r>
      <w:r>
        <w:rPr>
          <w:color w:val="000000"/>
          <w:szCs w:val="21"/>
        </w:rPr>
        <w:t>条文时区别对待，对要求严格程度不同的用词说明如下：</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14:paraId="313B2343">
      <w:pPr>
        <w:spacing w:line="400" w:lineRule="exact"/>
        <w:ind w:left="630" w:leftChars="300"/>
        <w:outlineLvl w:val="1"/>
        <w:rPr>
          <w:color w:val="000000"/>
          <w:szCs w:val="21"/>
        </w:rPr>
      </w:pPr>
      <w:r>
        <w:rPr>
          <w:color w:val="000000"/>
          <w:szCs w:val="21"/>
        </w:rPr>
        <w:t xml:space="preserve">  </w:t>
      </w:r>
      <w:bookmarkStart w:id="1024" w:name="_Toc236"/>
      <w:bookmarkStart w:id="1025" w:name="_Toc26294"/>
      <w:bookmarkStart w:id="1026" w:name="_Toc18187"/>
      <w:bookmarkStart w:id="1027" w:name="_Toc8543_WPSOffice_Level2"/>
      <w:bookmarkStart w:id="1028" w:name="_Toc23287"/>
      <w:bookmarkStart w:id="1029" w:name="_Toc55"/>
      <w:bookmarkStart w:id="1030" w:name="_Toc19797"/>
      <w:bookmarkStart w:id="1031" w:name="_Toc29831"/>
      <w:bookmarkStart w:id="1032" w:name="_Toc26876"/>
      <w:bookmarkStart w:id="1033" w:name="_Toc30848"/>
      <w:bookmarkStart w:id="1034" w:name="_Toc28262"/>
      <w:bookmarkStart w:id="1035" w:name="_Toc27540"/>
      <w:bookmarkStart w:id="1036" w:name="_Toc3558"/>
      <w:bookmarkStart w:id="1037" w:name="_Toc6097"/>
      <w:bookmarkStart w:id="1038" w:name="_Toc22309"/>
      <w:bookmarkStart w:id="1039" w:name="_Toc22796"/>
      <w:bookmarkStart w:id="1040" w:name="_Toc11513"/>
      <w:bookmarkStart w:id="1041" w:name="_Toc2515"/>
      <w:r>
        <w:rPr>
          <w:color w:val="000000"/>
          <w:szCs w:val="21"/>
        </w:rPr>
        <w:t>1）表示很严格，非这样做不可的：</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14:paraId="6AFB8E61">
      <w:pPr>
        <w:spacing w:line="400" w:lineRule="exact"/>
        <w:ind w:left="630" w:leftChars="300" w:firstLine="600"/>
        <w:rPr>
          <w:color w:val="000000"/>
          <w:szCs w:val="21"/>
        </w:rPr>
      </w:pPr>
      <w:r>
        <w:rPr>
          <w:color w:val="000000"/>
          <w:szCs w:val="21"/>
        </w:rPr>
        <w:t>正面词采用“必须”，反面词采用“严禁”；</w:t>
      </w:r>
    </w:p>
    <w:p w14:paraId="25D4A990">
      <w:pPr>
        <w:spacing w:line="400" w:lineRule="exact"/>
        <w:ind w:left="630" w:leftChars="300" w:firstLine="210" w:firstLineChars="100"/>
        <w:outlineLvl w:val="1"/>
        <w:rPr>
          <w:color w:val="000000"/>
          <w:szCs w:val="21"/>
        </w:rPr>
      </w:pPr>
      <w:bookmarkStart w:id="1042" w:name="_Toc28942"/>
      <w:bookmarkStart w:id="1043" w:name="_Toc2172"/>
      <w:bookmarkStart w:id="1044" w:name="_Toc32044"/>
      <w:bookmarkStart w:id="1045" w:name="_Toc14614"/>
      <w:bookmarkStart w:id="1046" w:name="_Toc30256"/>
      <w:bookmarkStart w:id="1047" w:name="_Toc18673"/>
      <w:bookmarkStart w:id="1048" w:name="_Toc17232"/>
      <w:bookmarkStart w:id="1049" w:name="_Toc17517_WPSOffice_Level2"/>
      <w:bookmarkStart w:id="1050" w:name="_Toc18951"/>
      <w:bookmarkStart w:id="1051" w:name="_Toc9354"/>
      <w:bookmarkStart w:id="1052" w:name="_Toc7933"/>
      <w:bookmarkStart w:id="1053" w:name="_Toc31676"/>
      <w:bookmarkStart w:id="1054" w:name="_Toc13408"/>
      <w:bookmarkStart w:id="1055" w:name="_Toc4426"/>
      <w:bookmarkStart w:id="1056" w:name="_Toc19657"/>
      <w:bookmarkStart w:id="1057" w:name="_Toc31524"/>
      <w:bookmarkStart w:id="1058" w:name="_Toc12285"/>
      <w:bookmarkStart w:id="1059" w:name="_Toc3868"/>
      <w:r>
        <w:rPr>
          <w:color w:val="000000"/>
          <w:szCs w:val="21"/>
        </w:rPr>
        <w:t>2）表示严格，在正常情况下均应这样做的：</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14:paraId="5C97A482">
      <w:pPr>
        <w:spacing w:line="400" w:lineRule="exact"/>
        <w:ind w:left="630" w:leftChars="300" w:firstLine="600"/>
        <w:rPr>
          <w:color w:val="000000"/>
          <w:szCs w:val="21"/>
        </w:rPr>
      </w:pPr>
      <w:r>
        <w:rPr>
          <w:color w:val="000000"/>
          <w:szCs w:val="21"/>
        </w:rPr>
        <w:t>正面词采用“应”，反面词采用“不应”或“不得”；</w:t>
      </w:r>
    </w:p>
    <w:p w14:paraId="690EF184">
      <w:pPr>
        <w:spacing w:line="400" w:lineRule="exact"/>
        <w:ind w:left="630" w:leftChars="300" w:firstLine="210" w:firstLineChars="100"/>
        <w:outlineLvl w:val="1"/>
        <w:rPr>
          <w:color w:val="000000"/>
          <w:szCs w:val="21"/>
        </w:rPr>
      </w:pPr>
      <w:bookmarkStart w:id="1060" w:name="_Toc32375"/>
      <w:bookmarkStart w:id="1061" w:name="_Toc3308_WPSOffice_Level2"/>
      <w:bookmarkStart w:id="1062" w:name="_Toc30046"/>
      <w:bookmarkStart w:id="1063" w:name="_Toc3945"/>
      <w:bookmarkStart w:id="1064" w:name="_Toc10390"/>
      <w:bookmarkStart w:id="1065" w:name="_Toc13097"/>
      <w:bookmarkStart w:id="1066" w:name="_Toc28788"/>
      <w:bookmarkStart w:id="1067" w:name="_Toc17967"/>
      <w:bookmarkStart w:id="1068" w:name="_Toc27436"/>
      <w:bookmarkStart w:id="1069" w:name="_Toc25643"/>
      <w:bookmarkStart w:id="1070" w:name="_Toc473"/>
      <w:bookmarkStart w:id="1071" w:name="_Toc14009"/>
      <w:bookmarkStart w:id="1072" w:name="_Toc21203"/>
      <w:bookmarkStart w:id="1073" w:name="_Toc32245"/>
      <w:bookmarkStart w:id="1074" w:name="_Toc7298"/>
      <w:bookmarkStart w:id="1075" w:name="_Toc28683"/>
      <w:bookmarkStart w:id="1076" w:name="_Toc7773"/>
      <w:bookmarkStart w:id="1077" w:name="_Toc12953"/>
      <w:r>
        <w:rPr>
          <w:color w:val="000000"/>
          <w:szCs w:val="21"/>
        </w:rPr>
        <w:t>3）表示允许稍有选择，在条件许可时首先应这样做的：</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0BA0CD73">
      <w:pPr>
        <w:spacing w:line="400" w:lineRule="exact"/>
        <w:ind w:left="630" w:leftChars="300" w:firstLine="600"/>
        <w:rPr>
          <w:color w:val="000000"/>
          <w:szCs w:val="21"/>
        </w:rPr>
      </w:pPr>
      <w:r>
        <w:rPr>
          <w:color w:val="000000"/>
          <w:szCs w:val="21"/>
        </w:rPr>
        <w:t>正面词采用“宜”，反面词采用“不宜”；</w:t>
      </w:r>
    </w:p>
    <w:p w14:paraId="42A66C7D">
      <w:pPr>
        <w:spacing w:line="400" w:lineRule="exact"/>
        <w:ind w:left="630" w:leftChars="300" w:firstLine="210" w:firstLineChars="100"/>
        <w:outlineLvl w:val="1"/>
        <w:rPr>
          <w:color w:val="000000"/>
          <w:szCs w:val="21"/>
        </w:rPr>
      </w:pPr>
      <w:bookmarkStart w:id="1078" w:name="_Toc24768"/>
      <w:bookmarkStart w:id="1079" w:name="_Toc17957"/>
      <w:bookmarkStart w:id="1080" w:name="_Toc29252"/>
      <w:bookmarkStart w:id="1081" w:name="_Toc25496"/>
      <w:bookmarkStart w:id="1082" w:name="_Toc2578"/>
      <w:bookmarkStart w:id="1083" w:name="_Toc2637"/>
      <w:bookmarkStart w:id="1084" w:name="_Toc19995"/>
      <w:bookmarkStart w:id="1085" w:name="_Toc31059"/>
      <w:bookmarkStart w:id="1086" w:name="_Toc30201"/>
      <w:bookmarkStart w:id="1087" w:name="_Toc32381"/>
      <w:bookmarkStart w:id="1088" w:name="_Toc993"/>
      <w:bookmarkStart w:id="1089" w:name="_Toc21770"/>
      <w:bookmarkStart w:id="1090" w:name="_Toc31869"/>
      <w:bookmarkStart w:id="1091" w:name="_Toc30052_WPSOffice_Level2"/>
      <w:bookmarkStart w:id="1092" w:name="_Toc17423"/>
      <w:bookmarkStart w:id="1093" w:name="_Toc24992"/>
      <w:bookmarkStart w:id="1094" w:name="_Toc27104"/>
      <w:bookmarkStart w:id="1095" w:name="_Toc30671"/>
      <w:r>
        <w:rPr>
          <w:color w:val="000000"/>
          <w:szCs w:val="21"/>
        </w:rPr>
        <w:t>4）表示有选择，在一定条件下可以这样做的：采用“可”。</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2F9369F3">
      <w:pPr>
        <w:spacing w:line="400" w:lineRule="exact"/>
        <w:ind w:firstLine="420" w:firstLineChars="200"/>
        <w:outlineLvl w:val="0"/>
        <w:rPr>
          <w:color w:val="000000"/>
          <w:szCs w:val="21"/>
        </w:rPr>
      </w:pPr>
      <w:bookmarkStart w:id="1096" w:name="_Toc28426"/>
      <w:bookmarkStart w:id="1097" w:name="_Toc25766"/>
      <w:bookmarkStart w:id="1098" w:name="_Toc13957"/>
      <w:bookmarkStart w:id="1099" w:name="_Toc24794"/>
      <w:bookmarkStart w:id="1100" w:name="_Toc21414"/>
      <w:bookmarkStart w:id="1101" w:name="_Toc19600"/>
      <w:bookmarkStart w:id="1102" w:name="_Toc11904"/>
      <w:bookmarkStart w:id="1103" w:name="_Toc2311"/>
      <w:bookmarkStart w:id="1104" w:name="_Toc25886"/>
      <w:bookmarkStart w:id="1105" w:name="_Toc19513"/>
      <w:bookmarkStart w:id="1106" w:name="_Toc1305"/>
      <w:bookmarkStart w:id="1107" w:name="_Toc15813"/>
      <w:bookmarkStart w:id="1108" w:name="_Toc12621_WPSOffice_Level1"/>
      <w:bookmarkStart w:id="1109" w:name="_Toc10201"/>
      <w:bookmarkStart w:id="1110" w:name="_Toc5973"/>
      <w:bookmarkStart w:id="1111" w:name="_Toc19506"/>
      <w:bookmarkStart w:id="1112" w:name="_Toc12561"/>
      <w:bookmarkStart w:id="1113" w:name="_Toc16911"/>
      <w:r>
        <w:rPr>
          <w:color w:val="000000"/>
          <w:szCs w:val="21"/>
        </w:rPr>
        <w:t>2 条文中指明应按其他有关标准执行的，采用“应符合……的规定”或“应按……执行”。</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r>
        <w:rPr>
          <w:color w:val="000000"/>
          <w:szCs w:val="21"/>
        </w:rPr>
        <w:t xml:space="preserve"> </w:t>
      </w:r>
    </w:p>
    <w:p w14:paraId="234A36E5">
      <w:pPr>
        <w:spacing w:line="400" w:lineRule="exact"/>
        <w:ind w:firstLine="280" w:firstLineChars="100"/>
        <w:rPr>
          <w:color w:val="000000"/>
          <w:sz w:val="28"/>
          <w:szCs w:val="28"/>
        </w:rPr>
      </w:pPr>
    </w:p>
    <w:p w14:paraId="4A401AA4">
      <w:pPr>
        <w:spacing w:line="400" w:lineRule="exact"/>
        <w:ind w:firstLine="280" w:firstLineChars="100"/>
        <w:rPr>
          <w:color w:val="000000"/>
          <w:sz w:val="28"/>
          <w:szCs w:val="28"/>
        </w:rPr>
      </w:pPr>
    </w:p>
    <w:p w14:paraId="0349F3FC">
      <w:pPr>
        <w:spacing w:line="400" w:lineRule="exact"/>
        <w:jc w:val="center"/>
        <w:rPr>
          <w:b/>
          <w:color w:val="000000"/>
          <w:sz w:val="28"/>
          <w:szCs w:val="28"/>
        </w:rPr>
      </w:pPr>
    </w:p>
    <w:p w14:paraId="78B693BF">
      <w:pPr>
        <w:spacing w:line="400" w:lineRule="exact"/>
        <w:jc w:val="center"/>
        <w:rPr>
          <w:b/>
          <w:color w:val="000000"/>
          <w:sz w:val="28"/>
          <w:szCs w:val="28"/>
        </w:rPr>
      </w:pPr>
    </w:p>
    <w:p w14:paraId="4313BFBB">
      <w:pPr>
        <w:spacing w:line="400" w:lineRule="exact"/>
        <w:jc w:val="center"/>
        <w:rPr>
          <w:b/>
          <w:color w:val="000000"/>
          <w:sz w:val="28"/>
          <w:szCs w:val="28"/>
        </w:rPr>
      </w:pPr>
    </w:p>
    <w:p w14:paraId="3A60B2F7">
      <w:pPr>
        <w:spacing w:line="400" w:lineRule="exact"/>
        <w:jc w:val="center"/>
        <w:rPr>
          <w:b/>
          <w:color w:val="000000"/>
          <w:sz w:val="28"/>
          <w:szCs w:val="28"/>
        </w:rPr>
      </w:pPr>
    </w:p>
    <w:p w14:paraId="6AC46657">
      <w:pPr>
        <w:spacing w:line="400" w:lineRule="exact"/>
        <w:jc w:val="center"/>
        <w:rPr>
          <w:b/>
          <w:color w:val="000000"/>
          <w:sz w:val="28"/>
          <w:szCs w:val="28"/>
        </w:rPr>
      </w:pPr>
    </w:p>
    <w:p w14:paraId="0C5B37D9">
      <w:pPr>
        <w:spacing w:line="400" w:lineRule="exact"/>
        <w:jc w:val="center"/>
        <w:rPr>
          <w:b/>
          <w:color w:val="000000"/>
          <w:sz w:val="30"/>
          <w:szCs w:val="30"/>
        </w:rPr>
      </w:pPr>
    </w:p>
    <w:p w14:paraId="72662A01">
      <w:pPr>
        <w:spacing w:line="400" w:lineRule="exact"/>
        <w:jc w:val="center"/>
        <w:rPr>
          <w:b/>
          <w:color w:val="000000"/>
          <w:sz w:val="30"/>
          <w:szCs w:val="30"/>
        </w:rPr>
      </w:pPr>
    </w:p>
    <w:p w14:paraId="5DE5B5BF">
      <w:pPr>
        <w:spacing w:line="400" w:lineRule="exact"/>
        <w:jc w:val="center"/>
        <w:rPr>
          <w:b/>
          <w:color w:val="000000"/>
          <w:sz w:val="30"/>
          <w:szCs w:val="30"/>
        </w:rPr>
      </w:pPr>
    </w:p>
    <w:p w14:paraId="1A11ACB8">
      <w:pPr>
        <w:spacing w:line="400" w:lineRule="exact"/>
        <w:jc w:val="center"/>
        <w:outlineLvl w:val="2"/>
        <w:rPr>
          <w:rStyle w:val="32"/>
          <w:rFonts w:ascii="Times New Roman" w:hAnsi="Times New Roman" w:eastAsia="黑体"/>
          <w:sz w:val="28"/>
          <w:szCs w:val="28"/>
        </w:rPr>
      </w:pPr>
      <w:r>
        <w:rPr>
          <w:b/>
          <w:color w:val="000000"/>
          <w:sz w:val="30"/>
          <w:szCs w:val="30"/>
        </w:rPr>
        <w:br w:type="page"/>
      </w:r>
      <w:r>
        <w:rPr>
          <w:rStyle w:val="32"/>
          <w:rFonts w:ascii="Times New Roman" w:hAnsi="Times New Roman" w:eastAsia="黑体"/>
          <w:sz w:val="28"/>
          <w:szCs w:val="28"/>
        </w:rPr>
        <w:t>引用标准名录</w:t>
      </w:r>
      <w:bookmarkEnd w:id="982"/>
      <w:bookmarkEnd w:id="983"/>
      <w:bookmarkEnd w:id="984"/>
      <w:bookmarkEnd w:id="985"/>
      <w:bookmarkEnd w:id="986"/>
      <w:bookmarkEnd w:id="987"/>
      <w:bookmarkEnd w:id="1002"/>
      <w:bookmarkEnd w:id="1003"/>
      <w:bookmarkEnd w:id="1004"/>
      <w:bookmarkEnd w:id="1005"/>
    </w:p>
    <w:p w14:paraId="0F9B42AF">
      <w:pPr>
        <w:spacing w:line="400" w:lineRule="exact"/>
        <w:jc w:val="center"/>
        <w:rPr>
          <w:b/>
          <w:color w:val="000000"/>
          <w:sz w:val="36"/>
          <w:szCs w:val="36"/>
        </w:rPr>
      </w:pPr>
    </w:p>
    <w:p w14:paraId="1E92D51A">
      <w:pPr>
        <w:spacing w:line="400" w:lineRule="exact"/>
        <w:ind w:left="426" w:leftChars="203" w:firstLine="25" w:firstLineChars="12"/>
        <w:outlineLvl w:val="0"/>
        <w:rPr>
          <w:color w:val="000000"/>
          <w:szCs w:val="21"/>
        </w:rPr>
      </w:pPr>
      <w:r>
        <w:rPr>
          <w:rFonts w:hint="eastAsia"/>
          <w:b/>
          <w:bCs/>
          <w:color w:val="000000"/>
          <w:szCs w:val="21"/>
        </w:rPr>
        <w:t>1</w:t>
      </w:r>
      <w:r>
        <w:rPr>
          <w:rFonts w:hint="eastAsia"/>
          <w:color w:val="000000"/>
          <w:szCs w:val="21"/>
        </w:rPr>
        <w:t xml:space="preserve"> 《建筑结构荷载规范》</w:t>
      </w:r>
      <w:r>
        <w:rPr>
          <w:color w:val="000000"/>
          <w:szCs w:val="21"/>
        </w:rPr>
        <w:t>GB 50009</w:t>
      </w:r>
    </w:p>
    <w:p w14:paraId="276E8785">
      <w:pPr>
        <w:spacing w:line="400" w:lineRule="exact"/>
        <w:ind w:left="426" w:leftChars="203" w:firstLine="25" w:firstLineChars="12"/>
        <w:outlineLvl w:val="0"/>
        <w:rPr>
          <w:color w:val="000000"/>
          <w:szCs w:val="21"/>
        </w:rPr>
      </w:pPr>
      <w:r>
        <w:rPr>
          <w:b/>
          <w:bCs/>
          <w:color w:val="000000"/>
          <w:szCs w:val="21"/>
        </w:rPr>
        <w:t>2</w:t>
      </w:r>
      <w:r>
        <w:rPr>
          <w:rFonts w:hint="eastAsia"/>
          <w:color w:val="000000"/>
          <w:szCs w:val="21"/>
        </w:rPr>
        <w:t xml:space="preserve"> 《火灾自动报警系统施工及验收标准》</w:t>
      </w:r>
      <w:r>
        <w:rPr>
          <w:color w:val="000000"/>
          <w:szCs w:val="21"/>
        </w:rPr>
        <w:t>GB 50166</w:t>
      </w:r>
    </w:p>
    <w:p w14:paraId="755DDF43">
      <w:pPr>
        <w:spacing w:line="400" w:lineRule="exact"/>
        <w:ind w:left="426" w:leftChars="203" w:firstLine="25" w:firstLineChars="12"/>
        <w:outlineLvl w:val="0"/>
        <w:rPr>
          <w:color w:val="000000"/>
          <w:szCs w:val="21"/>
        </w:rPr>
      </w:pPr>
      <w:r>
        <w:rPr>
          <w:b/>
          <w:bCs/>
          <w:color w:val="000000"/>
          <w:szCs w:val="21"/>
        </w:rPr>
        <w:t>3</w:t>
      </w:r>
      <w:r>
        <w:rPr>
          <w:rFonts w:hint="eastAsia"/>
          <w:color w:val="000000"/>
          <w:szCs w:val="21"/>
        </w:rPr>
        <w:t xml:space="preserve"> 《建筑地基基础工程施工质量验收标准》</w:t>
      </w:r>
      <w:r>
        <w:rPr>
          <w:color w:val="000000"/>
          <w:szCs w:val="21"/>
        </w:rPr>
        <w:t>GB 50202</w:t>
      </w:r>
    </w:p>
    <w:p w14:paraId="706F4B01">
      <w:pPr>
        <w:spacing w:line="400" w:lineRule="exact"/>
        <w:ind w:left="426" w:leftChars="203" w:firstLine="25" w:firstLineChars="12"/>
        <w:outlineLvl w:val="0"/>
        <w:rPr>
          <w:color w:val="000000"/>
          <w:szCs w:val="21"/>
        </w:rPr>
      </w:pPr>
      <w:r>
        <w:rPr>
          <w:b/>
          <w:bCs/>
          <w:color w:val="000000"/>
          <w:szCs w:val="21"/>
        </w:rPr>
        <w:t>4</w:t>
      </w:r>
      <w:r>
        <w:rPr>
          <w:rFonts w:hint="eastAsia"/>
          <w:color w:val="000000"/>
          <w:szCs w:val="21"/>
        </w:rPr>
        <w:t xml:space="preserve"> 《屋面工程质量验收规范》</w:t>
      </w:r>
      <w:r>
        <w:rPr>
          <w:color w:val="000000"/>
          <w:szCs w:val="21"/>
        </w:rPr>
        <w:t>GB 50207</w:t>
      </w:r>
    </w:p>
    <w:p w14:paraId="638DE2DB">
      <w:pPr>
        <w:spacing w:line="400" w:lineRule="exact"/>
        <w:ind w:left="426" w:leftChars="203" w:firstLine="25" w:firstLineChars="12"/>
        <w:outlineLvl w:val="0"/>
        <w:rPr>
          <w:color w:val="000000"/>
          <w:szCs w:val="21"/>
        </w:rPr>
      </w:pPr>
      <w:r>
        <w:rPr>
          <w:b/>
          <w:bCs/>
          <w:color w:val="000000"/>
          <w:szCs w:val="21"/>
        </w:rPr>
        <w:t>5</w:t>
      </w:r>
      <w:r>
        <w:rPr>
          <w:rFonts w:hint="eastAsia"/>
          <w:color w:val="000000"/>
          <w:szCs w:val="21"/>
        </w:rPr>
        <w:t xml:space="preserve"> 《建筑地面工程施工质量验收规范》</w:t>
      </w:r>
      <w:r>
        <w:rPr>
          <w:color w:val="000000"/>
          <w:szCs w:val="21"/>
        </w:rPr>
        <w:t>GB 50209</w:t>
      </w:r>
    </w:p>
    <w:p w14:paraId="090535F8">
      <w:pPr>
        <w:spacing w:line="400" w:lineRule="exact"/>
        <w:ind w:left="426" w:leftChars="203" w:firstLine="25" w:firstLineChars="12"/>
        <w:outlineLvl w:val="0"/>
        <w:rPr>
          <w:color w:val="000000"/>
          <w:szCs w:val="21"/>
        </w:rPr>
      </w:pPr>
      <w:r>
        <w:rPr>
          <w:b/>
          <w:bCs/>
          <w:color w:val="000000"/>
          <w:szCs w:val="21"/>
        </w:rPr>
        <w:t>6</w:t>
      </w:r>
      <w:r>
        <w:rPr>
          <w:rFonts w:hint="eastAsia"/>
          <w:color w:val="000000"/>
          <w:szCs w:val="21"/>
        </w:rPr>
        <w:t xml:space="preserve"> 《建筑装饰装修工程质量验收标准》</w:t>
      </w:r>
      <w:r>
        <w:rPr>
          <w:color w:val="000000"/>
          <w:szCs w:val="21"/>
        </w:rPr>
        <w:t>GB 50210</w:t>
      </w:r>
    </w:p>
    <w:p w14:paraId="548568B3">
      <w:pPr>
        <w:spacing w:line="400" w:lineRule="exact"/>
        <w:ind w:left="426" w:leftChars="203" w:firstLine="25" w:firstLineChars="12"/>
        <w:outlineLvl w:val="0"/>
        <w:rPr>
          <w:color w:val="000000"/>
          <w:szCs w:val="21"/>
        </w:rPr>
      </w:pPr>
      <w:r>
        <w:rPr>
          <w:b/>
          <w:bCs/>
          <w:color w:val="000000"/>
          <w:szCs w:val="21"/>
        </w:rPr>
        <w:t>7</w:t>
      </w:r>
      <w:r>
        <w:rPr>
          <w:rFonts w:hint="eastAsia"/>
          <w:color w:val="000000"/>
          <w:szCs w:val="21"/>
        </w:rPr>
        <w:t xml:space="preserve"> 《建筑给排水及采暖工程施工质量验收规范》</w:t>
      </w:r>
      <w:r>
        <w:rPr>
          <w:color w:val="000000"/>
          <w:szCs w:val="21"/>
        </w:rPr>
        <w:t>GB 50242</w:t>
      </w:r>
    </w:p>
    <w:p w14:paraId="44F81FAD">
      <w:pPr>
        <w:spacing w:line="400" w:lineRule="exact"/>
        <w:ind w:left="426" w:leftChars="203" w:firstLine="25" w:firstLineChars="12"/>
        <w:outlineLvl w:val="0"/>
        <w:rPr>
          <w:color w:val="000000"/>
          <w:szCs w:val="21"/>
        </w:rPr>
      </w:pPr>
      <w:r>
        <w:rPr>
          <w:b/>
          <w:bCs/>
          <w:color w:val="000000"/>
          <w:szCs w:val="21"/>
        </w:rPr>
        <w:t>8</w:t>
      </w:r>
      <w:r>
        <w:rPr>
          <w:rFonts w:hint="eastAsia"/>
          <w:color w:val="000000"/>
          <w:szCs w:val="21"/>
        </w:rPr>
        <w:t xml:space="preserve"> 《通风与空调工程施工质量验收规范》</w:t>
      </w:r>
      <w:r>
        <w:rPr>
          <w:color w:val="000000"/>
          <w:szCs w:val="21"/>
        </w:rPr>
        <w:t>GB 50243</w:t>
      </w:r>
    </w:p>
    <w:p w14:paraId="246EC238">
      <w:pPr>
        <w:spacing w:line="400" w:lineRule="exact"/>
        <w:ind w:left="426" w:leftChars="203" w:firstLine="25" w:firstLineChars="12"/>
        <w:outlineLvl w:val="0"/>
        <w:rPr>
          <w:color w:val="000000"/>
          <w:szCs w:val="21"/>
        </w:rPr>
      </w:pPr>
      <w:r>
        <w:rPr>
          <w:b/>
          <w:bCs/>
          <w:color w:val="000000"/>
          <w:szCs w:val="21"/>
        </w:rPr>
        <w:t>9</w:t>
      </w:r>
      <w:r>
        <w:rPr>
          <w:rFonts w:hint="eastAsia"/>
          <w:color w:val="000000"/>
          <w:szCs w:val="21"/>
        </w:rPr>
        <w:t xml:space="preserve"> 《自动喷水灭火系统施工及验收规范》</w:t>
      </w:r>
      <w:r>
        <w:rPr>
          <w:color w:val="000000"/>
          <w:szCs w:val="21"/>
        </w:rPr>
        <w:t>GB 50261</w:t>
      </w:r>
    </w:p>
    <w:p w14:paraId="3CA29669">
      <w:pPr>
        <w:spacing w:line="400" w:lineRule="exact"/>
        <w:ind w:left="426" w:leftChars="203" w:firstLine="25" w:firstLineChars="12"/>
        <w:outlineLvl w:val="0"/>
        <w:rPr>
          <w:color w:val="000000"/>
          <w:szCs w:val="21"/>
        </w:rPr>
      </w:pPr>
      <w:r>
        <w:rPr>
          <w:b/>
          <w:bCs/>
          <w:color w:val="000000"/>
          <w:szCs w:val="21"/>
        </w:rPr>
        <w:t>10</w:t>
      </w:r>
      <w:r>
        <w:rPr>
          <w:rFonts w:hint="eastAsia"/>
          <w:color w:val="000000"/>
          <w:szCs w:val="21"/>
        </w:rPr>
        <w:t xml:space="preserve"> 《建筑电气工程施工质量验收规范》</w:t>
      </w:r>
      <w:r>
        <w:rPr>
          <w:color w:val="000000"/>
          <w:szCs w:val="21"/>
        </w:rPr>
        <w:t>GB 50303</w:t>
      </w:r>
    </w:p>
    <w:p w14:paraId="0787CD1E">
      <w:pPr>
        <w:spacing w:line="400" w:lineRule="exact"/>
        <w:ind w:left="426" w:leftChars="203" w:firstLine="25" w:firstLineChars="12"/>
        <w:outlineLvl w:val="0"/>
        <w:rPr>
          <w:color w:val="000000"/>
          <w:szCs w:val="21"/>
        </w:rPr>
      </w:pPr>
      <w:r>
        <w:rPr>
          <w:b/>
          <w:bCs/>
          <w:color w:val="000000"/>
          <w:szCs w:val="21"/>
        </w:rPr>
        <w:t>11</w:t>
      </w:r>
      <w:r>
        <w:rPr>
          <w:rFonts w:hint="eastAsia"/>
          <w:color w:val="000000"/>
          <w:szCs w:val="21"/>
        </w:rPr>
        <w:t xml:space="preserve"> 《综合布线系统工程验收规范》</w:t>
      </w:r>
      <w:r>
        <w:rPr>
          <w:color w:val="000000"/>
          <w:szCs w:val="21"/>
        </w:rPr>
        <w:t>GB 50312</w:t>
      </w:r>
    </w:p>
    <w:p w14:paraId="16C73701">
      <w:pPr>
        <w:spacing w:line="400" w:lineRule="exact"/>
        <w:ind w:left="426" w:leftChars="203" w:firstLine="25" w:firstLineChars="12"/>
        <w:outlineLvl w:val="0"/>
        <w:rPr>
          <w:color w:val="000000"/>
          <w:szCs w:val="21"/>
        </w:rPr>
      </w:pPr>
      <w:r>
        <w:rPr>
          <w:b/>
          <w:bCs/>
          <w:color w:val="000000"/>
          <w:szCs w:val="21"/>
        </w:rPr>
        <w:t>12</w:t>
      </w:r>
      <w:r>
        <w:rPr>
          <w:rFonts w:hint="eastAsia"/>
          <w:color w:val="000000"/>
          <w:szCs w:val="21"/>
        </w:rPr>
        <w:t xml:space="preserve"> 《电梯工程施工质量验收规范》</w:t>
      </w:r>
      <w:r>
        <w:rPr>
          <w:color w:val="000000"/>
          <w:szCs w:val="21"/>
        </w:rPr>
        <w:t>GB 50310</w:t>
      </w:r>
    </w:p>
    <w:p w14:paraId="73C51B82">
      <w:pPr>
        <w:spacing w:line="400" w:lineRule="exact"/>
        <w:ind w:left="426" w:leftChars="203" w:firstLine="25" w:firstLineChars="12"/>
        <w:outlineLvl w:val="0"/>
        <w:rPr>
          <w:color w:val="000000"/>
          <w:szCs w:val="21"/>
        </w:rPr>
      </w:pPr>
      <w:r>
        <w:rPr>
          <w:b/>
          <w:bCs/>
          <w:color w:val="000000"/>
          <w:szCs w:val="21"/>
        </w:rPr>
        <w:t>13</w:t>
      </w:r>
      <w:r>
        <w:rPr>
          <w:rFonts w:hint="eastAsia"/>
          <w:color w:val="000000"/>
          <w:szCs w:val="21"/>
        </w:rPr>
        <w:t xml:space="preserve"> 《民用建筑工程室内环境污染控制标准》</w:t>
      </w:r>
      <w:r>
        <w:rPr>
          <w:color w:val="000000"/>
          <w:szCs w:val="21"/>
        </w:rPr>
        <w:t>GB 50325</w:t>
      </w:r>
    </w:p>
    <w:p w14:paraId="753ADDB9">
      <w:pPr>
        <w:spacing w:line="400" w:lineRule="exact"/>
        <w:ind w:left="426" w:leftChars="203" w:firstLine="25" w:firstLineChars="12"/>
        <w:outlineLvl w:val="0"/>
        <w:rPr>
          <w:color w:val="000000"/>
          <w:szCs w:val="21"/>
        </w:rPr>
      </w:pPr>
      <w:r>
        <w:rPr>
          <w:b/>
          <w:bCs/>
          <w:color w:val="000000"/>
          <w:szCs w:val="21"/>
        </w:rPr>
        <w:t xml:space="preserve">14 </w:t>
      </w:r>
      <w:r>
        <w:rPr>
          <w:rFonts w:hint="eastAsia"/>
          <w:color w:val="000000"/>
          <w:szCs w:val="21"/>
        </w:rPr>
        <w:t>《建筑物电子信息系统防雷技术规范》</w:t>
      </w:r>
      <w:r>
        <w:rPr>
          <w:color w:val="000000"/>
          <w:szCs w:val="21"/>
        </w:rPr>
        <w:t>GB 50343</w:t>
      </w:r>
    </w:p>
    <w:p w14:paraId="5B50E98F">
      <w:pPr>
        <w:spacing w:line="400" w:lineRule="exact"/>
        <w:ind w:left="426" w:leftChars="203" w:firstLine="25" w:firstLineChars="12"/>
        <w:outlineLvl w:val="0"/>
        <w:rPr>
          <w:color w:val="000000"/>
          <w:szCs w:val="21"/>
        </w:rPr>
      </w:pPr>
      <w:r>
        <w:rPr>
          <w:b/>
          <w:bCs/>
          <w:color w:val="000000"/>
          <w:szCs w:val="21"/>
        </w:rPr>
        <w:t>15</w:t>
      </w:r>
      <w:r>
        <w:rPr>
          <w:rFonts w:hint="eastAsia"/>
          <w:color w:val="000000"/>
          <w:szCs w:val="21"/>
        </w:rPr>
        <w:t xml:space="preserve"> 《屋面工程技术规范》</w:t>
      </w:r>
      <w:r>
        <w:rPr>
          <w:color w:val="000000"/>
          <w:szCs w:val="21"/>
        </w:rPr>
        <w:t>GB 50345</w:t>
      </w:r>
    </w:p>
    <w:p w14:paraId="4F01FAB2">
      <w:pPr>
        <w:spacing w:line="400" w:lineRule="exact"/>
        <w:ind w:left="426" w:leftChars="203" w:firstLine="25" w:firstLineChars="12"/>
        <w:outlineLvl w:val="0"/>
        <w:rPr>
          <w:color w:val="000000"/>
          <w:szCs w:val="21"/>
        </w:rPr>
      </w:pPr>
      <w:r>
        <w:rPr>
          <w:b/>
          <w:bCs/>
          <w:color w:val="000000"/>
          <w:szCs w:val="21"/>
        </w:rPr>
        <w:t>16</w:t>
      </w:r>
      <w:r>
        <w:rPr>
          <w:rFonts w:hint="eastAsia"/>
          <w:color w:val="000000"/>
          <w:szCs w:val="21"/>
        </w:rPr>
        <w:t xml:space="preserve"> 《民用建筑设计统一标准》</w:t>
      </w:r>
      <w:r>
        <w:rPr>
          <w:color w:val="000000"/>
          <w:szCs w:val="21"/>
        </w:rPr>
        <w:t>GB 50352</w:t>
      </w:r>
    </w:p>
    <w:p w14:paraId="10342D17">
      <w:pPr>
        <w:spacing w:line="400" w:lineRule="exact"/>
        <w:ind w:left="426" w:leftChars="203" w:firstLine="25" w:firstLineChars="12"/>
        <w:outlineLvl w:val="0"/>
        <w:rPr>
          <w:color w:val="000000"/>
          <w:szCs w:val="21"/>
        </w:rPr>
      </w:pPr>
      <w:r>
        <w:rPr>
          <w:rFonts w:hint="eastAsia"/>
          <w:b/>
          <w:bCs/>
          <w:color w:val="000000"/>
          <w:szCs w:val="21"/>
        </w:rPr>
        <w:t>1</w:t>
      </w:r>
      <w:r>
        <w:rPr>
          <w:b/>
          <w:bCs/>
          <w:color w:val="000000"/>
          <w:szCs w:val="21"/>
        </w:rPr>
        <w:t>7</w:t>
      </w:r>
      <w:r>
        <w:rPr>
          <w:rFonts w:hint="eastAsia"/>
          <w:color w:val="000000"/>
          <w:szCs w:val="21"/>
        </w:rPr>
        <w:t xml:space="preserve"> 《建筑节能工程施工质量验收标准》</w:t>
      </w:r>
      <w:r>
        <w:rPr>
          <w:color w:val="000000"/>
          <w:szCs w:val="21"/>
        </w:rPr>
        <w:t>GB 50411</w:t>
      </w:r>
    </w:p>
    <w:p w14:paraId="1FA33025">
      <w:pPr>
        <w:spacing w:line="400" w:lineRule="exact"/>
        <w:ind w:left="426" w:leftChars="203" w:firstLine="25" w:firstLineChars="12"/>
        <w:outlineLvl w:val="0"/>
        <w:rPr>
          <w:color w:val="000000"/>
          <w:szCs w:val="21"/>
        </w:rPr>
      </w:pPr>
      <w:r>
        <w:rPr>
          <w:b/>
          <w:bCs/>
          <w:color w:val="000000"/>
          <w:szCs w:val="21"/>
        </w:rPr>
        <w:t>18</w:t>
      </w:r>
      <w:r>
        <w:rPr>
          <w:rFonts w:hint="eastAsia"/>
          <w:color w:val="000000"/>
          <w:szCs w:val="21"/>
        </w:rPr>
        <w:t xml:space="preserve"> 《建筑结构加固工程施工质量验收规范》</w:t>
      </w:r>
      <w:r>
        <w:rPr>
          <w:color w:val="000000"/>
          <w:szCs w:val="21"/>
        </w:rPr>
        <w:t>GB 50550</w:t>
      </w:r>
    </w:p>
    <w:p w14:paraId="0ABA008A">
      <w:pPr>
        <w:spacing w:line="400" w:lineRule="exact"/>
        <w:ind w:left="426" w:leftChars="203" w:firstLine="25" w:firstLineChars="12"/>
        <w:outlineLvl w:val="0"/>
        <w:rPr>
          <w:color w:val="000000"/>
          <w:szCs w:val="21"/>
        </w:rPr>
      </w:pPr>
      <w:r>
        <w:rPr>
          <w:b/>
          <w:bCs/>
          <w:color w:val="000000"/>
          <w:szCs w:val="21"/>
        </w:rPr>
        <w:t>19</w:t>
      </w:r>
      <w:r>
        <w:rPr>
          <w:rFonts w:hint="eastAsia"/>
          <w:color w:val="000000"/>
          <w:szCs w:val="21"/>
        </w:rPr>
        <w:t xml:space="preserve"> 《建筑地基基础工程施工规范》</w:t>
      </w:r>
      <w:r>
        <w:rPr>
          <w:color w:val="000000"/>
          <w:szCs w:val="21"/>
        </w:rPr>
        <w:t>GB 51004</w:t>
      </w:r>
    </w:p>
    <w:p w14:paraId="33ADF9B4">
      <w:pPr>
        <w:spacing w:line="400" w:lineRule="exact"/>
        <w:ind w:left="426" w:leftChars="203" w:firstLine="25" w:firstLineChars="12"/>
        <w:outlineLvl w:val="0"/>
        <w:rPr>
          <w:color w:val="000000"/>
          <w:szCs w:val="21"/>
        </w:rPr>
      </w:pPr>
      <w:r>
        <w:rPr>
          <w:b/>
          <w:bCs/>
          <w:color w:val="000000"/>
          <w:szCs w:val="21"/>
        </w:rPr>
        <w:t>20</w:t>
      </w:r>
      <w:r>
        <w:rPr>
          <w:rFonts w:hint="eastAsia"/>
          <w:color w:val="000000"/>
          <w:szCs w:val="21"/>
        </w:rPr>
        <w:t xml:space="preserve"> 《民用建筑通用规范》</w:t>
      </w:r>
      <w:r>
        <w:rPr>
          <w:color w:val="000000"/>
          <w:szCs w:val="21"/>
        </w:rPr>
        <w:t>GB 55031</w:t>
      </w:r>
    </w:p>
    <w:p w14:paraId="6DA8435F">
      <w:pPr>
        <w:pStyle w:val="2"/>
        <w:spacing w:line="400" w:lineRule="exact"/>
        <w:ind w:left="134" w:firstLine="285"/>
        <w:rPr>
          <w:color w:val="000000"/>
          <w:szCs w:val="21"/>
        </w:rPr>
      </w:pPr>
      <w:r>
        <w:rPr>
          <w:b/>
          <w:bCs/>
          <w:color w:val="000000"/>
          <w:szCs w:val="21"/>
        </w:rPr>
        <w:t>21</w:t>
      </w:r>
      <w:r>
        <w:rPr>
          <w:rFonts w:hint="eastAsia"/>
          <w:color w:val="000000"/>
          <w:szCs w:val="21"/>
        </w:rPr>
        <w:t xml:space="preserve"> 《生活饮用水卫生标准》</w:t>
      </w:r>
      <w:r>
        <w:rPr>
          <w:color w:val="000000"/>
          <w:szCs w:val="21"/>
        </w:rPr>
        <w:t>GB 5749</w:t>
      </w:r>
    </w:p>
    <w:p w14:paraId="11D82D01">
      <w:pPr>
        <w:spacing w:line="400" w:lineRule="exact"/>
        <w:ind w:left="426" w:leftChars="203" w:firstLine="25" w:firstLineChars="12"/>
        <w:outlineLvl w:val="0"/>
        <w:rPr>
          <w:color w:val="000000"/>
          <w:szCs w:val="21"/>
        </w:rPr>
      </w:pPr>
      <w:r>
        <w:rPr>
          <w:b/>
          <w:bCs/>
          <w:color w:val="000000"/>
          <w:szCs w:val="21"/>
        </w:rPr>
        <w:t>22</w:t>
      </w:r>
      <w:r>
        <w:rPr>
          <w:rFonts w:hint="eastAsia"/>
          <w:color w:val="000000"/>
          <w:szCs w:val="21"/>
        </w:rPr>
        <w:t xml:space="preserve"> 《建筑材料及制品燃烧性能分级》</w:t>
      </w:r>
      <w:r>
        <w:rPr>
          <w:color w:val="000000"/>
          <w:szCs w:val="21"/>
        </w:rPr>
        <w:t>GB 8624</w:t>
      </w:r>
    </w:p>
    <w:p w14:paraId="064620A5">
      <w:pPr>
        <w:spacing w:line="400" w:lineRule="exact"/>
        <w:ind w:left="426" w:leftChars="203" w:firstLine="25" w:firstLineChars="12"/>
        <w:outlineLvl w:val="0"/>
        <w:rPr>
          <w:color w:val="000000"/>
          <w:szCs w:val="21"/>
        </w:rPr>
      </w:pPr>
      <w:r>
        <w:rPr>
          <w:b/>
          <w:bCs/>
          <w:color w:val="000000"/>
          <w:szCs w:val="21"/>
        </w:rPr>
        <w:t xml:space="preserve">23 </w:t>
      </w:r>
      <w:r>
        <w:rPr>
          <w:rFonts w:hint="eastAsia"/>
          <w:color w:val="000000"/>
          <w:szCs w:val="21"/>
        </w:rPr>
        <w:t>《建筑用硅酮结构密封胶》</w:t>
      </w:r>
      <w:r>
        <w:rPr>
          <w:color w:val="000000"/>
          <w:szCs w:val="21"/>
        </w:rPr>
        <w:t>GB 16776</w:t>
      </w:r>
    </w:p>
    <w:p w14:paraId="5705EACB">
      <w:pPr>
        <w:spacing w:line="400" w:lineRule="exact"/>
        <w:ind w:left="426" w:leftChars="203" w:firstLine="25" w:firstLineChars="12"/>
        <w:outlineLvl w:val="0"/>
        <w:rPr>
          <w:color w:val="000000"/>
          <w:szCs w:val="21"/>
        </w:rPr>
      </w:pPr>
      <w:bookmarkStart w:id="1114" w:name="_Toc30371"/>
      <w:bookmarkStart w:id="1115" w:name="_Toc21472"/>
      <w:bookmarkStart w:id="1116" w:name="_Toc22906"/>
      <w:bookmarkStart w:id="1117" w:name="_Toc5818"/>
      <w:bookmarkStart w:id="1118" w:name="_Toc15782"/>
      <w:bookmarkStart w:id="1119" w:name="_Toc8262"/>
      <w:bookmarkStart w:id="1120" w:name="_Toc3596"/>
      <w:r>
        <w:rPr>
          <w:b/>
          <w:bCs/>
          <w:color w:val="000000"/>
          <w:szCs w:val="21"/>
        </w:rPr>
        <w:t xml:space="preserve">24 </w:t>
      </w:r>
      <w:r>
        <w:rPr>
          <w:rFonts w:hint="eastAsia"/>
          <w:color w:val="000000"/>
          <w:szCs w:val="21"/>
        </w:rPr>
        <w:t>《建设工程文件归档规范》</w:t>
      </w:r>
      <w:r>
        <w:rPr>
          <w:color w:val="000000"/>
          <w:szCs w:val="21"/>
        </w:rPr>
        <w:t>GB/T 50328</w:t>
      </w:r>
      <w:bookmarkEnd w:id="1114"/>
      <w:bookmarkEnd w:id="1115"/>
      <w:bookmarkEnd w:id="1116"/>
      <w:bookmarkEnd w:id="1117"/>
      <w:bookmarkEnd w:id="1118"/>
      <w:bookmarkEnd w:id="1119"/>
      <w:bookmarkEnd w:id="1120"/>
    </w:p>
    <w:p w14:paraId="0EE6BE17">
      <w:pPr>
        <w:spacing w:line="400" w:lineRule="exact"/>
        <w:ind w:left="426" w:leftChars="203" w:firstLine="25" w:firstLineChars="12"/>
        <w:outlineLvl w:val="0"/>
        <w:rPr>
          <w:color w:val="000000"/>
          <w:szCs w:val="21"/>
        </w:rPr>
      </w:pPr>
      <w:r>
        <w:rPr>
          <w:b/>
          <w:bCs/>
          <w:color w:val="000000"/>
          <w:szCs w:val="21"/>
        </w:rPr>
        <w:t>25</w:t>
      </w:r>
      <w:r>
        <w:rPr>
          <w:rFonts w:hint="eastAsia"/>
          <w:color w:val="000000"/>
          <w:szCs w:val="21"/>
        </w:rPr>
        <w:t xml:space="preserve"> 《建筑工程绿色施工规范》</w:t>
      </w:r>
      <w:r>
        <w:rPr>
          <w:color w:val="000000"/>
          <w:szCs w:val="21"/>
        </w:rPr>
        <w:t>GB/T 50905</w:t>
      </w:r>
    </w:p>
    <w:p w14:paraId="01E387CC">
      <w:pPr>
        <w:spacing w:line="400" w:lineRule="exact"/>
        <w:ind w:left="426" w:leftChars="203" w:firstLine="25" w:firstLineChars="12"/>
        <w:outlineLvl w:val="0"/>
      </w:pPr>
      <w:r>
        <w:rPr>
          <w:b/>
          <w:bCs/>
          <w:color w:val="000000"/>
          <w:szCs w:val="21"/>
        </w:rPr>
        <w:t>26</w:t>
      </w:r>
      <w:r>
        <w:rPr>
          <w:rFonts w:hint="eastAsia"/>
          <w:color w:val="000000"/>
          <w:szCs w:val="21"/>
        </w:rPr>
        <w:t xml:space="preserve"> 《既有建筑地基基础加固技术规范》</w:t>
      </w:r>
      <w:r>
        <w:rPr>
          <w:color w:val="000000"/>
          <w:szCs w:val="21"/>
        </w:rPr>
        <w:t>JGJ 123</w:t>
      </w:r>
    </w:p>
    <w:p w14:paraId="32108048">
      <w:pPr>
        <w:spacing w:line="400" w:lineRule="exact"/>
        <w:ind w:left="426" w:leftChars="203" w:firstLine="25" w:firstLineChars="12"/>
        <w:outlineLvl w:val="0"/>
        <w:rPr>
          <w:color w:val="000000"/>
          <w:szCs w:val="21"/>
        </w:rPr>
      </w:pPr>
      <w:r>
        <w:rPr>
          <w:b/>
          <w:bCs/>
          <w:color w:val="000000"/>
          <w:szCs w:val="21"/>
        </w:rPr>
        <w:t>27</w:t>
      </w:r>
      <w:r>
        <w:rPr>
          <w:rFonts w:hint="eastAsia"/>
          <w:color w:val="000000"/>
          <w:szCs w:val="21"/>
        </w:rPr>
        <w:t xml:space="preserve"> 《金属与石材幕墙工程技术规范》</w:t>
      </w:r>
      <w:r>
        <w:rPr>
          <w:color w:val="000000"/>
          <w:szCs w:val="21"/>
        </w:rPr>
        <w:t>JGJ 133</w:t>
      </w:r>
    </w:p>
    <w:p w14:paraId="0E273975">
      <w:pPr>
        <w:spacing w:line="400" w:lineRule="exact"/>
        <w:ind w:left="426" w:leftChars="203" w:firstLine="25" w:firstLineChars="12"/>
        <w:outlineLvl w:val="0"/>
        <w:rPr>
          <w:color w:val="000000"/>
          <w:szCs w:val="21"/>
        </w:rPr>
      </w:pPr>
      <w:r>
        <w:rPr>
          <w:b/>
          <w:bCs/>
          <w:color w:val="000000"/>
          <w:szCs w:val="21"/>
        </w:rPr>
        <w:t>28</w:t>
      </w:r>
      <w:r>
        <w:rPr>
          <w:rFonts w:hint="eastAsia"/>
          <w:color w:val="000000"/>
          <w:szCs w:val="21"/>
        </w:rPr>
        <w:t xml:space="preserve"> 《通风管道技术规程》</w:t>
      </w:r>
      <w:r>
        <w:rPr>
          <w:color w:val="000000"/>
          <w:szCs w:val="21"/>
        </w:rPr>
        <w:t>JGJ 141</w:t>
      </w:r>
    </w:p>
    <w:p w14:paraId="410C951E">
      <w:pPr>
        <w:spacing w:line="400" w:lineRule="exact"/>
        <w:ind w:left="426" w:leftChars="203" w:firstLine="25" w:firstLineChars="12"/>
        <w:outlineLvl w:val="0"/>
        <w:rPr>
          <w:color w:val="000000"/>
          <w:szCs w:val="21"/>
        </w:rPr>
      </w:pPr>
      <w:r>
        <w:rPr>
          <w:b/>
          <w:bCs/>
          <w:color w:val="000000"/>
          <w:szCs w:val="21"/>
        </w:rPr>
        <w:t>29</w:t>
      </w:r>
      <w:r>
        <w:rPr>
          <w:rFonts w:hint="eastAsia"/>
          <w:color w:val="000000"/>
          <w:szCs w:val="21"/>
        </w:rPr>
        <w:t xml:space="preserve"> 《辐射供暖供冷技术规程》</w:t>
      </w:r>
      <w:r>
        <w:rPr>
          <w:color w:val="000000"/>
          <w:szCs w:val="21"/>
        </w:rPr>
        <w:t>JGJ 142</w:t>
      </w:r>
    </w:p>
    <w:p w14:paraId="635E906E">
      <w:pPr>
        <w:spacing w:line="400" w:lineRule="exact"/>
        <w:ind w:left="426" w:leftChars="203" w:firstLine="25" w:firstLineChars="12"/>
        <w:outlineLvl w:val="0"/>
        <w:rPr>
          <w:color w:val="000000"/>
          <w:szCs w:val="21"/>
        </w:rPr>
      </w:pPr>
      <w:r>
        <w:rPr>
          <w:b/>
          <w:bCs/>
          <w:color w:val="000000"/>
          <w:szCs w:val="21"/>
        </w:rPr>
        <w:t>30</w:t>
      </w:r>
      <w:r>
        <w:rPr>
          <w:rFonts w:hint="eastAsia"/>
          <w:color w:val="000000"/>
          <w:szCs w:val="21"/>
        </w:rPr>
        <w:t xml:space="preserve"> 《建筑拆除工程安全技术规程》</w:t>
      </w:r>
      <w:r>
        <w:rPr>
          <w:color w:val="000000"/>
          <w:szCs w:val="21"/>
        </w:rPr>
        <w:t>JGJ 147</w:t>
      </w:r>
    </w:p>
    <w:p w14:paraId="5AACF95F">
      <w:pPr>
        <w:spacing w:line="400" w:lineRule="exact"/>
        <w:ind w:left="426" w:leftChars="203" w:firstLine="25" w:firstLineChars="12"/>
        <w:outlineLvl w:val="0"/>
        <w:rPr>
          <w:color w:val="000000"/>
          <w:szCs w:val="21"/>
        </w:rPr>
      </w:pPr>
      <w:r>
        <w:rPr>
          <w:b/>
          <w:bCs/>
          <w:color w:val="000000"/>
          <w:szCs w:val="21"/>
        </w:rPr>
        <w:t>31</w:t>
      </w:r>
      <w:r>
        <w:rPr>
          <w:rFonts w:hint="eastAsia"/>
          <w:color w:val="000000"/>
          <w:szCs w:val="21"/>
        </w:rPr>
        <w:t xml:space="preserve"> 《矿物绝缘电缆敷设技术规程》</w:t>
      </w:r>
      <w:r>
        <w:rPr>
          <w:color w:val="000000"/>
          <w:szCs w:val="21"/>
        </w:rPr>
        <w:t>JGJ 232</w:t>
      </w:r>
    </w:p>
    <w:p w14:paraId="5806CEDB">
      <w:pPr>
        <w:spacing w:line="400" w:lineRule="exact"/>
        <w:ind w:left="426" w:leftChars="203" w:firstLine="25" w:firstLineChars="12"/>
        <w:outlineLvl w:val="0"/>
        <w:rPr>
          <w:color w:val="000000"/>
          <w:szCs w:val="21"/>
        </w:rPr>
      </w:pPr>
      <w:r>
        <w:rPr>
          <w:b/>
          <w:bCs/>
          <w:color w:val="000000"/>
          <w:szCs w:val="21"/>
        </w:rPr>
        <w:t>32</w:t>
      </w:r>
      <w:r>
        <w:rPr>
          <w:rFonts w:hint="eastAsia"/>
          <w:color w:val="000000"/>
          <w:szCs w:val="21"/>
        </w:rPr>
        <w:t xml:space="preserve"> 《建筑外墙防水工程技术规程》</w:t>
      </w:r>
      <w:r>
        <w:rPr>
          <w:color w:val="000000"/>
          <w:szCs w:val="21"/>
        </w:rPr>
        <w:t>JGJ/T 235</w:t>
      </w:r>
    </w:p>
    <w:p w14:paraId="593EF179">
      <w:pPr>
        <w:spacing w:line="400" w:lineRule="exact"/>
        <w:ind w:left="426" w:leftChars="203" w:firstLine="25" w:firstLineChars="12"/>
        <w:outlineLvl w:val="0"/>
        <w:rPr>
          <w:color w:val="000000"/>
          <w:szCs w:val="21"/>
        </w:rPr>
      </w:pPr>
      <w:r>
        <w:rPr>
          <w:b/>
          <w:bCs/>
          <w:color w:val="000000"/>
          <w:szCs w:val="21"/>
        </w:rPr>
        <w:t>33</w:t>
      </w:r>
      <w:r>
        <w:rPr>
          <w:rFonts w:hint="eastAsia"/>
          <w:color w:val="000000"/>
          <w:szCs w:val="21"/>
        </w:rPr>
        <w:t xml:space="preserve"> 《建筑类涂料与胶粘剂挥发性有机化合物含量限值标准》</w:t>
      </w:r>
      <w:r>
        <w:rPr>
          <w:color w:val="000000"/>
          <w:szCs w:val="21"/>
        </w:rPr>
        <w:t>DB11/ 1983</w:t>
      </w:r>
    </w:p>
    <w:p w14:paraId="1F4E2C65">
      <w:pPr>
        <w:spacing w:line="400" w:lineRule="exact"/>
        <w:ind w:left="426" w:leftChars="203" w:firstLine="25" w:firstLineChars="12"/>
        <w:outlineLvl w:val="0"/>
        <w:rPr>
          <w:color w:val="000000"/>
          <w:szCs w:val="21"/>
        </w:rPr>
      </w:pPr>
      <w:r>
        <w:rPr>
          <w:b/>
          <w:bCs/>
          <w:color w:val="000000"/>
          <w:szCs w:val="21"/>
        </w:rPr>
        <w:t>34</w:t>
      </w:r>
      <w:r>
        <w:rPr>
          <w:rFonts w:hint="eastAsia"/>
          <w:color w:val="000000"/>
          <w:szCs w:val="21"/>
        </w:rPr>
        <w:t xml:space="preserve"> 《建筑工程施工组织设计管理规程》</w:t>
      </w:r>
      <w:r>
        <w:rPr>
          <w:color w:val="000000"/>
          <w:szCs w:val="21"/>
        </w:rPr>
        <w:t>DB11/ T363</w:t>
      </w:r>
    </w:p>
    <w:p w14:paraId="3D56D46D">
      <w:pPr>
        <w:spacing w:line="400" w:lineRule="exact"/>
        <w:ind w:left="426" w:leftChars="203" w:firstLine="25" w:firstLineChars="12"/>
        <w:outlineLvl w:val="0"/>
        <w:rPr>
          <w:color w:val="000000"/>
          <w:szCs w:val="21"/>
        </w:rPr>
      </w:pPr>
      <w:r>
        <w:rPr>
          <w:b/>
          <w:bCs/>
          <w:color w:val="000000"/>
          <w:szCs w:val="21"/>
        </w:rPr>
        <w:t>35</w:t>
      </w:r>
      <w:r>
        <w:rPr>
          <w:rFonts w:hint="eastAsia"/>
          <w:color w:val="000000"/>
          <w:szCs w:val="21"/>
        </w:rPr>
        <w:t xml:space="preserve"> 《建筑工程资料管理规程》</w:t>
      </w:r>
      <w:r>
        <w:rPr>
          <w:color w:val="000000"/>
          <w:szCs w:val="21"/>
        </w:rPr>
        <w:t>DB11/ T 695</w:t>
      </w:r>
    </w:p>
    <w:p w14:paraId="751E4211">
      <w:pPr>
        <w:spacing w:line="400" w:lineRule="exact"/>
        <w:ind w:left="426" w:leftChars="203" w:firstLine="25" w:firstLineChars="12"/>
        <w:outlineLvl w:val="0"/>
        <w:rPr>
          <w:color w:val="000000"/>
          <w:szCs w:val="21"/>
        </w:rPr>
      </w:pPr>
      <w:r>
        <w:rPr>
          <w:b/>
          <w:bCs/>
          <w:color w:val="000000"/>
          <w:szCs w:val="21"/>
        </w:rPr>
        <w:t>36</w:t>
      </w:r>
      <w:r>
        <w:rPr>
          <w:rFonts w:hint="eastAsia"/>
          <w:color w:val="000000"/>
          <w:szCs w:val="21"/>
        </w:rPr>
        <w:t xml:space="preserve"> 《建筑结构长城杯工程质量评审标准》</w:t>
      </w:r>
      <w:r>
        <w:rPr>
          <w:color w:val="000000"/>
          <w:szCs w:val="21"/>
        </w:rPr>
        <w:t>DB11/ T</w:t>
      </w:r>
      <w:r>
        <w:rPr>
          <w:rFonts w:hint="eastAsia"/>
          <w:color w:val="000000"/>
          <w:szCs w:val="21"/>
          <w:lang w:val="en-US" w:eastAsia="zh-CN"/>
        </w:rPr>
        <w:t xml:space="preserve"> </w:t>
      </w:r>
      <w:r>
        <w:rPr>
          <w:color w:val="000000"/>
          <w:szCs w:val="21"/>
        </w:rPr>
        <w:t>1074</w:t>
      </w:r>
    </w:p>
    <w:p w14:paraId="518BDF55">
      <w:pPr>
        <w:spacing w:line="400" w:lineRule="exact"/>
        <w:ind w:left="426" w:leftChars="203" w:firstLine="25" w:firstLineChars="12"/>
        <w:outlineLvl w:val="0"/>
        <w:rPr>
          <w:color w:val="000000"/>
          <w:szCs w:val="21"/>
        </w:rPr>
      </w:pPr>
      <w:r>
        <w:rPr>
          <w:b/>
          <w:bCs/>
          <w:color w:val="000000"/>
          <w:szCs w:val="21"/>
        </w:rPr>
        <w:t>37</w:t>
      </w:r>
      <w:r>
        <w:rPr>
          <w:rFonts w:hint="eastAsia"/>
          <w:color w:val="000000"/>
          <w:szCs w:val="21"/>
        </w:rPr>
        <w:t xml:space="preserve"> 《建筑工程施工技术管理规程》</w:t>
      </w:r>
      <w:r>
        <w:rPr>
          <w:color w:val="000000"/>
          <w:szCs w:val="21"/>
        </w:rPr>
        <w:t>DB11/ T</w:t>
      </w:r>
      <w:r>
        <w:rPr>
          <w:rFonts w:hint="eastAsia"/>
          <w:color w:val="000000"/>
          <w:szCs w:val="21"/>
          <w:lang w:val="en-US" w:eastAsia="zh-CN"/>
        </w:rPr>
        <w:t xml:space="preserve"> </w:t>
      </w:r>
      <w:r>
        <w:rPr>
          <w:color w:val="000000"/>
          <w:szCs w:val="21"/>
        </w:rPr>
        <w:t>1745</w:t>
      </w:r>
    </w:p>
    <w:p w14:paraId="6D1DEC6C">
      <w:pPr>
        <w:spacing w:line="400" w:lineRule="exact"/>
        <w:ind w:left="426" w:leftChars="203" w:firstLine="25" w:firstLineChars="12"/>
        <w:outlineLvl w:val="0"/>
        <w:rPr>
          <w:color w:val="000000"/>
          <w:szCs w:val="21"/>
        </w:rPr>
      </w:pPr>
      <w:r>
        <w:rPr>
          <w:b/>
          <w:bCs/>
          <w:color w:val="000000"/>
          <w:szCs w:val="21"/>
        </w:rPr>
        <w:t>38</w:t>
      </w:r>
      <w:r>
        <w:rPr>
          <w:rFonts w:hint="eastAsia"/>
          <w:color w:val="000000"/>
          <w:szCs w:val="21"/>
        </w:rPr>
        <w:t xml:space="preserve"> 《建筑工程施工工艺规程</w:t>
      </w:r>
      <w:r>
        <w:rPr>
          <w:color w:val="000000"/>
          <w:szCs w:val="21"/>
        </w:rPr>
        <w:t xml:space="preserve"> </w:t>
      </w:r>
      <w:r>
        <w:rPr>
          <w:rFonts w:hint="eastAsia"/>
          <w:color w:val="000000"/>
          <w:szCs w:val="21"/>
        </w:rPr>
        <w:t>第</w:t>
      </w:r>
      <w:r>
        <w:rPr>
          <w:color w:val="000000"/>
          <w:szCs w:val="21"/>
        </w:rPr>
        <w:t>17</w:t>
      </w:r>
      <w:r>
        <w:rPr>
          <w:rFonts w:hint="eastAsia"/>
          <w:color w:val="000000"/>
          <w:szCs w:val="21"/>
        </w:rPr>
        <w:t>部分：电气动力安装工程》</w:t>
      </w:r>
      <w:r>
        <w:rPr>
          <w:color w:val="000000"/>
          <w:szCs w:val="21"/>
        </w:rPr>
        <w:t>DB11/ T</w:t>
      </w:r>
      <w:r>
        <w:rPr>
          <w:rFonts w:hint="eastAsia"/>
          <w:color w:val="000000"/>
          <w:szCs w:val="21"/>
          <w:lang w:val="en-US" w:eastAsia="zh-CN"/>
        </w:rPr>
        <w:t xml:space="preserve"> </w:t>
      </w:r>
      <w:r>
        <w:rPr>
          <w:color w:val="000000"/>
          <w:szCs w:val="21"/>
        </w:rPr>
        <w:t>1832.17</w:t>
      </w:r>
    </w:p>
    <w:p w14:paraId="753F815C">
      <w:pPr>
        <w:spacing w:line="400" w:lineRule="exact"/>
        <w:jc w:val="center"/>
        <w:rPr>
          <w:b/>
          <w:color w:val="000000"/>
          <w:sz w:val="28"/>
          <w:szCs w:val="28"/>
        </w:rPr>
      </w:pPr>
    </w:p>
    <w:p w14:paraId="3C1C764A">
      <w:pPr>
        <w:spacing w:line="400" w:lineRule="exact"/>
        <w:jc w:val="center"/>
        <w:rPr>
          <w:b/>
          <w:color w:val="000000"/>
          <w:sz w:val="28"/>
          <w:szCs w:val="28"/>
        </w:rPr>
      </w:pPr>
    </w:p>
    <w:p w14:paraId="7B4146AD">
      <w:pPr>
        <w:spacing w:line="400" w:lineRule="exact"/>
        <w:jc w:val="center"/>
        <w:rPr>
          <w:b/>
          <w:color w:val="000000"/>
          <w:sz w:val="28"/>
          <w:szCs w:val="28"/>
        </w:rPr>
      </w:pPr>
    </w:p>
    <w:p w14:paraId="789106F9">
      <w:pPr>
        <w:spacing w:line="400" w:lineRule="exact"/>
        <w:jc w:val="center"/>
        <w:rPr>
          <w:b/>
          <w:color w:val="000000"/>
          <w:sz w:val="28"/>
          <w:szCs w:val="28"/>
        </w:rPr>
      </w:pPr>
    </w:p>
    <w:p w14:paraId="03745192">
      <w:pPr>
        <w:spacing w:line="400" w:lineRule="exact"/>
        <w:jc w:val="center"/>
        <w:rPr>
          <w:b/>
          <w:color w:val="000000"/>
          <w:sz w:val="30"/>
          <w:szCs w:val="30"/>
        </w:rPr>
      </w:pPr>
    </w:p>
    <w:p w14:paraId="7E4D4A4A">
      <w:pPr>
        <w:spacing w:line="400" w:lineRule="exact"/>
        <w:jc w:val="center"/>
        <w:rPr>
          <w:b/>
          <w:color w:val="000000"/>
          <w:sz w:val="30"/>
          <w:szCs w:val="30"/>
        </w:rPr>
      </w:pPr>
    </w:p>
    <w:p w14:paraId="07DAFDA6">
      <w:pPr>
        <w:spacing w:line="400" w:lineRule="exact"/>
        <w:jc w:val="center"/>
        <w:outlineLvl w:val="1"/>
        <w:rPr>
          <w:b/>
          <w:color w:val="000000"/>
          <w:sz w:val="30"/>
          <w:szCs w:val="30"/>
        </w:rPr>
      </w:pPr>
      <w:bookmarkStart w:id="1121" w:name="_Toc6222"/>
      <w:bookmarkStart w:id="1122" w:name="_Toc18073"/>
      <w:bookmarkStart w:id="1123" w:name="_Toc3120_WPSOffice_Level1"/>
      <w:bookmarkStart w:id="1124" w:name="_Toc13443"/>
      <w:bookmarkStart w:id="1125" w:name="_Toc20108"/>
      <w:bookmarkStart w:id="1126" w:name="_Toc31568"/>
      <w:bookmarkStart w:id="1127" w:name="_Toc23054"/>
      <w:bookmarkStart w:id="1128" w:name="_Toc20202"/>
      <w:bookmarkStart w:id="1129" w:name="_Toc32467"/>
      <w:bookmarkStart w:id="1130" w:name="_Toc23132"/>
      <w:bookmarkStart w:id="1131" w:name="_Toc17046"/>
      <w:bookmarkStart w:id="1132" w:name="_Toc5899"/>
      <w:r>
        <w:rPr>
          <w:rStyle w:val="32"/>
          <w:rFonts w:ascii="Times New Roman" w:hAnsi="Times New Roman" w:eastAsia="黑体"/>
          <w:sz w:val="28"/>
          <w:szCs w:val="28"/>
        </w:rPr>
        <w:br w:type="page"/>
      </w:r>
      <w:bookmarkEnd w:id="1121"/>
      <w:bookmarkEnd w:id="1122"/>
      <w:bookmarkEnd w:id="1123"/>
      <w:bookmarkEnd w:id="1124"/>
      <w:bookmarkEnd w:id="1125"/>
      <w:bookmarkEnd w:id="1126"/>
      <w:bookmarkEnd w:id="1127"/>
      <w:bookmarkEnd w:id="1128"/>
      <w:bookmarkEnd w:id="1129"/>
      <w:bookmarkEnd w:id="1130"/>
      <w:bookmarkEnd w:id="1131"/>
      <w:bookmarkEnd w:id="1132"/>
      <w:bookmarkStart w:id="1133" w:name="_Toc27184"/>
      <w:bookmarkStart w:id="1134" w:name="_Toc18830"/>
      <w:bookmarkStart w:id="1135" w:name="_Toc24998"/>
      <w:bookmarkStart w:id="1136" w:name="_Toc16191"/>
      <w:bookmarkStart w:id="1137" w:name="_Toc13349"/>
      <w:bookmarkStart w:id="1138" w:name="_Toc19561"/>
      <w:bookmarkStart w:id="1139" w:name="_Toc6142"/>
      <w:bookmarkStart w:id="1140" w:name="_Toc5884"/>
    </w:p>
    <w:p w14:paraId="56B24A95">
      <w:pPr>
        <w:spacing w:line="400" w:lineRule="exact"/>
        <w:jc w:val="center"/>
        <w:outlineLvl w:val="1"/>
        <w:rPr>
          <w:b/>
          <w:color w:val="000000"/>
          <w:sz w:val="30"/>
          <w:szCs w:val="30"/>
        </w:rPr>
      </w:pPr>
      <w:r>
        <w:rPr>
          <w:b/>
          <w:color w:val="000000"/>
          <w:sz w:val="30"/>
          <w:szCs w:val="30"/>
        </w:rPr>
        <w:t>北京市地方标准</w:t>
      </w:r>
    </w:p>
    <w:p w14:paraId="304338E4">
      <w:pPr>
        <w:spacing w:line="400" w:lineRule="exact"/>
        <w:jc w:val="center"/>
        <w:rPr>
          <w:b/>
          <w:color w:val="000000"/>
          <w:sz w:val="28"/>
          <w:szCs w:val="28"/>
        </w:rPr>
      </w:pPr>
    </w:p>
    <w:p w14:paraId="59DD4C2D">
      <w:pPr>
        <w:pStyle w:val="2"/>
        <w:rPr>
          <w:b/>
          <w:color w:val="000000"/>
          <w:sz w:val="28"/>
          <w:szCs w:val="28"/>
        </w:rPr>
      </w:pPr>
    </w:p>
    <w:p w14:paraId="64CA9413">
      <w:pPr>
        <w:pStyle w:val="2"/>
        <w:rPr>
          <w:b/>
          <w:color w:val="000000"/>
          <w:sz w:val="28"/>
          <w:szCs w:val="28"/>
        </w:rPr>
      </w:pPr>
    </w:p>
    <w:p w14:paraId="52FEFF19">
      <w:pPr>
        <w:pStyle w:val="2"/>
        <w:rPr>
          <w:b/>
          <w:color w:val="000000"/>
          <w:sz w:val="28"/>
          <w:szCs w:val="28"/>
        </w:rPr>
      </w:pPr>
    </w:p>
    <w:p w14:paraId="2FEE88D2">
      <w:pPr>
        <w:pStyle w:val="2"/>
        <w:rPr>
          <w:b/>
          <w:color w:val="000000"/>
          <w:sz w:val="28"/>
          <w:szCs w:val="28"/>
        </w:rPr>
      </w:pPr>
    </w:p>
    <w:p w14:paraId="329A2B73">
      <w:pPr>
        <w:spacing w:line="400" w:lineRule="exact"/>
        <w:jc w:val="center"/>
        <w:outlineLvl w:val="2"/>
        <w:rPr>
          <w:b/>
          <w:color w:val="000000"/>
          <w:sz w:val="36"/>
          <w:szCs w:val="36"/>
        </w:rPr>
      </w:pPr>
      <w:r>
        <w:rPr>
          <w:b/>
          <w:color w:val="000000"/>
          <w:sz w:val="36"/>
          <w:szCs w:val="36"/>
        </w:rPr>
        <w:t>建筑长城杯工程质量评审标准</w:t>
      </w:r>
    </w:p>
    <w:p w14:paraId="3B393EF0">
      <w:pPr>
        <w:spacing w:line="400" w:lineRule="exact"/>
        <w:jc w:val="center"/>
        <w:outlineLvl w:val="1"/>
        <w:rPr>
          <w:color w:val="000000"/>
        </w:rPr>
      </w:pPr>
      <w:r>
        <w:rPr>
          <w:color w:val="000000"/>
          <w:sz w:val="32"/>
          <w:szCs w:val="32"/>
        </w:rPr>
        <w:t xml:space="preserve">The </w:t>
      </w:r>
      <w:r>
        <w:rPr>
          <w:rFonts w:hint="eastAsia"/>
          <w:color w:val="000000"/>
          <w:sz w:val="32"/>
          <w:szCs w:val="32"/>
          <w:lang w:val="en-US" w:eastAsia="zh-CN"/>
        </w:rPr>
        <w:t>s</w:t>
      </w:r>
      <w:r>
        <w:rPr>
          <w:color w:val="000000"/>
          <w:sz w:val="32"/>
          <w:szCs w:val="32"/>
        </w:rPr>
        <w:t xml:space="preserve">pecification of </w:t>
      </w:r>
      <w:r>
        <w:rPr>
          <w:rFonts w:hint="eastAsia"/>
          <w:color w:val="000000"/>
          <w:sz w:val="32"/>
          <w:szCs w:val="32"/>
          <w:lang w:val="en-US" w:eastAsia="zh-CN"/>
        </w:rPr>
        <w:t>b</w:t>
      </w:r>
      <w:r>
        <w:rPr>
          <w:color w:val="000000"/>
          <w:sz w:val="32"/>
          <w:szCs w:val="32"/>
        </w:rPr>
        <w:t xml:space="preserve">uilding </w:t>
      </w:r>
      <w:r>
        <w:rPr>
          <w:rFonts w:hint="eastAsia"/>
          <w:color w:val="000000"/>
          <w:sz w:val="32"/>
          <w:szCs w:val="32"/>
          <w:lang w:val="en-US" w:eastAsia="zh-CN"/>
        </w:rPr>
        <w:t>q</w:t>
      </w:r>
      <w:r>
        <w:rPr>
          <w:color w:val="000000"/>
          <w:sz w:val="32"/>
          <w:szCs w:val="32"/>
        </w:rPr>
        <w:t>uality</w:t>
      </w:r>
      <w:r>
        <w:rPr>
          <w:rFonts w:hint="eastAsia"/>
          <w:color w:val="000000"/>
          <w:sz w:val="32"/>
          <w:szCs w:val="32"/>
          <w:lang w:val="en-US" w:eastAsia="zh-CN"/>
        </w:rPr>
        <w:t xml:space="preserve"> e</w:t>
      </w:r>
      <w:r>
        <w:rPr>
          <w:color w:val="000000"/>
          <w:sz w:val="32"/>
          <w:szCs w:val="32"/>
        </w:rPr>
        <w:t>valuation for the Great Wall Cup</w:t>
      </w:r>
    </w:p>
    <w:p w14:paraId="0BE02A05">
      <w:pPr>
        <w:spacing w:line="400" w:lineRule="exact"/>
        <w:jc w:val="center"/>
        <w:rPr>
          <w:b/>
          <w:color w:val="000000"/>
          <w:sz w:val="30"/>
          <w:szCs w:val="30"/>
        </w:rPr>
      </w:pPr>
    </w:p>
    <w:p w14:paraId="17312FF7">
      <w:pPr>
        <w:spacing w:line="400" w:lineRule="exact"/>
        <w:jc w:val="center"/>
        <w:outlineLvl w:val="1"/>
        <w:rPr>
          <w:b/>
          <w:color w:val="000000"/>
          <w:sz w:val="30"/>
          <w:szCs w:val="30"/>
        </w:rPr>
      </w:pPr>
      <w:r>
        <w:rPr>
          <w:b/>
          <w:color w:val="000000"/>
          <w:sz w:val="30"/>
          <w:szCs w:val="30"/>
        </w:rPr>
        <w:t>DB11T1075-20**</w:t>
      </w:r>
    </w:p>
    <w:p w14:paraId="3AC9FF0A">
      <w:pPr>
        <w:spacing w:line="400" w:lineRule="exact"/>
        <w:jc w:val="center"/>
        <w:rPr>
          <w:b/>
          <w:color w:val="000000"/>
          <w:sz w:val="36"/>
          <w:szCs w:val="36"/>
        </w:rPr>
      </w:pPr>
    </w:p>
    <w:p w14:paraId="27FE70F4">
      <w:pPr>
        <w:spacing w:line="400" w:lineRule="exact"/>
        <w:jc w:val="center"/>
        <w:rPr>
          <w:b/>
          <w:color w:val="000000"/>
          <w:sz w:val="36"/>
          <w:szCs w:val="36"/>
        </w:rPr>
      </w:pPr>
    </w:p>
    <w:p w14:paraId="50EF113D">
      <w:pPr>
        <w:spacing w:line="400" w:lineRule="exact"/>
        <w:jc w:val="center"/>
        <w:rPr>
          <w:b/>
          <w:color w:val="000000"/>
          <w:sz w:val="36"/>
          <w:szCs w:val="36"/>
        </w:rPr>
      </w:pPr>
    </w:p>
    <w:p w14:paraId="1CBB20BF">
      <w:pPr>
        <w:spacing w:line="400" w:lineRule="exact"/>
        <w:jc w:val="center"/>
        <w:rPr>
          <w:b/>
          <w:color w:val="000000"/>
          <w:sz w:val="36"/>
          <w:szCs w:val="36"/>
        </w:rPr>
      </w:pPr>
    </w:p>
    <w:p w14:paraId="564B79B9">
      <w:pPr>
        <w:spacing w:line="400" w:lineRule="exact"/>
        <w:jc w:val="center"/>
        <w:rPr>
          <w:b/>
          <w:color w:val="000000"/>
          <w:sz w:val="36"/>
          <w:szCs w:val="36"/>
        </w:rPr>
      </w:pPr>
    </w:p>
    <w:p w14:paraId="54915DB3">
      <w:pPr>
        <w:spacing w:line="400" w:lineRule="exact"/>
        <w:jc w:val="center"/>
        <w:outlineLvl w:val="2"/>
        <w:rPr>
          <w:b/>
          <w:color w:val="000000"/>
          <w:sz w:val="36"/>
          <w:szCs w:val="36"/>
        </w:rPr>
      </w:pPr>
      <w:r>
        <w:rPr>
          <w:b/>
          <w:color w:val="000000"/>
          <w:sz w:val="36"/>
          <w:szCs w:val="36"/>
        </w:rPr>
        <w:t>条文说明</w:t>
      </w:r>
    </w:p>
    <w:p w14:paraId="55A6419F">
      <w:pPr>
        <w:spacing w:line="400" w:lineRule="exact"/>
        <w:jc w:val="center"/>
        <w:rPr>
          <w:b/>
          <w:color w:val="000000"/>
          <w:sz w:val="28"/>
          <w:szCs w:val="28"/>
        </w:rPr>
      </w:pPr>
    </w:p>
    <w:p w14:paraId="4AC46A15">
      <w:pPr>
        <w:spacing w:line="400" w:lineRule="exact"/>
        <w:jc w:val="center"/>
        <w:rPr>
          <w:b/>
          <w:color w:val="000000"/>
          <w:sz w:val="28"/>
          <w:szCs w:val="28"/>
        </w:rPr>
      </w:pPr>
    </w:p>
    <w:p w14:paraId="353283A6">
      <w:pPr>
        <w:spacing w:line="400" w:lineRule="exact"/>
        <w:jc w:val="center"/>
        <w:rPr>
          <w:b/>
          <w:color w:val="000000"/>
          <w:sz w:val="28"/>
          <w:szCs w:val="28"/>
        </w:rPr>
      </w:pPr>
    </w:p>
    <w:p w14:paraId="1FC37828">
      <w:pPr>
        <w:spacing w:line="400" w:lineRule="exact"/>
        <w:jc w:val="center"/>
        <w:rPr>
          <w:b/>
          <w:color w:val="000000"/>
          <w:sz w:val="28"/>
          <w:szCs w:val="28"/>
        </w:rPr>
      </w:pPr>
    </w:p>
    <w:p w14:paraId="5F119740">
      <w:pPr>
        <w:spacing w:line="400" w:lineRule="exact"/>
        <w:jc w:val="center"/>
        <w:rPr>
          <w:b/>
          <w:color w:val="000000"/>
          <w:sz w:val="28"/>
          <w:szCs w:val="28"/>
        </w:rPr>
      </w:pPr>
    </w:p>
    <w:p w14:paraId="7AED7179">
      <w:pPr>
        <w:spacing w:line="400" w:lineRule="exact"/>
        <w:jc w:val="center"/>
        <w:rPr>
          <w:b/>
          <w:color w:val="000000"/>
          <w:sz w:val="28"/>
          <w:szCs w:val="28"/>
        </w:rPr>
      </w:pPr>
    </w:p>
    <w:p w14:paraId="473B9608">
      <w:pPr>
        <w:spacing w:line="400" w:lineRule="exact"/>
        <w:jc w:val="center"/>
        <w:rPr>
          <w:b/>
          <w:color w:val="000000"/>
          <w:sz w:val="28"/>
          <w:szCs w:val="28"/>
        </w:rPr>
      </w:pPr>
    </w:p>
    <w:p w14:paraId="01FB13DC">
      <w:pPr>
        <w:spacing w:line="400" w:lineRule="exact"/>
        <w:jc w:val="center"/>
        <w:rPr>
          <w:b/>
          <w:color w:val="000000"/>
          <w:sz w:val="28"/>
          <w:szCs w:val="28"/>
        </w:rPr>
      </w:pPr>
    </w:p>
    <w:p w14:paraId="31B0C30F">
      <w:pPr>
        <w:spacing w:line="400" w:lineRule="exact"/>
        <w:rPr>
          <w:b/>
          <w:color w:val="000000"/>
          <w:sz w:val="28"/>
          <w:szCs w:val="28"/>
        </w:rPr>
      </w:pPr>
    </w:p>
    <w:p w14:paraId="6037D886">
      <w:pPr>
        <w:spacing w:line="400" w:lineRule="exact"/>
        <w:jc w:val="center"/>
        <w:rPr>
          <w:b/>
          <w:color w:val="000000"/>
          <w:sz w:val="28"/>
          <w:szCs w:val="28"/>
        </w:rPr>
      </w:pPr>
      <w:r>
        <w:rPr>
          <w:b/>
          <w:color w:val="000000"/>
          <w:sz w:val="28"/>
          <w:szCs w:val="28"/>
        </w:rPr>
        <w:t>20**  北  京</w:t>
      </w:r>
    </w:p>
    <w:p w14:paraId="25262882">
      <w:pPr>
        <w:spacing w:line="400" w:lineRule="exact"/>
        <w:jc w:val="center"/>
        <w:rPr>
          <w:b/>
          <w:color w:val="000000"/>
          <w:sz w:val="28"/>
          <w:szCs w:val="28"/>
        </w:rPr>
      </w:pPr>
    </w:p>
    <w:p w14:paraId="7DD02EBC">
      <w:pPr>
        <w:spacing w:line="400" w:lineRule="exact"/>
        <w:jc w:val="center"/>
        <w:rPr>
          <w:b/>
          <w:color w:val="000000"/>
          <w:sz w:val="28"/>
          <w:szCs w:val="28"/>
        </w:rPr>
      </w:pPr>
    </w:p>
    <w:p w14:paraId="692A8151">
      <w:pPr>
        <w:spacing w:line="400" w:lineRule="exact"/>
        <w:rPr>
          <w:color w:val="000000"/>
          <w:sz w:val="28"/>
          <w:szCs w:val="28"/>
        </w:rPr>
      </w:pPr>
    </w:p>
    <w:p w14:paraId="6993CB04">
      <w:pPr>
        <w:spacing w:line="400" w:lineRule="exact"/>
        <w:jc w:val="center"/>
        <w:rPr>
          <w:b/>
          <w:color w:val="000000"/>
          <w:sz w:val="32"/>
          <w:szCs w:val="32"/>
        </w:rPr>
      </w:pPr>
      <w:r>
        <w:rPr>
          <w:b/>
          <w:color w:val="000000"/>
          <w:sz w:val="32"/>
          <w:szCs w:val="32"/>
        </w:rPr>
        <w:br w:type="page"/>
      </w:r>
      <w:r>
        <w:rPr>
          <w:b/>
          <w:color w:val="000000"/>
          <w:sz w:val="32"/>
          <w:szCs w:val="32"/>
        </w:rPr>
        <w:t>目    次</w:t>
      </w:r>
    </w:p>
    <w:p w14:paraId="6D6EACE7">
      <w:pPr>
        <w:pStyle w:val="12"/>
        <w:tabs>
          <w:tab w:val="right" w:leader="dot" w:pos="8302"/>
        </w:tabs>
        <w:rPr>
          <w:color w:val="000000"/>
        </w:rPr>
      </w:pPr>
      <w:r>
        <w:rPr>
          <w:b/>
          <w:color w:val="000000"/>
          <w:sz w:val="28"/>
          <w:szCs w:val="28"/>
        </w:rPr>
        <w:fldChar w:fldCharType="begin"/>
      </w:r>
      <w:r>
        <w:rPr>
          <w:b/>
          <w:color w:val="000000"/>
          <w:sz w:val="28"/>
          <w:szCs w:val="28"/>
        </w:rPr>
        <w:instrText xml:space="preserve">TOC \o "1-3" \h \u </w:instrText>
      </w:r>
      <w:r>
        <w:rPr>
          <w:b/>
          <w:color w:val="000000"/>
          <w:sz w:val="28"/>
          <w:szCs w:val="28"/>
        </w:rPr>
        <w:fldChar w:fldCharType="separate"/>
      </w:r>
    </w:p>
    <w:p w14:paraId="183851B7">
      <w:pPr>
        <w:pStyle w:val="18"/>
        <w:tabs>
          <w:tab w:val="right" w:leader="dot" w:pos="8302"/>
        </w:tabs>
        <w:rPr>
          <w:color w:val="000000"/>
        </w:rPr>
      </w:pPr>
      <w:r>
        <w:fldChar w:fldCharType="begin"/>
      </w:r>
      <w:r>
        <w:instrText xml:space="preserve"> HYPERLINK \l "_Toc24998" </w:instrText>
      </w:r>
      <w:r>
        <w:fldChar w:fldCharType="separate"/>
      </w:r>
      <w:r>
        <w:rPr>
          <w:rFonts w:eastAsia="黑体"/>
          <w:color w:val="000000"/>
          <w:szCs w:val="28"/>
        </w:rPr>
        <w:t>1  总  则</w:t>
      </w:r>
      <w:r>
        <w:rPr>
          <w:color w:val="000000"/>
        </w:rPr>
        <w:tab/>
      </w:r>
      <w:r>
        <w:rPr>
          <w:color w:val="000000"/>
        </w:rPr>
        <w:fldChar w:fldCharType="begin"/>
      </w:r>
      <w:r>
        <w:rPr>
          <w:color w:val="000000"/>
        </w:rPr>
        <w:instrText xml:space="preserve"> PAGEREF _Toc24998 \h </w:instrText>
      </w:r>
      <w:r>
        <w:rPr>
          <w:color w:val="000000"/>
        </w:rPr>
        <w:fldChar w:fldCharType="separate"/>
      </w:r>
      <w:r>
        <w:rPr>
          <w:color w:val="000000"/>
        </w:rPr>
        <w:t>100</w:t>
      </w:r>
      <w:r>
        <w:rPr>
          <w:color w:val="000000"/>
        </w:rPr>
        <w:fldChar w:fldCharType="end"/>
      </w:r>
      <w:r>
        <w:rPr>
          <w:color w:val="000000"/>
        </w:rPr>
        <w:fldChar w:fldCharType="end"/>
      </w:r>
    </w:p>
    <w:p w14:paraId="3A28CFB6">
      <w:pPr>
        <w:pStyle w:val="18"/>
        <w:tabs>
          <w:tab w:val="right" w:leader="dot" w:pos="8302"/>
        </w:tabs>
        <w:rPr>
          <w:color w:val="000000"/>
        </w:rPr>
      </w:pPr>
      <w:r>
        <w:fldChar w:fldCharType="begin"/>
      </w:r>
      <w:r>
        <w:instrText xml:space="preserve"> HYPERLINK \l "_Toc29814" </w:instrText>
      </w:r>
      <w:r>
        <w:fldChar w:fldCharType="separate"/>
      </w:r>
      <w:r>
        <w:rPr>
          <w:rFonts w:eastAsia="黑体"/>
          <w:color w:val="000000"/>
          <w:szCs w:val="28"/>
        </w:rPr>
        <w:t>2  基本规定</w:t>
      </w:r>
      <w:r>
        <w:rPr>
          <w:color w:val="000000"/>
        </w:rPr>
        <w:tab/>
      </w:r>
      <w:r>
        <w:rPr>
          <w:color w:val="000000"/>
        </w:rPr>
        <w:fldChar w:fldCharType="begin"/>
      </w:r>
      <w:r>
        <w:rPr>
          <w:color w:val="000000"/>
        </w:rPr>
        <w:instrText xml:space="preserve"> PAGEREF _Toc29814 \h </w:instrText>
      </w:r>
      <w:r>
        <w:rPr>
          <w:color w:val="000000"/>
        </w:rPr>
        <w:fldChar w:fldCharType="separate"/>
      </w:r>
      <w:r>
        <w:rPr>
          <w:color w:val="000000"/>
        </w:rPr>
        <w:t>100</w:t>
      </w:r>
      <w:r>
        <w:rPr>
          <w:color w:val="000000"/>
        </w:rPr>
        <w:fldChar w:fldCharType="end"/>
      </w:r>
      <w:r>
        <w:rPr>
          <w:color w:val="000000"/>
        </w:rPr>
        <w:fldChar w:fldCharType="end"/>
      </w:r>
    </w:p>
    <w:p w14:paraId="33F5DF68">
      <w:pPr>
        <w:pStyle w:val="18"/>
        <w:tabs>
          <w:tab w:val="right" w:leader="dot" w:pos="8302"/>
        </w:tabs>
        <w:rPr>
          <w:color w:val="000000"/>
        </w:rPr>
      </w:pPr>
      <w:r>
        <w:fldChar w:fldCharType="begin"/>
      </w:r>
      <w:r>
        <w:instrText xml:space="preserve"> HYPERLINK \l "_Toc44" </w:instrText>
      </w:r>
      <w:r>
        <w:fldChar w:fldCharType="separate"/>
      </w:r>
      <w:r>
        <w:rPr>
          <w:rFonts w:eastAsia="黑体"/>
          <w:color w:val="000000"/>
          <w:szCs w:val="28"/>
        </w:rPr>
        <w:t>3  施工项目管理</w:t>
      </w:r>
      <w:r>
        <w:rPr>
          <w:color w:val="000000"/>
        </w:rPr>
        <w:tab/>
      </w:r>
      <w:r>
        <w:rPr>
          <w:color w:val="000000"/>
        </w:rPr>
        <w:fldChar w:fldCharType="begin"/>
      </w:r>
      <w:r>
        <w:rPr>
          <w:color w:val="000000"/>
        </w:rPr>
        <w:instrText xml:space="preserve"> PAGEREF _Toc44 \h </w:instrText>
      </w:r>
      <w:r>
        <w:rPr>
          <w:color w:val="000000"/>
        </w:rPr>
        <w:fldChar w:fldCharType="separate"/>
      </w:r>
      <w:r>
        <w:rPr>
          <w:color w:val="000000"/>
        </w:rPr>
        <w:t>102</w:t>
      </w:r>
      <w:r>
        <w:rPr>
          <w:color w:val="000000"/>
        </w:rPr>
        <w:fldChar w:fldCharType="end"/>
      </w:r>
      <w:r>
        <w:rPr>
          <w:color w:val="000000"/>
        </w:rPr>
        <w:fldChar w:fldCharType="end"/>
      </w:r>
    </w:p>
    <w:p w14:paraId="1D37B086">
      <w:pPr>
        <w:pStyle w:val="18"/>
        <w:tabs>
          <w:tab w:val="right" w:leader="dot" w:pos="8302"/>
        </w:tabs>
        <w:rPr>
          <w:color w:val="000000"/>
        </w:rPr>
      </w:pPr>
      <w:r>
        <w:fldChar w:fldCharType="begin"/>
      </w:r>
      <w:r>
        <w:instrText xml:space="preserve"> HYPERLINK \l "_Toc20423" </w:instrText>
      </w:r>
      <w:r>
        <w:fldChar w:fldCharType="separate"/>
      </w:r>
      <w:r>
        <w:rPr>
          <w:rFonts w:eastAsia="黑体"/>
          <w:color w:val="000000"/>
          <w:szCs w:val="28"/>
        </w:rPr>
        <w:t>4  工程资料管理</w:t>
      </w:r>
      <w:r>
        <w:rPr>
          <w:color w:val="000000"/>
        </w:rPr>
        <w:tab/>
      </w:r>
      <w:r>
        <w:rPr>
          <w:color w:val="000000"/>
        </w:rPr>
        <w:fldChar w:fldCharType="begin"/>
      </w:r>
      <w:r>
        <w:rPr>
          <w:color w:val="000000"/>
        </w:rPr>
        <w:instrText xml:space="preserve"> PAGEREF _Toc20423 \h </w:instrText>
      </w:r>
      <w:r>
        <w:rPr>
          <w:color w:val="000000"/>
        </w:rPr>
        <w:fldChar w:fldCharType="separate"/>
      </w:r>
      <w:r>
        <w:rPr>
          <w:color w:val="000000"/>
        </w:rPr>
        <w:t>103</w:t>
      </w:r>
      <w:r>
        <w:rPr>
          <w:color w:val="000000"/>
        </w:rPr>
        <w:fldChar w:fldCharType="end"/>
      </w:r>
      <w:r>
        <w:rPr>
          <w:color w:val="000000"/>
        </w:rPr>
        <w:fldChar w:fldCharType="end"/>
      </w:r>
    </w:p>
    <w:p w14:paraId="24681260">
      <w:pPr>
        <w:pStyle w:val="18"/>
        <w:tabs>
          <w:tab w:val="right" w:leader="dot" w:pos="8302"/>
        </w:tabs>
        <w:rPr>
          <w:color w:val="000000"/>
        </w:rPr>
      </w:pPr>
      <w:r>
        <w:fldChar w:fldCharType="begin"/>
      </w:r>
      <w:r>
        <w:instrText xml:space="preserve"> HYPERLINK \l "_Toc2862" </w:instrText>
      </w:r>
      <w:r>
        <w:fldChar w:fldCharType="separate"/>
      </w:r>
      <w:r>
        <w:rPr>
          <w:rFonts w:eastAsia="黑体"/>
          <w:color w:val="000000"/>
          <w:szCs w:val="28"/>
        </w:rPr>
        <w:t>5  技术应用创新与</w:t>
      </w:r>
      <w:r>
        <w:rPr>
          <w:rFonts w:hint="eastAsia" w:eastAsia="黑体"/>
          <w:color w:val="000000"/>
          <w:szCs w:val="28"/>
        </w:rPr>
        <w:t>智能建造</w:t>
      </w:r>
      <w:r>
        <w:rPr>
          <w:color w:val="000000"/>
        </w:rPr>
        <w:tab/>
      </w:r>
      <w:r>
        <w:rPr>
          <w:color w:val="000000"/>
        </w:rPr>
        <w:fldChar w:fldCharType="begin"/>
      </w:r>
      <w:r>
        <w:rPr>
          <w:color w:val="000000"/>
        </w:rPr>
        <w:instrText xml:space="preserve"> PAGEREF _Toc2862 \h </w:instrText>
      </w:r>
      <w:r>
        <w:rPr>
          <w:color w:val="000000"/>
        </w:rPr>
        <w:fldChar w:fldCharType="separate"/>
      </w:r>
      <w:r>
        <w:rPr>
          <w:color w:val="000000"/>
        </w:rPr>
        <w:t>104</w:t>
      </w:r>
      <w:r>
        <w:rPr>
          <w:color w:val="000000"/>
        </w:rPr>
        <w:fldChar w:fldCharType="end"/>
      </w:r>
      <w:r>
        <w:rPr>
          <w:color w:val="000000"/>
        </w:rPr>
        <w:fldChar w:fldCharType="end"/>
      </w:r>
    </w:p>
    <w:p w14:paraId="0395DEC5">
      <w:pPr>
        <w:pStyle w:val="18"/>
        <w:tabs>
          <w:tab w:val="right" w:leader="dot" w:pos="8302"/>
        </w:tabs>
        <w:rPr>
          <w:color w:val="000000"/>
        </w:rPr>
      </w:pPr>
      <w:r>
        <w:fldChar w:fldCharType="begin"/>
      </w:r>
      <w:r>
        <w:instrText xml:space="preserve"> HYPERLINK \l "_Toc4869" </w:instrText>
      </w:r>
      <w:r>
        <w:fldChar w:fldCharType="separate"/>
      </w:r>
      <w:r>
        <w:rPr>
          <w:rFonts w:eastAsia="黑体"/>
          <w:color w:val="000000"/>
          <w:szCs w:val="28"/>
        </w:rPr>
        <w:t xml:space="preserve">6  </w:t>
      </w:r>
      <w:r>
        <w:rPr>
          <w:rFonts w:hint="eastAsia" w:eastAsia="黑体"/>
          <w:color w:val="000000"/>
          <w:szCs w:val="28"/>
        </w:rPr>
        <w:t>绿色施工</w:t>
      </w:r>
      <w:r>
        <w:rPr>
          <w:color w:val="000000"/>
        </w:rPr>
        <w:tab/>
      </w:r>
      <w:r>
        <w:rPr>
          <w:color w:val="000000"/>
        </w:rPr>
        <w:fldChar w:fldCharType="begin"/>
      </w:r>
      <w:r>
        <w:rPr>
          <w:color w:val="000000"/>
        </w:rPr>
        <w:instrText xml:space="preserve"> PAGEREF _Toc4869 \h </w:instrText>
      </w:r>
      <w:r>
        <w:rPr>
          <w:color w:val="000000"/>
        </w:rPr>
        <w:fldChar w:fldCharType="separate"/>
      </w:r>
      <w:r>
        <w:rPr>
          <w:color w:val="000000"/>
        </w:rPr>
        <w:t>104</w:t>
      </w:r>
      <w:r>
        <w:rPr>
          <w:color w:val="000000"/>
        </w:rPr>
        <w:fldChar w:fldCharType="end"/>
      </w:r>
      <w:r>
        <w:rPr>
          <w:color w:val="000000"/>
        </w:rPr>
        <w:fldChar w:fldCharType="end"/>
      </w:r>
    </w:p>
    <w:p w14:paraId="6D314CA8">
      <w:pPr>
        <w:pStyle w:val="18"/>
        <w:tabs>
          <w:tab w:val="right" w:leader="dot" w:pos="8302"/>
        </w:tabs>
        <w:rPr>
          <w:color w:val="000000"/>
        </w:rPr>
      </w:pPr>
      <w:r>
        <w:fldChar w:fldCharType="begin"/>
      </w:r>
      <w:r>
        <w:instrText xml:space="preserve"> HYPERLINK \l "_Toc25418" </w:instrText>
      </w:r>
      <w:r>
        <w:fldChar w:fldCharType="separate"/>
      </w:r>
      <w:r>
        <w:rPr>
          <w:rFonts w:eastAsia="黑体"/>
          <w:color w:val="000000"/>
          <w:szCs w:val="28"/>
        </w:rPr>
        <w:t xml:space="preserve">7 </w:t>
      </w:r>
      <w:r>
        <w:rPr>
          <w:rFonts w:hint="eastAsia" w:eastAsia="黑体"/>
          <w:color w:val="000000"/>
          <w:szCs w:val="28"/>
        </w:rPr>
        <w:t xml:space="preserve"> </w:t>
      </w:r>
      <w:r>
        <w:rPr>
          <w:rFonts w:eastAsia="黑体"/>
          <w:color w:val="000000"/>
          <w:szCs w:val="28"/>
        </w:rPr>
        <w:t>土建工程</w:t>
      </w:r>
      <w:r>
        <w:rPr>
          <w:color w:val="000000"/>
        </w:rPr>
        <w:tab/>
      </w:r>
      <w:r>
        <w:rPr>
          <w:color w:val="000000"/>
        </w:rPr>
        <w:fldChar w:fldCharType="begin"/>
      </w:r>
      <w:r>
        <w:rPr>
          <w:color w:val="000000"/>
        </w:rPr>
        <w:instrText xml:space="preserve"> PAGEREF _Toc25418 \h </w:instrText>
      </w:r>
      <w:r>
        <w:rPr>
          <w:color w:val="000000"/>
        </w:rPr>
        <w:fldChar w:fldCharType="separate"/>
      </w:r>
      <w:r>
        <w:rPr>
          <w:color w:val="000000"/>
        </w:rPr>
        <w:t>104</w:t>
      </w:r>
      <w:r>
        <w:rPr>
          <w:color w:val="000000"/>
        </w:rPr>
        <w:fldChar w:fldCharType="end"/>
      </w:r>
      <w:r>
        <w:rPr>
          <w:color w:val="000000"/>
        </w:rPr>
        <w:fldChar w:fldCharType="end"/>
      </w:r>
    </w:p>
    <w:p w14:paraId="5348043D">
      <w:pPr>
        <w:pStyle w:val="22"/>
        <w:tabs>
          <w:tab w:val="right" w:leader="dot" w:pos="8302"/>
        </w:tabs>
        <w:rPr>
          <w:color w:val="000000"/>
        </w:rPr>
      </w:pPr>
      <w:r>
        <w:fldChar w:fldCharType="begin"/>
      </w:r>
      <w:r>
        <w:instrText xml:space="preserve"> HYPERLINK \l "_Toc14670" </w:instrText>
      </w:r>
      <w:r>
        <w:fldChar w:fldCharType="separate"/>
      </w:r>
      <w:r>
        <w:rPr>
          <w:rFonts w:eastAsia="黑体"/>
          <w:color w:val="000000"/>
          <w:szCs w:val="24"/>
        </w:rPr>
        <w:t>7.1</w:t>
      </w:r>
      <w:r>
        <w:rPr>
          <w:rFonts w:eastAsia="黑体"/>
          <w:bCs/>
          <w:color w:val="000000"/>
          <w:szCs w:val="24"/>
        </w:rPr>
        <w:t xml:space="preserve">  地基与基础、主体结构工程</w:t>
      </w:r>
      <w:r>
        <w:rPr>
          <w:color w:val="000000"/>
        </w:rPr>
        <w:tab/>
      </w:r>
      <w:r>
        <w:rPr>
          <w:color w:val="000000"/>
        </w:rPr>
        <w:fldChar w:fldCharType="begin"/>
      </w:r>
      <w:r>
        <w:rPr>
          <w:color w:val="000000"/>
        </w:rPr>
        <w:instrText xml:space="preserve"> PAGEREF _Toc14670 \h </w:instrText>
      </w:r>
      <w:r>
        <w:rPr>
          <w:color w:val="000000"/>
        </w:rPr>
        <w:fldChar w:fldCharType="separate"/>
      </w:r>
      <w:r>
        <w:rPr>
          <w:color w:val="000000"/>
        </w:rPr>
        <w:t>105</w:t>
      </w:r>
      <w:r>
        <w:rPr>
          <w:color w:val="000000"/>
        </w:rPr>
        <w:fldChar w:fldCharType="end"/>
      </w:r>
      <w:r>
        <w:rPr>
          <w:color w:val="000000"/>
        </w:rPr>
        <w:fldChar w:fldCharType="end"/>
      </w:r>
    </w:p>
    <w:p w14:paraId="271C3CAA">
      <w:pPr>
        <w:pStyle w:val="22"/>
        <w:tabs>
          <w:tab w:val="right" w:leader="dot" w:pos="8302"/>
        </w:tabs>
        <w:rPr>
          <w:color w:val="000000"/>
        </w:rPr>
      </w:pPr>
      <w:r>
        <w:fldChar w:fldCharType="begin"/>
      </w:r>
      <w:r>
        <w:instrText xml:space="preserve"> HYPERLINK \l "_Toc10299" </w:instrText>
      </w:r>
      <w:r>
        <w:fldChar w:fldCharType="separate"/>
      </w:r>
      <w:r>
        <w:rPr>
          <w:rFonts w:eastAsia="黑体"/>
          <w:color w:val="000000"/>
          <w:szCs w:val="24"/>
        </w:rPr>
        <w:t>7.2</w:t>
      </w:r>
      <w:r>
        <w:rPr>
          <w:rFonts w:eastAsia="黑体"/>
          <w:bCs/>
          <w:color w:val="000000"/>
          <w:szCs w:val="24"/>
        </w:rPr>
        <w:t xml:space="preserve"> </w:t>
      </w:r>
      <w:r>
        <w:rPr>
          <w:rFonts w:hint="eastAsia" w:eastAsia="黑体"/>
          <w:bCs/>
          <w:color w:val="000000"/>
          <w:szCs w:val="24"/>
        </w:rPr>
        <w:t xml:space="preserve"> </w:t>
      </w:r>
      <w:r>
        <w:rPr>
          <w:rFonts w:eastAsia="黑体"/>
          <w:bCs/>
          <w:color w:val="000000"/>
          <w:szCs w:val="24"/>
        </w:rPr>
        <w:t>屋面工程</w:t>
      </w:r>
      <w:r>
        <w:rPr>
          <w:color w:val="000000"/>
        </w:rPr>
        <w:tab/>
      </w:r>
      <w:r>
        <w:rPr>
          <w:color w:val="000000"/>
        </w:rPr>
        <w:fldChar w:fldCharType="begin"/>
      </w:r>
      <w:r>
        <w:rPr>
          <w:color w:val="000000"/>
        </w:rPr>
        <w:instrText xml:space="preserve"> PAGEREF _Toc10299 \h </w:instrText>
      </w:r>
      <w:r>
        <w:rPr>
          <w:color w:val="000000"/>
        </w:rPr>
        <w:fldChar w:fldCharType="separate"/>
      </w:r>
      <w:r>
        <w:rPr>
          <w:color w:val="000000"/>
        </w:rPr>
        <w:t>105</w:t>
      </w:r>
      <w:r>
        <w:rPr>
          <w:color w:val="000000"/>
        </w:rPr>
        <w:fldChar w:fldCharType="end"/>
      </w:r>
      <w:r>
        <w:rPr>
          <w:color w:val="000000"/>
        </w:rPr>
        <w:fldChar w:fldCharType="end"/>
      </w:r>
    </w:p>
    <w:p w14:paraId="0A59A41C">
      <w:pPr>
        <w:pStyle w:val="22"/>
        <w:tabs>
          <w:tab w:val="right" w:leader="dot" w:pos="8302"/>
        </w:tabs>
        <w:rPr>
          <w:color w:val="000000"/>
        </w:rPr>
      </w:pPr>
      <w:r>
        <w:fldChar w:fldCharType="begin"/>
      </w:r>
      <w:r>
        <w:instrText xml:space="preserve"> HYPERLINK \l "_Toc8917" </w:instrText>
      </w:r>
      <w:r>
        <w:fldChar w:fldCharType="separate"/>
      </w:r>
      <w:r>
        <w:rPr>
          <w:rFonts w:eastAsia="黑体"/>
          <w:color w:val="000000"/>
          <w:szCs w:val="24"/>
        </w:rPr>
        <w:t>7.3</w:t>
      </w:r>
      <w:r>
        <w:rPr>
          <w:rFonts w:eastAsia="黑体"/>
          <w:bCs/>
          <w:color w:val="000000"/>
          <w:szCs w:val="24"/>
        </w:rPr>
        <w:t xml:space="preserve">  外装修工程</w:t>
      </w:r>
      <w:r>
        <w:rPr>
          <w:color w:val="000000"/>
        </w:rPr>
        <w:tab/>
      </w:r>
      <w:r>
        <w:rPr>
          <w:color w:val="000000"/>
        </w:rPr>
        <w:fldChar w:fldCharType="begin"/>
      </w:r>
      <w:r>
        <w:rPr>
          <w:color w:val="000000"/>
        </w:rPr>
        <w:instrText xml:space="preserve"> PAGEREF _Toc8917 \h </w:instrText>
      </w:r>
      <w:r>
        <w:rPr>
          <w:color w:val="000000"/>
        </w:rPr>
        <w:fldChar w:fldCharType="separate"/>
      </w:r>
      <w:r>
        <w:rPr>
          <w:color w:val="000000"/>
        </w:rPr>
        <w:t>105</w:t>
      </w:r>
      <w:r>
        <w:rPr>
          <w:color w:val="000000"/>
        </w:rPr>
        <w:fldChar w:fldCharType="end"/>
      </w:r>
      <w:r>
        <w:rPr>
          <w:color w:val="000000"/>
        </w:rPr>
        <w:fldChar w:fldCharType="end"/>
      </w:r>
    </w:p>
    <w:p w14:paraId="24B527F0">
      <w:pPr>
        <w:pStyle w:val="22"/>
        <w:tabs>
          <w:tab w:val="right" w:leader="dot" w:pos="8302"/>
        </w:tabs>
        <w:rPr>
          <w:color w:val="000000"/>
        </w:rPr>
      </w:pPr>
      <w:r>
        <w:fldChar w:fldCharType="begin"/>
      </w:r>
      <w:r>
        <w:instrText xml:space="preserve"> HYPERLINK \l "_Toc2031" </w:instrText>
      </w:r>
      <w:r>
        <w:fldChar w:fldCharType="separate"/>
      </w:r>
      <w:r>
        <w:rPr>
          <w:rFonts w:eastAsia="黑体"/>
          <w:color w:val="000000"/>
          <w:szCs w:val="24"/>
        </w:rPr>
        <w:t>7.4</w:t>
      </w:r>
      <w:r>
        <w:rPr>
          <w:color w:val="000000"/>
          <w:szCs w:val="24"/>
        </w:rPr>
        <w:t xml:space="preserve">  </w:t>
      </w:r>
      <w:r>
        <w:rPr>
          <w:rFonts w:eastAsia="黑体"/>
          <w:bCs/>
          <w:color w:val="000000"/>
          <w:szCs w:val="24"/>
        </w:rPr>
        <w:t>涂饰工程</w:t>
      </w:r>
      <w:r>
        <w:rPr>
          <w:color w:val="000000"/>
        </w:rPr>
        <w:tab/>
      </w:r>
      <w:r>
        <w:rPr>
          <w:color w:val="000000"/>
        </w:rPr>
        <w:fldChar w:fldCharType="begin"/>
      </w:r>
      <w:r>
        <w:rPr>
          <w:color w:val="000000"/>
        </w:rPr>
        <w:instrText xml:space="preserve"> PAGEREF _Toc2031 \h </w:instrText>
      </w:r>
      <w:r>
        <w:rPr>
          <w:color w:val="000000"/>
        </w:rPr>
        <w:fldChar w:fldCharType="separate"/>
      </w:r>
      <w:r>
        <w:rPr>
          <w:color w:val="000000"/>
        </w:rPr>
        <w:t>105</w:t>
      </w:r>
      <w:r>
        <w:rPr>
          <w:color w:val="000000"/>
        </w:rPr>
        <w:fldChar w:fldCharType="end"/>
      </w:r>
      <w:r>
        <w:rPr>
          <w:color w:val="000000"/>
        </w:rPr>
        <w:fldChar w:fldCharType="end"/>
      </w:r>
    </w:p>
    <w:p w14:paraId="7CD20C6A">
      <w:pPr>
        <w:pStyle w:val="22"/>
        <w:tabs>
          <w:tab w:val="right" w:leader="dot" w:pos="8302"/>
        </w:tabs>
        <w:rPr>
          <w:color w:val="000000"/>
        </w:rPr>
      </w:pPr>
      <w:r>
        <w:fldChar w:fldCharType="begin"/>
      </w:r>
      <w:r>
        <w:instrText xml:space="preserve"> HYPERLINK \l "_Toc9126" </w:instrText>
      </w:r>
      <w:r>
        <w:fldChar w:fldCharType="separate"/>
      </w:r>
      <w:r>
        <w:rPr>
          <w:rFonts w:eastAsia="黑体"/>
          <w:color w:val="000000"/>
          <w:szCs w:val="24"/>
        </w:rPr>
        <w:t>7.5</w:t>
      </w:r>
      <w:r>
        <w:rPr>
          <w:rFonts w:eastAsia="黑体"/>
          <w:bCs/>
          <w:color w:val="000000"/>
          <w:szCs w:val="24"/>
        </w:rPr>
        <w:t xml:space="preserve">  抹灰工程</w:t>
      </w:r>
      <w:r>
        <w:rPr>
          <w:color w:val="000000"/>
        </w:rPr>
        <w:tab/>
      </w:r>
      <w:r>
        <w:rPr>
          <w:color w:val="000000"/>
        </w:rPr>
        <w:fldChar w:fldCharType="begin"/>
      </w:r>
      <w:r>
        <w:rPr>
          <w:color w:val="000000"/>
        </w:rPr>
        <w:instrText xml:space="preserve"> PAGEREF _Toc9126 \h </w:instrText>
      </w:r>
      <w:r>
        <w:rPr>
          <w:color w:val="000000"/>
        </w:rPr>
        <w:fldChar w:fldCharType="separate"/>
      </w:r>
      <w:r>
        <w:rPr>
          <w:color w:val="000000"/>
        </w:rPr>
        <w:t>105</w:t>
      </w:r>
      <w:r>
        <w:rPr>
          <w:color w:val="000000"/>
        </w:rPr>
        <w:fldChar w:fldCharType="end"/>
      </w:r>
      <w:r>
        <w:rPr>
          <w:color w:val="000000"/>
        </w:rPr>
        <w:fldChar w:fldCharType="end"/>
      </w:r>
    </w:p>
    <w:p w14:paraId="41757DCD">
      <w:pPr>
        <w:pStyle w:val="22"/>
        <w:tabs>
          <w:tab w:val="right" w:leader="dot" w:pos="8302"/>
        </w:tabs>
        <w:rPr>
          <w:color w:val="000000"/>
        </w:rPr>
      </w:pPr>
      <w:r>
        <w:fldChar w:fldCharType="begin"/>
      </w:r>
      <w:r>
        <w:instrText xml:space="preserve"> HYPERLINK \l "_Toc11167" </w:instrText>
      </w:r>
      <w:r>
        <w:fldChar w:fldCharType="separate"/>
      </w:r>
      <w:r>
        <w:rPr>
          <w:rFonts w:eastAsia="黑体"/>
          <w:color w:val="000000"/>
          <w:szCs w:val="24"/>
        </w:rPr>
        <w:t>7.6</w:t>
      </w:r>
      <w:r>
        <w:rPr>
          <w:rFonts w:eastAsia="黑体"/>
          <w:bCs/>
          <w:color w:val="000000"/>
          <w:szCs w:val="24"/>
        </w:rPr>
        <w:t xml:space="preserve">  饰面砖、饰面板工程</w:t>
      </w:r>
      <w:r>
        <w:rPr>
          <w:color w:val="000000"/>
        </w:rPr>
        <w:tab/>
      </w:r>
      <w:r>
        <w:rPr>
          <w:color w:val="000000"/>
        </w:rPr>
        <w:fldChar w:fldCharType="begin"/>
      </w:r>
      <w:r>
        <w:rPr>
          <w:color w:val="000000"/>
        </w:rPr>
        <w:instrText xml:space="preserve"> PAGEREF _Toc11167 \h </w:instrText>
      </w:r>
      <w:r>
        <w:rPr>
          <w:color w:val="000000"/>
        </w:rPr>
        <w:fldChar w:fldCharType="separate"/>
      </w:r>
      <w:r>
        <w:rPr>
          <w:color w:val="000000"/>
        </w:rPr>
        <w:t>106</w:t>
      </w:r>
      <w:r>
        <w:rPr>
          <w:color w:val="000000"/>
        </w:rPr>
        <w:fldChar w:fldCharType="end"/>
      </w:r>
      <w:r>
        <w:rPr>
          <w:color w:val="000000"/>
        </w:rPr>
        <w:fldChar w:fldCharType="end"/>
      </w:r>
    </w:p>
    <w:p w14:paraId="3E5E92F8">
      <w:pPr>
        <w:pStyle w:val="22"/>
        <w:tabs>
          <w:tab w:val="right" w:leader="dot" w:pos="8302"/>
        </w:tabs>
        <w:rPr>
          <w:color w:val="000000"/>
        </w:rPr>
      </w:pPr>
      <w:r>
        <w:fldChar w:fldCharType="begin"/>
      </w:r>
      <w:r>
        <w:instrText xml:space="preserve"> HYPERLINK \l "_Toc5570" </w:instrText>
      </w:r>
      <w:r>
        <w:fldChar w:fldCharType="separate"/>
      </w:r>
      <w:r>
        <w:rPr>
          <w:rFonts w:eastAsia="黑体"/>
          <w:color w:val="000000"/>
          <w:szCs w:val="24"/>
        </w:rPr>
        <w:t>7.7</w:t>
      </w:r>
      <w:r>
        <w:rPr>
          <w:rFonts w:eastAsia="黑体"/>
          <w:bCs/>
          <w:color w:val="000000"/>
          <w:szCs w:val="24"/>
        </w:rPr>
        <w:t xml:space="preserve">  墙面裱糊与软包铺装工程</w:t>
      </w:r>
      <w:r>
        <w:rPr>
          <w:color w:val="000000"/>
        </w:rPr>
        <w:tab/>
      </w:r>
      <w:r>
        <w:rPr>
          <w:color w:val="000000"/>
        </w:rPr>
        <w:fldChar w:fldCharType="begin"/>
      </w:r>
      <w:r>
        <w:rPr>
          <w:color w:val="000000"/>
        </w:rPr>
        <w:instrText xml:space="preserve"> PAGEREF _Toc5570 \h </w:instrText>
      </w:r>
      <w:r>
        <w:rPr>
          <w:color w:val="000000"/>
        </w:rPr>
        <w:fldChar w:fldCharType="separate"/>
      </w:r>
      <w:r>
        <w:rPr>
          <w:color w:val="000000"/>
        </w:rPr>
        <w:t>106</w:t>
      </w:r>
      <w:r>
        <w:rPr>
          <w:color w:val="000000"/>
        </w:rPr>
        <w:fldChar w:fldCharType="end"/>
      </w:r>
      <w:r>
        <w:rPr>
          <w:color w:val="000000"/>
        </w:rPr>
        <w:fldChar w:fldCharType="end"/>
      </w:r>
    </w:p>
    <w:p w14:paraId="4A027C75">
      <w:pPr>
        <w:pStyle w:val="22"/>
        <w:tabs>
          <w:tab w:val="right" w:leader="dot" w:pos="8302"/>
        </w:tabs>
        <w:rPr>
          <w:color w:val="000000"/>
        </w:rPr>
      </w:pPr>
      <w:r>
        <w:fldChar w:fldCharType="begin"/>
      </w:r>
      <w:r>
        <w:instrText xml:space="preserve"> HYPERLINK \l "_Toc27643" </w:instrText>
      </w:r>
      <w:r>
        <w:fldChar w:fldCharType="separate"/>
      </w:r>
      <w:r>
        <w:rPr>
          <w:rFonts w:eastAsia="黑体"/>
          <w:bCs/>
          <w:color w:val="000000"/>
          <w:szCs w:val="24"/>
        </w:rPr>
        <w:t>7.8  门窗安装工程</w:t>
      </w:r>
      <w:r>
        <w:rPr>
          <w:color w:val="000000"/>
        </w:rPr>
        <w:tab/>
      </w:r>
      <w:r>
        <w:rPr>
          <w:color w:val="000000"/>
        </w:rPr>
        <w:fldChar w:fldCharType="begin"/>
      </w:r>
      <w:r>
        <w:rPr>
          <w:color w:val="000000"/>
        </w:rPr>
        <w:instrText xml:space="preserve"> PAGEREF _Toc27643 \h </w:instrText>
      </w:r>
      <w:r>
        <w:rPr>
          <w:color w:val="000000"/>
        </w:rPr>
        <w:fldChar w:fldCharType="separate"/>
      </w:r>
      <w:r>
        <w:rPr>
          <w:color w:val="000000"/>
        </w:rPr>
        <w:t>106</w:t>
      </w:r>
      <w:r>
        <w:rPr>
          <w:color w:val="000000"/>
        </w:rPr>
        <w:fldChar w:fldCharType="end"/>
      </w:r>
      <w:r>
        <w:rPr>
          <w:color w:val="000000"/>
        </w:rPr>
        <w:fldChar w:fldCharType="end"/>
      </w:r>
    </w:p>
    <w:p w14:paraId="4399AC04">
      <w:pPr>
        <w:pStyle w:val="22"/>
        <w:tabs>
          <w:tab w:val="right" w:leader="dot" w:pos="8302"/>
        </w:tabs>
        <w:rPr>
          <w:color w:val="000000"/>
        </w:rPr>
      </w:pPr>
      <w:r>
        <w:fldChar w:fldCharType="begin"/>
      </w:r>
      <w:r>
        <w:instrText xml:space="preserve"> HYPERLINK \l "_Toc29257" </w:instrText>
      </w:r>
      <w:r>
        <w:fldChar w:fldCharType="separate"/>
      </w:r>
      <w:r>
        <w:rPr>
          <w:rFonts w:eastAsia="黑体"/>
          <w:bCs/>
          <w:color w:val="000000"/>
          <w:szCs w:val="24"/>
        </w:rPr>
        <w:t>7.9  幕墙工程</w:t>
      </w:r>
      <w:r>
        <w:rPr>
          <w:color w:val="000000"/>
        </w:rPr>
        <w:tab/>
      </w:r>
      <w:r>
        <w:rPr>
          <w:color w:val="000000"/>
        </w:rPr>
        <w:fldChar w:fldCharType="begin"/>
      </w:r>
      <w:r>
        <w:rPr>
          <w:color w:val="000000"/>
        </w:rPr>
        <w:instrText xml:space="preserve"> PAGEREF _Toc29257 \h </w:instrText>
      </w:r>
      <w:r>
        <w:rPr>
          <w:color w:val="000000"/>
        </w:rPr>
        <w:fldChar w:fldCharType="separate"/>
      </w:r>
      <w:r>
        <w:rPr>
          <w:color w:val="000000"/>
        </w:rPr>
        <w:t>106</w:t>
      </w:r>
      <w:r>
        <w:rPr>
          <w:color w:val="000000"/>
        </w:rPr>
        <w:fldChar w:fldCharType="end"/>
      </w:r>
      <w:r>
        <w:rPr>
          <w:color w:val="000000"/>
        </w:rPr>
        <w:fldChar w:fldCharType="end"/>
      </w:r>
    </w:p>
    <w:p w14:paraId="4C1CF8CA">
      <w:pPr>
        <w:pStyle w:val="22"/>
        <w:tabs>
          <w:tab w:val="right" w:leader="dot" w:pos="8302"/>
        </w:tabs>
        <w:rPr>
          <w:color w:val="000000"/>
        </w:rPr>
      </w:pPr>
      <w:r>
        <w:fldChar w:fldCharType="begin"/>
      </w:r>
      <w:r>
        <w:instrText xml:space="preserve"> HYPERLINK \l "_Toc29411" </w:instrText>
      </w:r>
      <w:r>
        <w:fldChar w:fldCharType="separate"/>
      </w:r>
      <w:r>
        <w:rPr>
          <w:rFonts w:eastAsia="黑体"/>
          <w:bCs/>
          <w:color w:val="000000"/>
          <w:szCs w:val="24"/>
        </w:rPr>
        <w:t>7.10  地面工程</w:t>
      </w:r>
      <w:r>
        <w:rPr>
          <w:color w:val="000000"/>
        </w:rPr>
        <w:tab/>
      </w:r>
      <w:r>
        <w:rPr>
          <w:color w:val="000000"/>
        </w:rPr>
        <w:fldChar w:fldCharType="begin"/>
      </w:r>
      <w:r>
        <w:rPr>
          <w:color w:val="000000"/>
        </w:rPr>
        <w:instrText xml:space="preserve"> PAGEREF _Toc29411 \h </w:instrText>
      </w:r>
      <w:r>
        <w:rPr>
          <w:color w:val="000000"/>
        </w:rPr>
        <w:fldChar w:fldCharType="separate"/>
      </w:r>
      <w:r>
        <w:rPr>
          <w:color w:val="000000"/>
        </w:rPr>
        <w:t>106</w:t>
      </w:r>
      <w:r>
        <w:rPr>
          <w:color w:val="000000"/>
        </w:rPr>
        <w:fldChar w:fldCharType="end"/>
      </w:r>
      <w:r>
        <w:rPr>
          <w:color w:val="000000"/>
        </w:rPr>
        <w:fldChar w:fldCharType="end"/>
      </w:r>
    </w:p>
    <w:p w14:paraId="5EB580A0">
      <w:pPr>
        <w:pStyle w:val="22"/>
        <w:tabs>
          <w:tab w:val="right" w:leader="dot" w:pos="8302"/>
        </w:tabs>
        <w:rPr>
          <w:color w:val="000000"/>
        </w:rPr>
      </w:pPr>
      <w:r>
        <w:fldChar w:fldCharType="begin"/>
      </w:r>
      <w:r>
        <w:instrText xml:space="preserve"> HYPERLINK \l "_Toc27444" </w:instrText>
      </w:r>
      <w:r>
        <w:fldChar w:fldCharType="separate"/>
      </w:r>
      <w:r>
        <w:rPr>
          <w:rFonts w:eastAsia="黑体"/>
          <w:bCs/>
          <w:color w:val="000000"/>
          <w:szCs w:val="24"/>
        </w:rPr>
        <w:t>7.11  吊顶工程</w:t>
      </w:r>
      <w:r>
        <w:rPr>
          <w:color w:val="000000"/>
        </w:rPr>
        <w:tab/>
      </w:r>
      <w:r>
        <w:rPr>
          <w:color w:val="000000"/>
        </w:rPr>
        <w:fldChar w:fldCharType="begin"/>
      </w:r>
      <w:r>
        <w:rPr>
          <w:color w:val="000000"/>
        </w:rPr>
        <w:instrText xml:space="preserve"> PAGEREF _Toc27444 \h </w:instrText>
      </w:r>
      <w:r>
        <w:rPr>
          <w:color w:val="000000"/>
        </w:rPr>
        <w:fldChar w:fldCharType="separate"/>
      </w:r>
      <w:r>
        <w:rPr>
          <w:color w:val="000000"/>
        </w:rPr>
        <w:t>107</w:t>
      </w:r>
      <w:r>
        <w:rPr>
          <w:color w:val="000000"/>
        </w:rPr>
        <w:fldChar w:fldCharType="end"/>
      </w:r>
      <w:r>
        <w:rPr>
          <w:color w:val="000000"/>
        </w:rPr>
        <w:fldChar w:fldCharType="end"/>
      </w:r>
    </w:p>
    <w:p w14:paraId="3888A944">
      <w:pPr>
        <w:pStyle w:val="22"/>
        <w:tabs>
          <w:tab w:val="right" w:leader="dot" w:pos="8302"/>
        </w:tabs>
        <w:rPr>
          <w:color w:val="000000"/>
        </w:rPr>
      </w:pPr>
      <w:r>
        <w:fldChar w:fldCharType="begin"/>
      </w:r>
      <w:r>
        <w:instrText xml:space="preserve"> HYPERLINK \l "_Toc13777" </w:instrText>
      </w:r>
      <w:r>
        <w:fldChar w:fldCharType="separate"/>
      </w:r>
      <w:r>
        <w:rPr>
          <w:rFonts w:eastAsia="黑体"/>
          <w:bCs/>
          <w:color w:val="000000"/>
          <w:szCs w:val="24"/>
        </w:rPr>
        <w:t>7.12  轻质隔墙工程</w:t>
      </w:r>
      <w:r>
        <w:rPr>
          <w:color w:val="000000"/>
        </w:rPr>
        <w:tab/>
      </w:r>
      <w:r>
        <w:rPr>
          <w:color w:val="000000"/>
        </w:rPr>
        <w:fldChar w:fldCharType="begin"/>
      </w:r>
      <w:r>
        <w:rPr>
          <w:color w:val="000000"/>
        </w:rPr>
        <w:instrText xml:space="preserve"> PAGEREF _Toc13777 \h </w:instrText>
      </w:r>
      <w:r>
        <w:rPr>
          <w:color w:val="000000"/>
        </w:rPr>
        <w:fldChar w:fldCharType="separate"/>
      </w:r>
      <w:r>
        <w:rPr>
          <w:color w:val="000000"/>
        </w:rPr>
        <w:t>107</w:t>
      </w:r>
      <w:r>
        <w:rPr>
          <w:color w:val="000000"/>
        </w:rPr>
        <w:fldChar w:fldCharType="end"/>
      </w:r>
      <w:r>
        <w:rPr>
          <w:color w:val="000000"/>
        </w:rPr>
        <w:fldChar w:fldCharType="end"/>
      </w:r>
    </w:p>
    <w:p w14:paraId="43BF6F08">
      <w:pPr>
        <w:pStyle w:val="22"/>
        <w:tabs>
          <w:tab w:val="right" w:leader="dot" w:pos="8302"/>
        </w:tabs>
        <w:rPr>
          <w:color w:val="000000"/>
        </w:rPr>
      </w:pPr>
      <w:r>
        <w:fldChar w:fldCharType="begin"/>
      </w:r>
      <w:r>
        <w:instrText xml:space="preserve"> HYPERLINK \l "_Toc5496" </w:instrText>
      </w:r>
      <w:r>
        <w:fldChar w:fldCharType="separate"/>
      </w:r>
      <w:r>
        <w:rPr>
          <w:rFonts w:eastAsia="黑体"/>
          <w:bCs/>
          <w:color w:val="000000"/>
          <w:szCs w:val="24"/>
        </w:rPr>
        <w:t>7.13  细部工程</w:t>
      </w:r>
      <w:r>
        <w:rPr>
          <w:color w:val="000000"/>
        </w:rPr>
        <w:tab/>
      </w:r>
      <w:r>
        <w:rPr>
          <w:color w:val="000000"/>
        </w:rPr>
        <w:fldChar w:fldCharType="begin"/>
      </w:r>
      <w:r>
        <w:rPr>
          <w:color w:val="000000"/>
        </w:rPr>
        <w:instrText xml:space="preserve"> PAGEREF _Toc5496 \h </w:instrText>
      </w:r>
      <w:r>
        <w:rPr>
          <w:color w:val="000000"/>
        </w:rPr>
        <w:fldChar w:fldCharType="separate"/>
      </w:r>
      <w:r>
        <w:rPr>
          <w:color w:val="000000"/>
        </w:rPr>
        <w:t>107</w:t>
      </w:r>
      <w:r>
        <w:rPr>
          <w:color w:val="000000"/>
        </w:rPr>
        <w:fldChar w:fldCharType="end"/>
      </w:r>
      <w:r>
        <w:rPr>
          <w:color w:val="000000"/>
        </w:rPr>
        <w:fldChar w:fldCharType="end"/>
      </w:r>
    </w:p>
    <w:p w14:paraId="288FF700">
      <w:pPr>
        <w:pStyle w:val="22"/>
        <w:tabs>
          <w:tab w:val="right" w:leader="dot" w:pos="8302"/>
        </w:tabs>
        <w:rPr>
          <w:color w:val="000000"/>
        </w:rPr>
      </w:pPr>
      <w:r>
        <w:fldChar w:fldCharType="begin"/>
      </w:r>
      <w:r>
        <w:instrText xml:space="preserve"> HYPERLINK \l "_Toc27004" </w:instrText>
      </w:r>
      <w:r>
        <w:fldChar w:fldCharType="separate"/>
      </w:r>
      <w:r>
        <w:rPr>
          <w:rFonts w:eastAsia="黑体"/>
          <w:color w:val="000000"/>
          <w:szCs w:val="24"/>
        </w:rPr>
        <w:t>7.1</w:t>
      </w:r>
      <w:r>
        <w:rPr>
          <w:rFonts w:hint="eastAsia" w:eastAsia="黑体"/>
          <w:color w:val="000000"/>
          <w:szCs w:val="24"/>
        </w:rPr>
        <w:t>4</w:t>
      </w:r>
      <w:r>
        <w:rPr>
          <w:rFonts w:eastAsia="黑体"/>
          <w:bCs/>
          <w:color w:val="000000"/>
          <w:szCs w:val="24"/>
        </w:rPr>
        <w:t xml:space="preserve">  无障碍设施</w:t>
      </w:r>
      <w:r>
        <w:rPr>
          <w:color w:val="000000"/>
        </w:rPr>
        <w:tab/>
      </w:r>
      <w:r>
        <w:rPr>
          <w:color w:val="000000"/>
        </w:rPr>
        <w:fldChar w:fldCharType="begin"/>
      </w:r>
      <w:r>
        <w:rPr>
          <w:color w:val="000000"/>
        </w:rPr>
        <w:instrText xml:space="preserve"> PAGEREF _Toc27004 \h </w:instrText>
      </w:r>
      <w:r>
        <w:rPr>
          <w:color w:val="000000"/>
        </w:rPr>
        <w:fldChar w:fldCharType="separate"/>
      </w:r>
      <w:r>
        <w:rPr>
          <w:color w:val="000000"/>
        </w:rPr>
        <w:t>107</w:t>
      </w:r>
      <w:r>
        <w:rPr>
          <w:color w:val="000000"/>
        </w:rPr>
        <w:fldChar w:fldCharType="end"/>
      </w:r>
      <w:r>
        <w:rPr>
          <w:color w:val="000000"/>
        </w:rPr>
        <w:fldChar w:fldCharType="end"/>
      </w:r>
    </w:p>
    <w:p w14:paraId="369BA163">
      <w:pPr>
        <w:pStyle w:val="22"/>
        <w:tabs>
          <w:tab w:val="right" w:leader="dot" w:pos="8302"/>
        </w:tabs>
        <w:rPr>
          <w:color w:val="000000"/>
        </w:rPr>
      </w:pPr>
      <w:r>
        <w:fldChar w:fldCharType="begin"/>
      </w:r>
      <w:r>
        <w:instrText xml:space="preserve"> HYPERLINK \l "_Toc16440" </w:instrText>
      </w:r>
      <w:r>
        <w:fldChar w:fldCharType="separate"/>
      </w:r>
      <w:r>
        <w:rPr>
          <w:rFonts w:hint="eastAsia" w:eastAsia="黑体"/>
          <w:color w:val="000000"/>
          <w:szCs w:val="24"/>
        </w:rPr>
        <w:t>7.15</w:t>
      </w:r>
      <w:r>
        <w:rPr>
          <w:rFonts w:hint="eastAsia" w:eastAsia="黑体"/>
          <w:bCs/>
          <w:color w:val="000000"/>
          <w:szCs w:val="24"/>
        </w:rPr>
        <w:t xml:space="preserve">  建筑防火</w:t>
      </w:r>
      <w:r>
        <w:rPr>
          <w:color w:val="000000"/>
        </w:rPr>
        <w:tab/>
      </w:r>
      <w:r>
        <w:rPr>
          <w:color w:val="000000"/>
        </w:rPr>
        <w:fldChar w:fldCharType="begin"/>
      </w:r>
      <w:r>
        <w:rPr>
          <w:color w:val="000000"/>
        </w:rPr>
        <w:instrText xml:space="preserve"> PAGEREF _Toc16440 \h </w:instrText>
      </w:r>
      <w:r>
        <w:rPr>
          <w:color w:val="000000"/>
        </w:rPr>
        <w:fldChar w:fldCharType="separate"/>
      </w:r>
      <w:r>
        <w:rPr>
          <w:color w:val="000000"/>
        </w:rPr>
        <w:t>108</w:t>
      </w:r>
      <w:r>
        <w:rPr>
          <w:color w:val="000000"/>
        </w:rPr>
        <w:fldChar w:fldCharType="end"/>
      </w:r>
      <w:r>
        <w:rPr>
          <w:color w:val="000000"/>
        </w:rPr>
        <w:fldChar w:fldCharType="end"/>
      </w:r>
    </w:p>
    <w:p w14:paraId="0943159D">
      <w:pPr>
        <w:pStyle w:val="22"/>
        <w:tabs>
          <w:tab w:val="right" w:leader="dot" w:pos="8302"/>
        </w:tabs>
        <w:rPr>
          <w:color w:val="000000"/>
        </w:rPr>
      </w:pPr>
      <w:r>
        <w:fldChar w:fldCharType="begin"/>
      </w:r>
      <w:r>
        <w:instrText xml:space="preserve"> HYPERLINK \l "_Toc149" </w:instrText>
      </w:r>
      <w:r>
        <w:fldChar w:fldCharType="separate"/>
      </w:r>
      <w:r>
        <w:rPr>
          <w:rFonts w:eastAsia="黑体"/>
          <w:color w:val="000000"/>
          <w:szCs w:val="24"/>
        </w:rPr>
        <w:t>7.1</w:t>
      </w:r>
      <w:r>
        <w:rPr>
          <w:rFonts w:hint="eastAsia" w:eastAsia="黑体"/>
          <w:color w:val="000000"/>
          <w:szCs w:val="24"/>
        </w:rPr>
        <w:t>6</w:t>
      </w:r>
      <w:r>
        <w:rPr>
          <w:rFonts w:eastAsia="黑体"/>
          <w:bCs/>
          <w:color w:val="000000"/>
          <w:szCs w:val="24"/>
        </w:rPr>
        <w:t xml:space="preserve">  装配式装修工程</w:t>
      </w:r>
      <w:r>
        <w:rPr>
          <w:color w:val="000000"/>
        </w:rPr>
        <w:tab/>
      </w:r>
      <w:r>
        <w:rPr>
          <w:color w:val="000000"/>
        </w:rPr>
        <w:fldChar w:fldCharType="begin"/>
      </w:r>
      <w:r>
        <w:rPr>
          <w:color w:val="000000"/>
        </w:rPr>
        <w:instrText xml:space="preserve"> PAGEREF _Toc149 \h </w:instrText>
      </w:r>
      <w:r>
        <w:rPr>
          <w:color w:val="000000"/>
        </w:rPr>
        <w:fldChar w:fldCharType="separate"/>
      </w:r>
      <w:r>
        <w:rPr>
          <w:color w:val="000000"/>
        </w:rPr>
        <w:t>108</w:t>
      </w:r>
      <w:r>
        <w:rPr>
          <w:color w:val="000000"/>
        </w:rPr>
        <w:fldChar w:fldCharType="end"/>
      </w:r>
      <w:r>
        <w:rPr>
          <w:color w:val="000000"/>
        </w:rPr>
        <w:fldChar w:fldCharType="end"/>
      </w:r>
    </w:p>
    <w:p w14:paraId="4D4A3B75">
      <w:pPr>
        <w:pStyle w:val="18"/>
        <w:tabs>
          <w:tab w:val="right" w:leader="dot" w:pos="8302"/>
        </w:tabs>
        <w:rPr>
          <w:color w:val="000000"/>
        </w:rPr>
      </w:pPr>
      <w:r>
        <w:fldChar w:fldCharType="begin"/>
      </w:r>
      <w:r>
        <w:instrText xml:space="preserve"> HYPERLINK \l "_Toc31485" </w:instrText>
      </w:r>
      <w:r>
        <w:fldChar w:fldCharType="separate"/>
      </w:r>
      <w:r>
        <w:rPr>
          <w:rFonts w:eastAsia="黑体"/>
          <w:color w:val="000000"/>
          <w:szCs w:val="28"/>
        </w:rPr>
        <w:t>8  建筑电气设备安装工程</w:t>
      </w:r>
      <w:r>
        <w:rPr>
          <w:color w:val="000000"/>
        </w:rPr>
        <w:tab/>
      </w:r>
      <w:r>
        <w:rPr>
          <w:color w:val="000000"/>
        </w:rPr>
        <w:fldChar w:fldCharType="begin"/>
      </w:r>
      <w:r>
        <w:rPr>
          <w:color w:val="000000"/>
        </w:rPr>
        <w:instrText xml:space="preserve"> PAGEREF _Toc31485 \h </w:instrText>
      </w:r>
      <w:r>
        <w:rPr>
          <w:color w:val="000000"/>
        </w:rPr>
        <w:fldChar w:fldCharType="separate"/>
      </w:r>
      <w:r>
        <w:rPr>
          <w:color w:val="000000"/>
        </w:rPr>
        <w:t>109</w:t>
      </w:r>
      <w:r>
        <w:rPr>
          <w:color w:val="000000"/>
        </w:rPr>
        <w:fldChar w:fldCharType="end"/>
      </w:r>
      <w:r>
        <w:rPr>
          <w:color w:val="000000"/>
        </w:rPr>
        <w:fldChar w:fldCharType="end"/>
      </w:r>
    </w:p>
    <w:p w14:paraId="29C696ED">
      <w:pPr>
        <w:pStyle w:val="22"/>
        <w:tabs>
          <w:tab w:val="right" w:leader="dot" w:pos="8302"/>
        </w:tabs>
        <w:rPr>
          <w:color w:val="000000"/>
        </w:rPr>
      </w:pPr>
      <w:r>
        <w:fldChar w:fldCharType="begin"/>
      </w:r>
      <w:r>
        <w:instrText xml:space="preserve"> HYPERLINK \l "_Toc32186" </w:instrText>
      </w:r>
      <w:r>
        <w:fldChar w:fldCharType="separate"/>
      </w:r>
      <w:r>
        <w:rPr>
          <w:rFonts w:eastAsia="黑体"/>
          <w:bCs/>
          <w:color w:val="000000"/>
          <w:szCs w:val="24"/>
        </w:rPr>
        <w:t>8.1</w:t>
      </w:r>
      <w:r>
        <w:rPr>
          <w:rFonts w:hint="eastAsia" w:eastAsia="黑体"/>
          <w:bCs/>
          <w:color w:val="000000"/>
          <w:szCs w:val="24"/>
        </w:rPr>
        <w:t xml:space="preserve">  一</w:t>
      </w:r>
      <w:r>
        <w:rPr>
          <w:rFonts w:eastAsia="黑体"/>
          <w:bCs/>
          <w:color w:val="000000"/>
          <w:szCs w:val="24"/>
        </w:rPr>
        <w:t>般规定</w:t>
      </w:r>
      <w:r>
        <w:rPr>
          <w:color w:val="000000"/>
        </w:rPr>
        <w:tab/>
      </w:r>
      <w:r>
        <w:rPr>
          <w:color w:val="000000"/>
        </w:rPr>
        <w:fldChar w:fldCharType="begin"/>
      </w:r>
      <w:r>
        <w:rPr>
          <w:color w:val="000000"/>
        </w:rPr>
        <w:instrText xml:space="preserve"> PAGEREF _Toc32186 \h </w:instrText>
      </w:r>
      <w:r>
        <w:rPr>
          <w:color w:val="000000"/>
        </w:rPr>
        <w:fldChar w:fldCharType="separate"/>
      </w:r>
      <w:r>
        <w:rPr>
          <w:color w:val="000000"/>
        </w:rPr>
        <w:t>109</w:t>
      </w:r>
      <w:r>
        <w:rPr>
          <w:color w:val="000000"/>
        </w:rPr>
        <w:fldChar w:fldCharType="end"/>
      </w:r>
      <w:r>
        <w:rPr>
          <w:color w:val="000000"/>
        </w:rPr>
        <w:fldChar w:fldCharType="end"/>
      </w:r>
    </w:p>
    <w:p w14:paraId="4996F6E4">
      <w:pPr>
        <w:pStyle w:val="22"/>
        <w:tabs>
          <w:tab w:val="right" w:leader="dot" w:pos="8302"/>
        </w:tabs>
        <w:rPr>
          <w:color w:val="000000"/>
        </w:rPr>
      </w:pPr>
      <w:r>
        <w:fldChar w:fldCharType="begin"/>
      </w:r>
      <w:r>
        <w:instrText xml:space="preserve"> HYPERLINK \l "_Toc29270" </w:instrText>
      </w:r>
      <w:r>
        <w:fldChar w:fldCharType="separate"/>
      </w:r>
      <w:r>
        <w:rPr>
          <w:rFonts w:eastAsia="黑体"/>
          <w:bCs/>
          <w:color w:val="000000"/>
          <w:szCs w:val="24"/>
        </w:rPr>
        <w:t>8.2  建筑电气设备安装工程</w:t>
      </w:r>
      <w:r>
        <w:rPr>
          <w:color w:val="000000"/>
        </w:rPr>
        <w:tab/>
      </w:r>
      <w:r>
        <w:rPr>
          <w:color w:val="000000"/>
        </w:rPr>
        <w:fldChar w:fldCharType="begin"/>
      </w:r>
      <w:r>
        <w:rPr>
          <w:color w:val="000000"/>
        </w:rPr>
        <w:instrText xml:space="preserve"> PAGEREF _Toc29270 \h </w:instrText>
      </w:r>
      <w:r>
        <w:rPr>
          <w:color w:val="000000"/>
        </w:rPr>
        <w:fldChar w:fldCharType="separate"/>
      </w:r>
      <w:r>
        <w:rPr>
          <w:color w:val="000000"/>
        </w:rPr>
        <w:t>110</w:t>
      </w:r>
      <w:r>
        <w:rPr>
          <w:color w:val="000000"/>
        </w:rPr>
        <w:fldChar w:fldCharType="end"/>
      </w:r>
      <w:r>
        <w:rPr>
          <w:color w:val="000000"/>
        </w:rPr>
        <w:fldChar w:fldCharType="end"/>
      </w:r>
    </w:p>
    <w:p w14:paraId="1C1A1C8C">
      <w:pPr>
        <w:pStyle w:val="22"/>
        <w:tabs>
          <w:tab w:val="right" w:leader="dot" w:pos="8302"/>
        </w:tabs>
        <w:rPr>
          <w:color w:val="000000"/>
        </w:rPr>
      </w:pPr>
      <w:r>
        <w:fldChar w:fldCharType="begin"/>
      </w:r>
      <w:r>
        <w:instrText xml:space="preserve"> HYPERLINK \l "_Toc26108" </w:instrText>
      </w:r>
      <w:r>
        <w:fldChar w:fldCharType="separate"/>
      </w:r>
      <w:r>
        <w:rPr>
          <w:rFonts w:eastAsia="黑体"/>
          <w:bCs/>
          <w:color w:val="000000"/>
          <w:szCs w:val="24"/>
        </w:rPr>
        <w:t xml:space="preserve">8.3 </w:t>
      </w:r>
      <w:r>
        <w:rPr>
          <w:rFonts w:hint="eastAsia" w:eastAsia="黑体"/>
          <w:bCs/>
          <w:color w:val="000000"/>
          <w:szCs w:val="24"/>
        </w:rPr>
        <w:t xml:space="preserve"> </w:t>
      </w:r>
      <w:r>
        <w:rPr>
          <w:rFonts w:eastAsia="黑体"/>
          <w:bCs/>
          <w:color w:val="000000"/>
          <w:szCs w:val="24"/>
        </w:rPr>
        <w:t>智能建筑工程</w:t>
      </w:r>
      <w:r>
        <w:rPr>
          <w:color w:val="000000"/>
        </w:rPr>
        <w:tab/>
      </w:r>
      <w:r>
        <w:rPr>
          <w:color w:val="000000"/>
        </w:rPr>
        <w:fldChar w:fldCharType="begin"/>
      </w:r>
      <w:r>
        <w:rPr>
          <w:color w:val="000000"/>
        </w:rPr>
        <w:instrText xml:space="preserve"> PAGEREF _Toc26108 \h </w:instrText>
      </w:r>
      <w:r>
        <w:rPr>
          <w:color w:val="000000"/>
        </w:rPr>
        <w:fldChar w:fldCharType="separate"/>
      </w:r>
      <w:r>
        <w:rPr>
          <w:color w:val="000000"/>
        </w:rPr>
        <w:t>112</w:t>
      </w:r>
      <w:r>
        <w:rPr>
          <w:color w:val="000000"/>
        </w:rPr>
        <w:fldChar w:fldCharType="end"/>
      </w:r>
      <w:r>
        <w:rPr>
          <w:color w:val="000000"/>
        </w:rPr>
        <w:fldChar w:fldCharType="end"/>
      </w:r>
    </w:p>
    <w:p w14:paraId="7603A04C">
      <w:pPr>
        <w:pStyle w:val="22"/>
        <w:tabs>
          <w:tab w:val="right" w:leader="dot" w:pos="8302"/>
        </w:tabs>
        <w:rPr>
          <w:color w:val="000000"/>
        </w:rPr>
      </w:pPr>
      <w:r>
        <w:fldChar w:fldCharType="begin"/>
      </w:r>
      <w:r>
        <w:instrText xml:space="preserve"> HYPERLINK \l "_Toc32453" </w:instrText>
      </w:r>
      <w:r>
        <w:fldChar w:fldCharType="separate"/>
      </w:r>
      <w:r>
        <w:rPr>
          <w:rFonts w:eastAsia="黑体"/>
          <w:bCs/>
          <w:color w:val="000000"/>
          <w:szCs w:val="24"/>
        </w:rPr>
        <w:t>8.4  电梯安装工程</w:t>
      </w:r>
      <w:r>
        <w:rPr>
          <w:color w:val="000000"/>
        </w:rPr>
        <w:tab/>
      </w:r>
      <w:r>
        <w:rPr>
          <w:color w:val="000000"/>
        </w:rPr>
        <w:fldChar w:fldCharType="begin"/>
      </w:r>
      <w:r>
        <w:rPr>
          <w:color w:val="000000"/>
        </w:rPr>
        <w:instrText xml:space="preserve"> PAGEREF _Toc32453 \h </w:instrText>
      </w:r>
      <w:r>
        <w:rPr>
          <w:color w:val="000000"/>
        </w:rPr>
        <w:fldChar w:fldCharType="separate"/>
      </w:r>
      <w:r>
        <w:rPr>
          <w:color w:val="000000"/>
        </w:rPr>
        <w:t>113</w:t>
      </w:r>
      <w:r>
        <w:rPr>
          <w:color w:val="000000"/>
        </w:rPr>
        <w:fldChar w:fldCharType="end"/>
      </w:r>
      <w:r>
        <w:rPr>
          <w:color w:val="000000"/>
        </w:rPr>
        <w:fldChar w:fldCharType="end"/>
      </w:r>
    </w:p>
    <w:p w14:paraId="57DC6F61">
      <w:pPr>
        <w:pStyle w:val="18"/>
        <w:tabs>
          <w:tab w:val="right" w:leader="dot" w:pos="8302"/>
        </w:tabs>
        <w:rPr>
          <w:color w:val="000000"/>
        </w:rPr>
      </w:pPr>
      <w:r>
        <w:fldChar w:fldCharType="begin"/>
      </w:r>
      <w:r>
        <w:instrText xml:space="preserve"> HYPERLINK \l "_Toc24745" </w:instrText>
      </w:r>
      <w:r>
        <w:fldChar w:fldCharType="separate"/>
      </w:r>
      <w:r>
        <w:rPr>
          <w:rFonts w:eastAsia="黑体"/>
          <w:color w:val="000000"/>
          <w:szCs w:val="28"/>
        </w:rPr>
        <w:t>9  建筑设备安装工程</w:t>
      </w:r>
      <w:r>
        <w:rPr>
          <w:color w:val="000000"/>
        </w:rPr>
        <w:tab/>
      </w:r>
      <w:r>
        <w:rPr>
          <w:color w:val="000000"/>
        </w:rPr>
        <w:fldChar w:fldCharType="begin"/>
      </w:r>
      <w:r>
        <w:rPr>
          <w:color w:val="000000"/>
        </w:rPr>
        <w:instrText xml:space="preserve"> PAGEREF _Toc24745 \h </w:instrText>
      </w:r>
      <w:r>
        <w:rPr>
          <w:color w:val="000000"/>
        </w:rPr>
        <w:fldChar w:fldCharType="separate"/>
      </w:r>
      <w:r>
        <w:rPr>
          <w:color w:val="000000"/>
        </w:rPr>
        <w:t>113</w:t>
      </w:r>
      <w:r>
        <w:rPr>
          <w:color w:val="000000"/>
        </w:rPr>
        <w:fldChar w:fldCharType="end"/>
      </w:r>
      <w:r>
        <w:rPr>
          <w:color w:val="000000"/>
        </w:rPr>
        <w:fldChar w:fldCharType="end"/>
      </w:r>
    </w:p>
    <w:p w14:paraId="719F69F8">
      <w:pPr>
        <w:pStyle w:val="22"/>
        <w:tabs>
          <w:tab w:val="right" w:leader="dot" w:pos="8302"/>
        </w:tabs>
        <w:rPr>
          <w:color w:val="000000"/>
        </w:rPr>
      </w:pPr>
      <w:r>
        <w:fldChar w:fldCharType="begin"/>
      </w:r>
      <w:r>
        <w:instrText xml:space="preserve"> HYPERLINK \l "_Toc24560" </w:instrText>
      </w:r>
      <w:r>
        <w:fldChar w:fldCharType="separate"/>
      </w:r>
      <w:r>
        <w:rPr>
          <w:rFonts w:eastAsia="黑体"/>
          <w:bCs/>
          <w:color w:val="000000"/>
          <w:szCs w:val="24"/>
        </w:rPr>
        <w:t>9.1</w:t>
      </w:r>
      <w:r>
        <w:rPr>
          <w:rFonts w:hint="eastAsia" w:eastAsia="黑体"/>
          <w:bCs/>
          <w:color w:val="000000"/>
          <w:szCs w:val="24"/>
        </w:rPr>
        <w:t xml:space="preserve">  </w:t>
      </w:r>
      <w:r>
        <w:rPr>
          <w:rFonts w:eastAsia="黑体"/>
          <w:bCs/>
          <w:color w:val="000000"/>
          <w:szCs w:val="24"/>
        </w:rPr>
        <w:t>一般规定</w:t>
      </w:r>
      <w:r>
        <w:rPr>
          <w:color w:val="000000"/>
        </w:rPr>
        <w:tab/>
      </w:r>
      <w:r>
        <w:rPr>
          <w:color w:val="000000"/>
        </w:rPr>
        <w:fldChar w:fldCharType="begin"/>
      </w:r>
      <w:r>
        <w:rPr>
          <w:color w:val="000000"/>
        </w:rPr>
        <w:instrText xml:space="preserve"> PAGEREF _Toc24560 \h </w:instrText>
      </w:r>
      <w:r>
        <w:rPr>
          <w:color w:val="000000"/>
        </w:rPr>
        <w:fldChar w:fldCharType="separate"/>
      </w:r>
      <w:r>
        <w:rPr>
          <w:color w:val="000000"/>
        </w:rPr>
        <w:t>113</w:t>
      </w:r>
      <w:r>
        <w:rPr>
          <w:color w:val="000000"/>
        </w:rPr>
        <w:fldChar w:fldCharType="end"/>
      </w:r>
      <w:r>
        <w:rPr>
          <w:color w:val="000000"/>
        </w:rPr>
        <w:fldChar w:fldCharType="end"/>
      </w:r>
    </w:p>
    <w:p w14:paraId="72C1F0A0">
      <w:pPr>
        <w:pStyle w:val="22"/>
        <w:tabs>
          <w:tab w:val="right" w:leader="dot" w:pos="8302"/>
        </w:tabs>
        <w:rPr>
          <w:color w:val="000000"/>
        </w:rPr>
      </w:pPr>
      <w:r>
        <w:fldChar w:fldCharType="begin"/>
      </w:r>
      <w:r>
        <w:instrText xml:space="preserve"> HYPERLINK \l "_Toc13872" </w:instrText>
      </w:r>
      <w:r>
        <w:fldChar w:fldCharType="separate"/>
      </w:r>
      <w:r>
        <w:rPr>
          <w:rFonts w:eastAsia="黑体"/>
          <w:color w:val="000000"/>
          <w:szCs w:val="24"/>
        </w:rPr>
        <w:t>9.2</w:t>
      </w:r>
      <w:r>
        <w:rPr>
          <w:rFonts w:eastAsia="黑体"/>
          <w:bCs/>
          <w:color w:val="000000"/>
          <w:szCs w:val="24"/>
        </w:rPr>
        <w:t xml:space="preserve"> </w:t>
      </w:r>
      <w:r>
        <w:rPr>
          <w:rFonts w:hint="eastAsia" w:eastAsia="黑体"/>
          <w:bCs/>
          <w:color w:val="000000"/>
          <w:szCs w:val="24"/>
        </w:rPr>
        <w:t xml:space="preserve"> </w:t>
      </w:r>
      <w:r>
        <w:rPr>
          <w:rFonts w:eastAsia="黑体"/>
          <w:bCs/>
          <w:color w:val="000000"/>
          <w:szCs w:val="24"/>
        </w:rPr>
        <w:t>建筑给水</w:t>
      </w:r>
      <w:r>
        <w:rPr>
          <w:rFonts w:hint="eastAsia" w:eastAsia="黑体"/>
          <w:bCs/>
          <w:color w:val="000000"/>
          <w:szCs w:val="24"/>
        </w:rPr>
        <w:t>、</w:t>
      </w:r>
      <w:r>
        <w:rPr>
          <w:rFonts w:eastAsia="黑体"/>
          <w:bCs/>
          <w:color w:val="000000"/>
          <w:szCs w:val="24"/>
        </w:rPr>
        <w:t>排水工程</w:t>
      </w:r>
      <w:r>
        <w:rPr>
          <w:color w:val="000000"/>
        </w:rPr>
        <w:tab/>
      </w:r>
      <w:r>
        <w:rPr>
          <w:color w:val="000000"/>
        </w:rPr>
        <w:fldChar w:fldCharType="begin"/>
      </w:r>
      <w:r>
        <w:rPr>
          <w:color w:val="000000"/>
        </w:rPr>
        <w:instrText xml:space="preserve"> PAGEREF _Toc13872 \h </w:instrText>
      </w:r>
      <w:r>
        <w:rPr>
          <w:color w:val="000000"/>
        </w:rPr>
        <w:fldChar w:fldCharType="separate"/>
      </w:r>
      <w:r>
        <w:rPr>
          <w:color w:val="000000"/>
        </w:rPr>
        <w:t>115</w:t>
      </w:r>
      <w:r>
        <w:rPr>
          <w:color w:val="000000"/>
        </w:rPr>
        <w:fldChar w:fldCharType="end"/>
      </w:r>
      <w:r>
        <w:rPr>
          <w:color w:val="000000"/>
        </w:rPr>
        <w:fldChar w:fldCharType="end"/>
      </w:r>
    </w:p>
    <w:p w14:paraId="0D4A5CDA">
      <w:pPr>
        <w:pStyle w:val="22"/>
        <w:tabs>
          <w:tab w:val="right" w:leader="dot" w:pos="8302"/>
        </w:tabs>
        <w:rPr>
          <w:color w:val="000000"/>
        </w:rPr>
      </w:pPr>
      <w:r>
        <w:fldChar w:fldCharType="begin"/>
      </w:r>
      <w:r>
        <w:instrText xml:space="preserve"> HYPERLINK \l "_Toc11878" </w:instrText>
      </w:r>
      <w:r>
        <w:fldChar w:fldCharType="separate"/>
      </w:r>
      <w:r>
        <w:rPr>
          <w:rFonts w:eastAsia="黑体"/>
          <w:color w:val="000000"/>
          <w:szCs w:val="24"/>
        </w:rPr>
        <w:t>9.3</w:t>
      </w:r>
      <w:r>
        <w:rPr>
          <w:rFonts w:hint="eastAsia" w:eastAsia="黑体"/>
          <w:bCs/>
          <w:color w:val="000000"/>
          <w:szCs w:val="24"/>
        </w:rPr>
        <w:t xml:space="preserve">  </w:t>
      </w:r>
      <w:r>
        <w:rPr>
          <w:rFonts w:eastAsia="黑体"/>
          <w:bCs/>
          <w:color w:val="000000"/>
          <w:szCs w:val="24"/>
        </w:rPr>
        <w:t>供暖及通风、空调工程</w:t>
      </w:r>
      <w:r>
        <w:rPr>
          <w:color w:val="000000"/>
        </w:rPr>
        <w:tab/>
      </w:r>
      <w:r>
        <w:rPr>
          <w:color w:val="000000"/>
        </w:rPr>
        <w:fldChar w:fldCharType="begin"/>
      </w:r>
      <w:r>
        <w:rPr>
          <w:color w:val="000000"/>
        </w:rPr>
        <w:instrText xml:space="preserve"> PAGEREF _Toc11878 \h </w:instrText>
      </w:r>
      <w:r>
        <w:rPr>
          <w:color w:val="000000"/>
        </w:rPr>
        <w:fldChar w:fldCharType="separate"/>
      </w:r>
      <w:r>
        <w:rPr>
          <w:color w:val="000000"/>
        </w:rPr>
        <w:t>115</w:t>
      </w:r>
      <w:r>
        <w:rPr>
          <w:color w:val="000000"/>
        </w:rPr>
        <w:fldChar w:fldCharType="end"/>
      </w:r>
      <w:r>
        <w:rPr>
          <w:color w:val="000000"/>
        </w:rPr>
        <w:fldChar w:fldCharType="end"/>
      </w:r>
    </w:p>
    <w:p w14:paraId="34FDE1D6">
      <w:pPr>
        <w:pStyle w:val="22"/>
        <w:tabs>
          <w:tab w:val="right" w:leader="dot" w:pos="8302"/>
        </w:tabs>
        <w:rPr>
          <w:color w:val="000000"/>
        </w:rPr>
      </w:pPr>
      <w:r>
        <w:fldChar w:fldCharType="begin"/>
      </w:r>
      <w:r>
        <w:instrText xml:space="preserve"> HYPERLINK \l "_Toc12119" </w:instrText>
      </w:r>
      <w:r>
        <w:fldChar w:fldCharType="separate"/>
      </w:r>
      <w:r>
        <w:rPr>
          <w:rFonts w:eastAsia="黑体"/>
          <w:color w:val="000000"/>
          <w:szCs w:val="24"/>
        </w:rPr>
        <w:t xml:space="preserve">9.4 </w:t>
      </w:r>
      <w:r>
        <w:rPr>
          <w:rFonts w:hint="eastAsia" w:eastAsia="黑体"/>
          <w:color w:val="000000"/>
          <w:szCs w:val="24"/>
        </w:rPr>
        <w:t xml:space="preserve"> 消防</w:t>
      </w:r>
      <w:r>
        <w:rPr>
          <w:rFonts w:eastAsia="黑体"/>
          <w:color w:val="000000"/>
          <w:szCs w:val="24"/>
        </w:rPr>
        <w:t>工程</w:t>
      </w:r>
      <w:r>
        <w:rPr>
          <w:color w:val="000000"/>
        </w:rPr>
        <w:tab/>
      </w:r>
      <w:r>
        <w:rPr>
          <w:color w:val="000000"/>
        </w:rPr>
        <w:fldChar w:fldCharType="begin"/>
      </w:r>
      <w:r>
        <w:rPr>
          <w:color w:val="000000"/>
        </w:rPr>
        <w:instrText xml:space="preserve"> PAGEREF _Toc12119 \h </w:instrText>
      </w:r>
      <w:r>
        <w:rPr>
          <w:color w:val="000000"/>
        </w:rPr>
        <w:fldChar w:fldCharType="separate"/>
      </w:r>
      <w:r>
        <w:rPr>
          <w:color w:val="000000"/>
        </w:rPr>
        <w:t>117</w:t>
      </w:r>
      <w:r>
        <w:rPr>
          <w:color w:val="000000"/>
        </w:rPr>
        <w:fldChar w:fldCharType="end"/>
      </w:r>
      <w:r>
        <w:rPr>
          <w:color w:val="000000"/>
        </w:rPr>
        <w:fldChar w:fldCharType="end"/>
      </w:r>
    </w:p>
    <w:p w14:paraId="46BF83DA">
      <w:pPr>
        <w:pStyle w:val="22"/>
        <w:tabs>
          <w:tab w:val="right" w:leader="dot" w:pos="8302"/>
        </w:tabs>
        <w:rPr>
          <w:color w:val="000000"/>
        </w:rPr>
      </w:pPr>
      <w:r>
        <w:fldChar w:fldCharType="begin"/>
      </w:r>
      <w:r>
        <w:instrText xml:space="preserve"> HYPERLINK \l "_Toc8312" </w:instrText>
      </w:r>
      <w:r>
        <w:fldChar w:fldCharType="separate"/>
      </w:r>
      <w:r>
        <w:rPr>
          <w:rFonts w:eastAsia="黑体"/>
          <w:color w:val="000000"/>
          <w:szCs w:val="24"/>
        </w:rPr>
        <w:t>9.</w:t>
      </w:r>
      <w:r>
        <w:rPr>
          <w:rFonts w:hint="eastAsia" w:eastAsia="黑体"/>
          <w:color w:val="000000"/>
          <w:szCs w:val="24"/>
        </w:rPr>
        <w:t>5</w:t>
      </w:r>
      <w:r>
        <w:rPr>
          <w:rFonts w:eastAsia="黑体"/>
          <w:bCs/>
          <w:color w:val="000000"/>
          <w:szCs w:val="24"/>
        </w:rPr>
        <w:t xml:space="preserve"> </w:t>
      </w:r>
      <w:r>
        <w:rPr>
          <w:bCs/>
          <w:color w:val="000000"/>
          <w:szCs w:val="24"/>
        </w:rPr>
        <w:t xml:space="preserve"> </w:t>
      </w:r>
      <w:r>
        <w:rPr>
          <w:rFonts w:eastAsia="黑体"/>
          <w:bCs/>
          <w:color w:val="000000"/>
          <w:szCs w:val="24"/>
        </w:rPr>
        <w:t>燃气管道及设备安装工程</w:t>
      </w:r>
      <w:r>
        <w:rPr>
          <w:color w:val="000000"/>
        </w:rPr>
        <w:tab/>
      </w:r>
      <w:r>
        <w:rPr>
          <w:color w:val="000000"/>
        </w:rPr>
        <w:fldChar w:fldCharType="begin"/>
      </w:r>
      <w:r>
        <w:rPr>
          <w:color w:val="000000"/>
        </w:rPr>
        <w:instrText xml:space="preserve"> PAGEREF _Toc8312 \h </w:instrText>
      </w:r>
      <w:r>
        <w:rPr>
          <w:color w:val="000000"/>
        </w:rPr>
        <w:fldChar w:fldCharType="separate"/>
      </w:r>
      <w:r>
        <w:rPr>
          <w:color w:val="000000"/>
        </w:rPr>
        <w:t>117</w:t>
      </w:r>
      <w:r>
        <w:rPr>
          <w:color w:val="000000"/>
        </w:rPr>
        <w:fldChar w:fldCharType="end"/>
      </w:r>
      <w:r>
        <w:rPr>
          <w:color w:val="000000"/>
        </w:rPr>
        <w:fldChar w:fldCharType="end"/>
      </w:r>
    </w:p>
    <w:p w14:paraId="390C50CD">
      <w:pPr>
        <w:pStyle w:val="18"/>
        <w:tabs>
          <w:tab w:val="right" w:leader="dot" w:pos="8302"/>
        </w:tabs>
        <w:rPr>
          <w:color w:val="000000"/>
        </w:rPr>
      </w:pPr>
      <w:r>
        <w:fldChar w:fldCharType="begin"/>
      </w:r>
      <w:r>
        <w:instrText xml:space="preserve"> HYPERLINK \l "_Toc7980" </w:instrText>
      </w:r>
      <w:r>
        <w:fldChar w:fldCharType="separate"/>
      </w:r>
      <w:r>
        <w:rPr>
          <w:rFonts w:hint="eastAsia" w:eastAsia="黑体"/>
          <w:bCs/>
          <w:color w:val="000000"/>
          <w:szCs w:val="28"/>
        </w:rPr>
        <w:t>10</w:t>
      </w:r>
      <w:r>
        <w:rPr>
          <w:rFonts w:hint="eastAsia" w:eastAsia="黑体"/>
          <w:color w:val="000000"/>
          <w:szCs w:val="28"/>
        </w:rPr>
        <w:t xml:space="preserve">  改造工程</w:t>
      </w:r>
      <w:r>
        <w:rPr>
          <w:color w:val="000000"/>
        </w:rPr>
        <w:tab/>
      </w:r>
      <w:r>
        <w:rPr>
          <w:color w:val="000000"/>
        </w:rPr>
        <w:fldChar w:fldCharType="begin"/>
      </w:r>
      <w:r>
        <w:rPr>
          <w:color w:val="000000"/>
        </w:rPr>
        <w:instrText xml:space="preserve"> PAGEREF _Toc7980 \h </w:instrText>
      </w:r>
      <w:r>
        <w:rPr>
          <w:color w:val="000000"/>
        </w:rPr>
        <w:fldChar w:fldCharType="separate"/>
      </w:r>
      <w:r>
        <w:rPr>
          <w:color w:val="000000"/>
        </w:rPr>
        <w:t>117</w:t>
      </w:r>
      <w:r>
        <w:rPr>
          <w:color w:val="000000"/>
        </w:rPr>
        <w:fldChar w:fldCharType="end"/>
      </w:r>
      <w:r>
        <w:rPr>
          <w:color w:val="000000"/>
        </w:rPr>
        <w:fldChar w:fldCharType="end"/>
      </w:r>
    </w:p>
    <w:p w14:paraId="12B9EB25">
      <w:pPr>
        <w:spacing w:line="400" w:lineRule="exact"/>
        <w:ind w:firstLine="420" w:firstLineChars="200"/>
        <w:jc w:val="center"/>
        <w:rPr>
          <w:b/>
          <w:color w:val="000000"/>
          <w:sz w:val="28"/>
          <w:szCs w:val="28"/>
        </w:rPr>
      </w:pPr>
      <w:r>
        <w:rPr>
          <w:color w:val="000000"/>
          <w:szCs w:val="28"/>
        </w:rPr>
        <w:fldChar w:fldCharType="end"/>
      </w:r>
    </w:p>
    <w:p w14:paraId="7B6C8495">
      <w:pPr>
        <w:spacing w:line="400" w:lineRule="exact"/>
        <w:ind w:firstLine="600" w:firstLineChars="200"/>
        <w:rPr>
          <w:color w:val="000000"/>
          <w:sz w:val="30"/>
          <w:szCs w:val="30"/>
        </w:rPr>
      </w:pPr>
    </w:p>
    <w:p w14:paraId="078B8F0A">
      <w:pPr>
        <w:pStyle w:val="3"/>
        <w:rPr>
          <w:rFonts w:ascii="Times New Roman" w:hAnsi="Times New Roman" w:eastAsia="黑体"/>
          <w:sz w:val="28"/>
          <w:szCs w:val="28"/>
        </w:rPr>
      </w:pPr>
      <w:r>
        <w:rPr>
          <w:rFonts w:ascii="Times New Roman" w:hAnsi="Times New Roman" w:eastAsia="黑体"/>
          <w:sz w:val="28"/>
          <w:szCs w:val="28"/>
          <w:lang w:val="en-US"/>
        </w:rPr>
        <w:br w:type="page"/>
      </w:r>
      <w:r>
        <w:rPr>
          <w:rFonts w:ascii="Times New Roman" w:hAnsi="Times New Roman" w:eastAsia="黑体"/>
          <w:sz w:val="28"/>
          <w:szCs w:val="28"/>
          <w:lang w:val="en-US"/>
        </w:rPr>
        <w:t xml:space="preserve">1  </w:t>
      </w:r>
      <w:r>
        <w:rPr>
          <w:rFonts w:ascii="Times New Roman" w:hAnsi="Times New Roman" w:eastAsia="黑体"/>
          <w:sz w:val="28"/>
          <w:szCs w:val="28"/>
        </w:rPr>
        <w:t>总  则</w:t>
      </w:r>
      <w:bookmarkEnd w:id="1133"/>
      <w:bookmarkEnd w:id="1134"/>
      <w:bookmarkEnd w:id="1135"/>
      <w:bookmarkEnd w:id="1136"/>
      <w:bookmarkEnd w:id="1137"/>
      <w:bookmarkEnd w:id="1138"/>
      <w:bookmarkEnd w:id="1139"/>
      <w:bookmarkEnd w:id="1140"/>
    </w:p>
    <w:p w14:paraId="63BFED71">
      <w:pPr>
        <w:spacing w:line="400" w:lineRule="exact"/>
        <w:rPr>
          <w:color w:val="000000"/>
          <w:szCs w:val="21"/>
        </w:rPr>
      </w:pPr>
      <w:r>
        <w:rPr>
          <w:b/>
          <w:color w:val="000000"/>
          <w:szCs w:val="21"/>
        </w:rPr>
        <w:t>1.0.1</w:t>
      </w:r>
      <w:r>
        <w:rPr>
          <w:color w:val="000000"/>
          <w:szCs w:val="21"/>
        </w:rPr>
        <w:t xml:space="preserve">  阐明编制本标准的主要目的，是统一北京市建筑长城杯工程质量评审的标准和评价方法，规范评审工作行为。</w:t>
      </w:r>
    </w:p>
    <w:p w14:paraId="43EF0788">
      <w:pPr>
        <w:spacing w:line="400" w:lineRule="exact"/>
        <w:rPr>
          <w:color w:val="000000"/>
          <w:szCs w:val="21"/>
        </w:rPr>
      </w:pPr>
      <w:r>
        <w:rPr>
          <w:b/>
          <w:color w:val="000000"/>
          <w:szCs w:val="21"/>
        </w:rPr>
        <w:t>1.0.2</w:t>
      </w:r>
      <w:r>
        <w:rPr>
          <w:color w:val="000000"/>
          <w:szCs w:val="21"/>
        </w:rPr>
        <w:t xml:space="preserve">  本条阐明本标准的适用范围。主要用于在北京市区域内建筑长城杯的</w:t>
      </w:r>
      <w:r>
        <w:rPr>
          <w:rFonts w:hint="eastAsia"/>
          <w:color w:val="000000"/>
          <w:szCs w:val="21"/>
        </w:rPr>
        <w:t>评审</w:t>
      </w:r>
      <w:r>
        <w:rPr>
          <w:color w:val="000000"/>
          <w:szCs w:val="21"/>
        </w:rPr>
        <w:t>，</w:t>
      </w:r>
      <w:r>
        <w:rPr>
          <w:rFonts w:hint="eastAsia"/>
          <w:color w:val="000000"/>
          <w:szCs w:val="21"/>
        </w:rPr>
        <w:t>会员单位施工的不满足申报要求的重点工程、涉密工程、外埠申报国家级质量奖的特殊工程</w:t>
      </w:r>
      <w:r>
        <w:rPr>
          <w:color w:val="000000"/>
          <w:szCs w:val="21"/>
        </w:rPr>
        <w:t>可参照本标准执行。</w:t>
      </w:r>
    </w:p>
    <w:p w14:paraId="5486103D">
      <w:pPr>
        <w:spacing w:line="400" w:lineRule="exact"/>
        <w:ind w:firstLine="3313" w:firstLineChars="1100"/>
        <w:rPr>
          <w:b/>
          <w:color w:val="000000"/>
          <w:sz w:val="30"/>
          <w:szCs w:val="30"/>
        </w:rPr>
      </w:pPr>
    </w:p>
    <w:p w14:paraId="0D6CFE82">
      <w:pPr>
        <w:pStyle w:val="3"/>
        <w:rPr>
          <w:rFonts w:ascii="Times New Roman" w:hAnsi="Times New Roman" w:eastAsia="黑体"/>
          <w:sz w:val="28"/>
          <w:szCs w:val="28"/>
          <w:lang w:val="en-US"/>
        </w:rPr>
      </w:pPr>
      <w:bookmarkStart w:id="1141" w:name="_Toc2649"/>
      <w:bookmarkStart w:id="1142" w:name="_Toc6014"/>
      <w:bookmarkStart w:id="1143" w:name="_Toc8784"/>
      <w:bookmarkStart w:id="1144" w:name="_Toc3134"/>
      <w:bookmarkStart w:id="1145" w:name="_Toc29814"/>
      <w:bookmarkStart w:id="1146" w:name="_Toc26832"/>
      <w:bookmarkStart w:id="1147" w:name="_Toc10878"/>
      <w:bookmarkStart w:id="1148" w:name="_Toc12260"/>
      <w:r>
        <w:rPr>
          <w:rFonts w:ascii="Times New Roman" w:hAnsi="Times New Roman" w:eastAsia="黑体"/>
          <w:sz w:val="28"/>
          <w:szCs w:val="28"/>
          <w:lang w:val="en-US"/>
        </w:rPr>
        <w:t>2  基本规定</w:t>
      </w:r>
      <w:bookmarkEnd w:id="1141"/>
      <w:bookmarkEnd w:id="1142"/>
      <w:bookmarkEnd w:id="1143"/>
      <w:bookmarkEnd w:id="1144"/>
      <w:bookmarkEnd w:id="1145"/>
      <w:bookmarkEnd w:id="1146"/>
      <w:bookmarkEnd w:id="1147"/>
      <w:bookmarkEnd w:id="1148"/>
    </w:p>
    <w:p w14:paraId="32190312">
      <w:pPr>
        <w:spacing w:line="400" w:lineRule="exact"/>
        <w:rPr>
          <w:color w:val="000000"/>
          <w:szCs w:val="21"/>
        </w:rPr>
      </w:pPr>
      <w:r>
        <w:rPr>
          <w:color w:val="000000"/>
          <w:szCs w:val="21"/>
        </w:rPr>
        <w:t xml:space="preserve">    本章基本规定，是对本标准实施原则的统一规定，其条款是评审建筑长城杯的必备条件，在建筑长城杯工程评价时起重要作用。</w:t>
      </w:r>
    </w:p>
    <w:p w14:paraId="30AD6D0B">
      <w:pPr>
        <w:spacing w:line="400" w:lineRule="exact"/>
        <w:rPr>
          <w:color w:val="000000"/>
          <w:szCs w:val="21"/>
        </w:rPr>
      </w:pPr>
      <w:r>
        <w:rPr>
          <w:b/>
          <w:color w:val="000000"/>
          <w:szCs w:val="21"/>
        </w:rPr>
        <w:t>2.0.</w:t>
      </w:r>
      <w:r>
        <w:rPr>
          <w:rFonts w:hint="eastAsia"/>
          <w:b/>
          <w:color w:val="000000"/>
          <w:szCs w:val="21"/>
        </w:rPr>
        <w:t>2</w:t>
      </w:r>
      <w:r>
        <w:rPr>
          <w:b/>
          <w:color w:val="000000"/>
          <w:szCs w:val="21"/>
        </w:rPr>
        <w:t xml:space="preserve">  </w:t>
      </w:r>
      <w:r>
        <w:rPr>
          <w:color w:val="000000"/>
          <w:szCs w:val="21"/>
        </w:rPr>
        <w:t>建筑长城杯工程，应以符合设计文件要求和国家及北京市有关技术规范、规程、标准的规定为基本条件。主要有：</w:t>
      </w:r>
    </w:p>
    <w:p w14:paraId="364E196F">
      <w:pPr>
        <w:spacing w:line="400" w:lineRule="exact"/>
        <w:ind w:firstLine="422" w:firstLineChars="200"/>
        <w:rPr>
          <w:color w:val="000000"/>
          <w:szCs w:val="21"/>
        </w:rPr>
      </w:pPr>
      <w:r>
        <w:rPr>
          <w:rFonts w:hint="eastAsia"/>
          <w:b/>
          <w:bCs/>
          <w:color w:val="000000"/>
          <w:szCs w:val="21"/>
        </w:rPr>
        <w:t>1</w:t>
      </w:r>
      <w:r>
        <w:rPr>
          <w:b/>
          <w:bCs/>
          <w:color w:val="000000"/>
          <w:szCs w:val="21"/>
        </w:rPr>
        <w:t xml:space="preserve">  </w:t>
      </w:r>
      <w:r>
        <w:rPr>
          <w:color w:val="000000"/>
          <w:szCs w:val="21"/>
        </w:rPr>
        <w:t>《建筑设计防火规范》GB 50016</w:t>
      </w:r>
    </w:p>
    <w:p w14:paraId="12051748">
      <w:pPr>
        <w:spacing w:line="400" w:lineRule="exact"/>
        <w:ind w:firstLine="422" w:firstLineChars="200"/>
        <w:rPr>
          <w:b/>
          <w:bCs/>
          <w:color w:val="000000"/>
          <w:szCs w:val="21"/>
        </w:rPr>
      </w:pPr>
      <w:r>
        <w:rPr>
          <w:rFonts w:hint="eastAsia"/>
          <w:b/>
          <w:bCs/>
          <w:color w:val="000000"/>
          <w:szCs w:val="21"/>
        </w:rPr>
        <w:t>2</w:t>
      </w:r>
      <w:r>
        <w:rPr>
          <w:b/>
          <w:bCs/>
          <w:color w:val="000000"/>
          <w:szCs w:val="21"/>
        </w:rPr>
        <w:t xml:space="preserve">  </w:t>
      </w:r>
      <w:r>
        <w:rPr>
          <w:color w:val="000000"/>
          <w:szCs w:val="21"/>
        </w:rPr>
        <w:t>《建筑物防雷设计规范》GB 50057</w:t>
      </w:r>
    </w:p>
    <w:p w14:paraId="52DBFE4C">
      <w:pPr>
        <w:spacing w:line="400" w:lineRule="exact"/>
        <w:ind w:firstLine="422" w:firstLineChars="200"/>
        <w:rPr>
          <w:b/>
          <w:bCs/>
          <w:color w:val="000000"/>
          <w:szCs w:val="21"/>
        </w:rPr>
      </w:pPr>
      <w:r>
        <w:rPr>
          <w:rFonts w:hint="eastAsia"/>
          <w:b/>
          <w:bCs/>
          <w:color w:val="000000"/>
          <w:szCs w:val="21"/>
        </w:rPr>
        <w:t>3</w:t>
      </w:r>
      <w:r>
        <w:rPr>
          <w:b/>
          <w:bCs/>
          <w:color w:val="000000"/>
          <w:szCs w:val="21"/>
        </w:rPr>
        <w:t xml:space="preserve">  </w:t>
      </w:r>
      <w:r>
        <w:rPr>
          <w:color w:val="000000"/>
          <w:szCs w:val="21"/>
        </w:rPr>
        <w:t>《住宅设计规范》GB 50096</w:t>
      </w:r>
    </w:p>
    <w:p w14:paraId="1972E28E">
      <w:pPr>
        <w:spacing w:line="400" w:lineRule="exact"/>
        <w:ind w:firstLine="422" w:firstLineChars="200"/>
        <w:rPr>
          <w:color w:val="000000"/>
          <w:szCs w:val="21"/>
        </w:rPr>
      </w:pPr>
      <w:r>
        <w:rPr>
          <w:rFonts w:hint="eastAsia"/>
          <w:b/>
          <w:bCs/>
          <w:color w:val="000000"/>
          <w:szCs w:val="21"/>
        </w:rPr>
        <w:t>4</w:t>
      </w:r>
      <w:r>
        <w:rPr>
          <w:b/>
          <w:bCs/>
          <w:color w:val="000000"/>
          <w:szCs w:val="21"/>
        </w:rPr>
        <w:t xml:space="preserve">  </w:t>
      </w:r>
      <w:r>
        <w:rPr>
          <w:color w:val="000000"/>
          <w:szCs w:val="21"/>
        </w:rPr>
        <w:t>《电气装置安装工程</w:t>
      </w:r>
      <w:r>
        <w:rPr>
          <w:rFonts w:hint="eastAsia"/>
          <w:color w:val="000000"/>
          <w:szCs w:val="21"/>
        </w:rPr>
        <w:t xml:space="preserve"> </w:t>
      </w:r>
      <w:r>
        <w:rPr>
          <w:color w:val="000000"/>
          <w:szCs w:val="21"/>
        </w:rPr>
        <w:t>电气设备交接试验标准》GB 50150</w:t>
      </w:r>
    </w:p>
    <w:p w14:paraId="76DBDD0B">
      <w:pPr>
        <w:spacing w:line="400" w:lineRule="exact"/>
        <w:ind w:firstLine="422" w:firstLineChars="200"/>
        <w:rPr>
          <w:color w:val="000000"/>
          <w:szCs w:val="21"/>
        </w:rPr>
      </w:pPr>
      <w:r>
        <w:rPr>
          <w:b/>
          <w:bCs/>
          <w:color w:val="000000"/>
          <w:szCs w:val="21"/>
        </w:rPr>
        <w:t xml:space="preserve">5  </w:t>
      </w:r>
      <w:r>
        <w:rPr>
          <w:color w:val="000000"/>
          <w:szCs w:val="21"/>
        </w:rPr>
        <w:t>《火灾自动报警系统施工及验收</w:t>
      </w:r>
      <w:r>
        <w:rPr>
          <w:rFonts w:hint="eastAsia"/>
          <w:color w:val="000000"/>
          <w:szCs w:val="21"/>
        </w:rPr>
        <w:t>标准</w:t>
      </w:r>
      <w:r>
        <w:rPr>
          <w:color w:val="000000"/>
          <w:szCs w:val="21"/>
        </w:rPr>
        <w:t>》GB 50166</w:t>
      </w:r>
    </w:p>
    <w:p w14:paraId="52951422">
      <w:pPr>
        <w:spacing w:line="400" w:lineRule="exact"/>
        <w:ind w:firstLine="422" w:firstLineChars="200"/>
        <w:rPr>
          <w:b/>
          <w:bCs/>
          <w:color w:val="000000"/>
          <w:szCs w:val="21"/>
        </w:rPr>
      </w:pPr>
      <w:r>
        <w:rPr>
          <w:b/>
          <w:bCs/>
          <w:color w:val="000000"/>
          <w:szCs w:val="21"/>
        </w:rPr>
        <w:t>6</w:t>
      </w:r>
      <w:r>
        <w:rPr>
          <w:rFonts w:hint="eastAsia"/>
          <w:color w:val="000000"/>
          <w:szCs w:val="21"/>
        </w:rPr>
        <w:t xml:space="preserve"> </w:t>
      </w:r>
      <w:r>
        <w:rPr>
          <w:color w:val="000000"/>
          <w:szCs w:val="21"/>
        </w:rPr>
        <w:t xml:space="preserve"> 《电气装置安装工程接地装置施工及验收规范》GB 50169</w:t>
      </w:r>
    </w:p>
    <w:p w14:paraId="5F3C0005">
      <w:pPr>
        <w:spacing w:line="400" w:lineRule="exact"/>
        <w:ind w:firstLine="422" w:firstLineChars="200"/>
        <w:rPr>
          <w:color w:val="000000"/>
          <w:szCs w:val="21"/>
        </w:rPr>
      </w:pPr>
      <w:r>
        <w:rPr>
          <w:rFonts w:hint="eastAsia"/>
          <w:b/>
          <w:bCs/>
          <w:color w:val="000000"/>
          <w:szCs w:val="21"/>
        </w:rPr>
        <w:t>7</w:t>
      </w:r>
      <w:r>
        <w:rPr>
          <w:b/>
          <w:bCs/>
          <w:color w:val="000000"/>
          <w:szCs w:val="21"/>
        </w:rPr>
        <w:t xml:space="preserve">  </w:t>
      </w:r>
      <w:r>
        <w:rPr>
          <w:color w:val="000000"/>
          <w:szCs w:val="21"/>
        </w:rPr>
        <w:t>《建筑地基基础工程施工质量验收</w:t>
      </w:r>
      <w:r>
        <w:rPr>
          <w:rFonts w:hint="eastAsia" w:ascii="宋体" w:hAnsi="宋体" w:cs="宋体"/>
          <w:bCs/>
          <w:color w:val="000000"/>
          <w:szCs w:val="21"/>
        </w:rPr>
        <w:t>标准</w:t>
      </w:r>
      <w:r>
        <w:rPr>
          <w:color w:val="000000"/>
          <w:szCs w:val="21"/>
        </w:rPr>
        <w:t>》GB 50202</w:t>
      </w:r>
    </w:p>
    <w:p w14:paraId="60A698DB">
      <w:pPr>
        <w:spacing w:line="400" w:lineRule="exact"/>
        <w:ind w:firstLine="422" w:firstLineChars="200"/>
        <w:rPr>
          <w:color w:val="000000"/>
          <w:szCs w:val="21"/>
        </w:rPr>
      </w:pPr>
      <w:r>
        <w:rPr>
          <w:rFonts w:hint="eastAsia"/>
          <w:b/>
          <w:bCs/>
          <w:color w:val="000000"/>
          <w:szCs w:val="21"/>
        </w:rPr>
        <w:t>8</w:t>
      </w:r>
      <w:r>
        <w:rPr>
          <w:b/>
          <w:bCs/>
          <w:color w:val="000000"/>
          <w:szCs w:val="21"/>
        </w:rPr>
        <w:t xml:space="preserve">  </w:t>
      </w:r>
      <w:r>
        <w:rPr>
          <w:color w:val="000000"/>
          <w:szCs w:val="21"/>
        </w:rPr>
        <w:t>《屋面工程质量验收规范》GB 50207</w:t>
      </w:r>
    </w:p>
    <w:p w14:paraId="01D93AAF">
      <w:pPr>
        <w:spacing w:line="400" w:lineRule="exact"/>
        <w:ind w:firstLine="422" w:firstLineChars="200"/>
        <w:rPr>
          <w:color w:val="000000"/>
          <w:szCs w:val="21"/>
        </w:rPr>
      </w:pPr>
      <w:r>
        <w:rPr>
          <w:b/>
          <w:bCs/>
          <w:color w:val="000000"/>
          <w:szCs w:val="21"/>
        </w:rPr>
        <w:t xml:space="preserve">9  </w:t>
      </w:r>
      <w:r>
        <w:rPr>
          <w:color w:val="000000"/>
          <w:szCs w:val="21"/>
        </w:rPr>
        <w:t>《建筑地面工程施工质量验收规范》GB 50209</w:t>
      </w:r>
    </w:p>
    <w:p w14:paraId="7904D03C">
      <w:pPr>
        <w:spacing w:line="400" w:lineRule="exact"/>
        <w:ind w:firstLine="422" w:firstLineChars="200"/>
        <w:rPr>
          <w:color w:val="000000"/>
          <w:szCs w:val="21"/>
        </w:rPr>
      </w:pPr>
      <w:r>
        <w:rPr>
          <w:rFonts w:hint="eastAsia"/>
          <w:b/>
          <w:bCs/>
          <w:color w:val="000000"/>
          <w:szCs w:val="21"/>
        </w:rPr>
        <w:t>1</w:t>
      </w:r>
      <w:r>
        <w:rPr>
          <w:b/>
          <w:bCs/>
          <w:color w:val="000000"/>
          <w:szCs w:val="21"/>
        </w:rPr>
        <w:t>0</w:t>
      </w:r>
      <w:r>
        <w:rPr>
          <w:color w:val="000000"/>
          <w:szCs w:val="21"/>
        </w:rPr>
        <w:t xml:space="preserve"> 《建筑装饰装修工程质量验收标准》GB 50210</w:t>
      </w:r>
    </w:p>
    <w:p w14:paraId="3A067C87">
      <w:pPr>
        <w:spacing w:line="400" w:lineRule="exact"/>
        <w:ind w:firstLine="422" w:firstLineChars="200"/>
        <w:rPr>
          <w:color w:val="000000"/>
          <w:szCs w:val="21"/>
        </w:rPr>
      </w:pPr>
      <w:r>
        <w:rPr>
          <w:b/>
          <w:bCs/>
          <w:color w:val="000000"/>
          <w:szCs w:val="21"/>
        </w:rPr>
        <w:t xml:space="preserve">11  </w:t>
      </w:r>
      <w:r>
        <w:rPr>
          <w:color w:val="000000"/>
          <w:szCs w:val="21"/>
        </w:rPr>
        <w:t>《建筑给水排水及采暖工程施工质量验收规范》GB 50242</w:t>
      </w:r>
    </w:p>
    <w:p w14:paraId="08E475F5">
      <w:pPr>
        <w:spacing w:line="400" w:lineRule="exact"/>
        <w:ind w:firstLine="422" w:firstLineChars="200"/>
        <w:rPr>
          <w:color w:val="000000"/>
          <w:szCs w:val="21"/>
        </w:rPr>
      </w:pPr>
      <w:r>
        <w:rPr>
          <w:b/>
          <w:bCs/>
          <w:color w:val="000000"/>
          <w:szCs w:val="21"/>
        </w:rPr>
        <w:t>12</w:t>
      </w:r>
      <w:r>
        <w:rPr>
          <w:color w:val="000000"/>
          <w:szCs w:val="21"/>
        </w:rPr>
        <w:t xml:space="preserve">  《通风与空调工程施工质量验收规范》GB 50243</w:t>
      </w:r>
    </w:p>
    <w:p w14:paraId="4C84E69F">
      <w:pPr>
        <w:spacing w:line="400" w:lineRule="exact"/>
        <w:ind w:firstLine="422" w:firstLineChars="200"/>
        <w:rPr>
          <w:color w:val="000000"/>
          <w:szCs w:val="21"/>
        </w:rPr>
      </w:pPr>
      <w:r>
        <w:rPr>
          <w:b/>
          <w:bCs/>
          <w:color w:val="000000"/>
          <w:szCs w:val="21"/>
        </w:rPr>
        <w:t>13</w:t>
      </w:r>
      <w:r>
        <w:rPr>
          <w:color w:val="000000"/>
          <w:szCs w:val="21"/>
        </w:rPr>
        <w:t xml:space="preserve">  《自动喷水灭火系统施工及验收规范》GB</w:t>
      </w:r>
      <w:r>
        <w:rPr>
          <w:color w:val="000000" w:themeColor="text1"/>
          <w:szCs w:val="21"/>
          <w14:textFill>
            <w14:solidFill>
              <w14:schemeClr w14:val="tx1"/>
            </w14:solidFill>
          </w14:textFill>
        </w:rPr>
        <w:t xml:space="preserve"> 5</w:t>
      </w:r>
      <w:r>
        <w:rPr>
          <w:color w:val="000000"/>
          <w:szCs w:val="21"/>
        </w:rPr>
        <w:t>0261</w:t>
      </w:r>
    </w:p>
    <w:p w14:paraId="06B92704">
      <w:pPr>
        <w:spacing w:line="400" w:lineRule="exact"/>
        <w:ind w:firstLine="422" w:firstLineChars="200"/>
        <w:rPr>
          <w:b/>
          <w:bCs/>
          <w:color w:val="000000"/>
          <w:szCs w:val="21"/>
        </w:rPr>
      </w:pPr>
      <w:r>
        <w:rPr>
          <w:rFonts w:hint="eastAsia"/>
          <w:b/>
          <w:bCs/>
          <w:color w:val="000000"/>
          <w:szCs w:val="21"/>
        </w:rPr>
        <w:t>1</w:t>
      </w:r>
      <w:r>
        <w:rPr>
          <w:b/>
          <w:bCs/>
          <w:color w:val="000000"/>
          <w:szCs w:val="21"/>
        </w:rPr>
        <w:t xml:space="preserve">4  </w:t>
      </w:r>
      <w:r>
        <w:rPr>
          <w:color w:val="000000"/>
          <w:szCs w:val="21"/>
        </w:rPr>
        <w:t>《气体灭火系统施工及验收规范》GB 50263</w:t>
      </w:r>
    </w:p>
    <w:p w14:paraId="0F49A1A4">
      <w:pPr>
        <w:spacing w:line="400" w:lineRule="exact"/>
        <w:ind w:firstLine="422" w:firstLineChars="200"/>
        <w:rPr>
          <w:b/>
          <w:bCs/>
          <w:color w:val="000000"/>
          <w:szCs w:val="21"/>
        </w:rPr>
      </w:pPr>
      <w:r>
        <w:rPr>
          <w:rFonts w:hint="eastAsia"/>
          <w:b/>
          <w:bCs/>
          <w:color w:val="000000"/>
          <w:szCs w:val="21"/>
        </w:rPr>
        <w:t>1</w:t>
      </w:r>
      <w:r>
        <w:rPr>
          <w:b/>
          <w:bCs/>
          <w:color w:val="000000"/>
          <w:szCs w:val="21"/>
        </w:rPr>
        <w:t xml:space="preserve">5  </w:t>
      </w:r>
      <w:r>
        <w:rPr>
          <w:color w:val="000000" w:themeColor="text1"/>
          <w:szCs w:val="21"/>
          <w14:textFill>
            <w14:solidFill>
              <w14:schemeClr w14:val="tx1"/>
            </w14:solidFill>
          </w14:textFill>
        </w:rPr>
        <w:t>《建筑工程施工质量验收统一标准》GB 50300</w:t>
      </w:r>
    </w:p>
    <w:p w14:paraId="1B19EFB1">
      <w:pPr>
        <w:spacing w:line="400" w:lineRule="exact"/>
        <w:ind w:firstLine="422" w:firstLineChars="200"/>
        <w:rPr>
          <w:color w:val="000000"/>
          <w:szCs w:val="21"/>
        </w:rPr>
      </w:pPr>
      <w:r>
        <w:rPr>
          <w:rFonts w:hint="eastAsia"/>
          <w:b/>
          <w:bCs/>
          <w:color w:val="000000"/>
          <w:szCs w:val="21"/>
        </w:rPr>
        <w:t>1</w:t>
      </w:r>
      <w:r>
        <w:rPr>
          <w:b/>
          <w:bCs/>
          <w:color w:val="000000"/>
          <w:szCs w:val="21"/>
        </w:rPr>
        <w:t xml:space="preserve">6  </w:t>
      </w:r>
      <w:r>
        <w:rPr>
          <w:color w:val="000000"/>
          <w:szCs w:val="21"/>
        </w:rPr>
        <w:t>《建筑电气工程施工质量验收</w:t>
      </w:r>
      <w:r>
        <w:rPr>
          <w:rFonts w:hint="eastAsia"/>
          <w:color w:val="000000"/>
          <w:szCs w:val="21"/>
        </w:rPr>
        <w:t>规范</w:t>
      </w:r>
      <w:r>
        <w:rPr>
          <w:color w:val="000000"/>
          <w:szCs w:val="21"/>
        </w:rPr>
        <w:t>》GB 50303</w:t>
      </w:r>
    </w:p>
    <w:p w14:paraId="0F30FBE8">
      <w:pPr>
        <w:spacing w:line="400" w:lineRule="exact"/>
        <w:ind w:firstLine="422" w:firstLineChars="200"/>
        <w:rPr>
          <w:b/>
          <w:bCs/>
          <w:color w:val="000000"/>
          <w:szCs w:val="21"/>
        </w:rPr>
      </w:pPr>
      <w:r>
        <w:rPr>
          <w:rFonts w:hint="eastAsia"/>
          <w:b/>
          <w:bCs/>
          <w:color w:val="000000"/>
          <w:szCs w:val="21"/>
        </w:rPr>
        <w:t>1</w:t>
      </w:r>
      <w:r>
        <w:rPr>
          <w:b/>
          <w:bCs/>
          <w:color w:val="000000"/>
          <w:szCs w:val="21"/>
        </w:rPr>
        <w:t xml:space="preserve">7  </w:t>
      </w:r>
      <w:r>
        <w:rPr>
          <w:color w:val="000000"/>
          <w:szCs w:val="21"/>
        </w:rPr>
        <w:t>《电梯工程施工质量验收规范》GB 50310</w:t>
      </w:r>
    </w:p>
    <w:p w14:paraId="5961A90E">
      <w:pPr>
        <w:spacing w:line="400" w:lineRule="exact"/>
        <w:ind w:firstLine="422" w:firstLineChars="200"/>
        <w:rPr>
          <w:color w:val="000000"/>
          <w:szCs w:val="21"/>
        </w:rPr>
      </w:pPr>
      <w:r>
        <w:rPr>
          <w:rFonts w:hint="eastAsia"/>
          <w:b/>
          <w:bCs/>
          <w:color w:val="000000"/>
          <w:szCs w:val="21"/>
        </w:rPr>
        <w:t>1</w:t>
      </w:r>
      <w:r>
        <w:rPr>
          <w:b/>
          <w:bCs/>
          <w:color w:val="000000"/>
          <w:szCs w:val="21"/>
        </w:rPr>
        <w:t xml:space="preserve">8  </w:t>
      </w:r>
      <w:r>
        <w:rPr>
          <w:color w:val="000000"/>
          <w:szCs w:val="21"/>
        </w:rPr>
        <w:t>《综合布线系统工程验收规范》GB 50312</w:t>
      </w:r>
    </w:p>
    <w:p w14:paraId="1AC71517">
      <w:pPr>
        <w:spacing w:line="400" w:lineRule="exact"/>
        <w:ind w:firstLine="422" w:firstLineChars="200"/>
        <w:rPr>
          <w:b/>
          <w:bCs/>
          <w:color w:val="000000"/>
          <w:szCs w:val="21"/>
        </w:rPr>
      </w:pPr>
      <w:r>
        <w:rPr>
          <w:rFonts w:hint="eastAsia"/>
          <w:b/>
          <w:bCs/>
          <w:color w:val="000000"/>
          <w:szCs w:val="21"/>
        </w:rPr>
        <w:t>1</w:t>
      </w:r>
      <w:r>
        <w:rPr>
          <w:b/>
          <w:bCs/>
          <w:color w:val="000000"/>
          <w:szCs w:val="21"/>
        </w:rPr>
        <w:t xml:space="preserve">9  </w:t>
      </w:r>
      <w:r>
        <w:rPr>
          <w:color w:val="000000"/>
          <w:szCs w:val="21"/>
        </w:rPr>
        <w:t>《</w:t>
      </w:r>
      <w:r>
        <w:rPr>
          <w:rFonts w:hint="eastAsia"/>
          <w:color w:val="000000"/>
          <w:szCs w:val="21"/>
        </w:rPr>
        <w:t>民用建筑工程室内环境污染控制标准</w:t>
      </w:r>
      <w:r>
        <w:rPr>
          <w:color w:val="000000"/>
          <w:szCs w:val="21"/>
        </w:rPr>
        <w:t>》GB 50325</w:t>
      </w:r>
    </w:p>
    <w:p w14:paraId="2E1456DF">
      <w:pPr>
        <w:spacing w:line="400" w:lineRule="exact"/>
        <w:ind w:firstLine="422" w:firstLineChars="200"/>
        <w:rPr>
          <w:color w:val="000000"/>
          <w:szCs w:val="21"/>
        </w:rPr>
      </w:pPr>
      <w:r>
        <w:rPr>
          <w:rFonts w:hint="eastAsia"/>
          <w:b/>
          <w:bCs/>
          <w:color w:val="000000"/>
          <w:szCs w:val="21"/>
        </w:rPr>
        <w:t>2</w:t>
      </w:r>
      <w:r>
        <w:rPr>
          <w:b/>
          <w:bCs/>
          <w:color w:val="000000"/>
          <w:szCs w:val="21"/>
        </w:rPr>
        <w:t xml:space="preserve">0  </w:t>
      </w:r>
      <w:r>
        <w:rPr>
          <w:color w:val="000000"/>
          <w:szCs w:val="21"/>
        </w:rPr>
        <w:t>《住宅装饰装修工程施工规范》GB 50327</w:t>
      </w:r>
      <w:r>
        <w:rPr>
          <w:b/>
          <w:bCs/>
          <w:color w:val="000000"/>
          <w:szCs w:val="21"/>
        </w:rPr>
        <w:t xml:space="preserve"> </w:t>
      </w:r>
    </w:p>
    <w:p w14:paraId="1294E373">
      <w:pPr>
        <w:spacing w:line="400" w:lineRule="exact"/>
        <w:ind w:firstLine="422" w:firstLineChars="200"/>
        <w:rPr>
          <w:color w:val="000000"/>
          <w:szCs w:val="21"/>
        </w:rPr>
      </w:pPr>
      <w:r>
        <w:rPr>
          <w:rFonts w:hint="eastAsia"/>
          <w:b/>
          <w:bCs/>
          <w:color w:val="000000"/>
          <w:szCs w:val="21"/>
        </w:rPr>
        <w:t>2</w:t>
      </w:r>
      <w:r>
        <w:rPr>
          <w:b/>
          <w:bCs/>
          <w:color w:val="000000"/>
          <w:szCs w:val="21"/>
        </w:rPr>
        <w:t xml:space="preserve">1  </w:t>
      </w:r>
      <w:r>
        <w:rPr>
          <w:color w:val="000000"/>
          <w:szCs w:val="21"/>
        </w:rPr>
        <w:t>《智能建筑工程质量验收规范》GB 50339</w:t>
      </w:r>
    </w:p>
    <w:p w14:paraId="6A4020FE">
      <w:pPr>
        <w:spacing w:line="400" w:lineRule="exact"/>
        <w:ind w:firstLine="422" w:firstLineChars="200"/>
        <w:rPr>
          <w:color w:val="000000"/>
          <w:szCs w:val="21"/>
        </w:rPr>
      </w:pPr>
      <w:r>
        <w:rPr>
          <w:rFonts w:hint="eastAsia"/>
          <w:b/>
          <w:bCs/>
          <w:color w:val="000000"/>
          <w:szCs w:val="21"/>
        </w:rPr>
        <w:t>2</w:t>
      </w:r>
      <w:r>
        <w:rPr>
          <w:b/>
          <w:bCs/>
          <w:color w:val="000000"/>
          <w:szCs w:val="21"/>
        </w:rPr>
        <w:t xml:space="preserve">2  </w:t>
      </w:r>
      <w:r>
        <w:rPr>
          <w:color w:val="000000"/>
          <w:szCs w:val="21"/>
        </w:rPr>
        <w:t>《建筑物电子信息系统防雷技术规范》GB 50343</w:t>
      </w:r>
    </w:p>
    <w:p w14:paraId="1E19B63C">
      <w:pPr>
        <w:spacing w:line="400" w:lineRule="exact"/>
        <w:ind w:firstLine="422" w:firstLineChars="200"/>
        <w:rPr>
          <w:color w:val="000000"/>
          <w:szCs w:val="21"/>
        </w:rPr>
      </w:pPr>
      <w:r>
        <w:rPr>
          <w:rFonts w:hint="eastAsia"/>
          <w:b/>
          <w:bCs/>
          <w:color w:val="000000"/>
          <w:szCs w:val="21"/>
        </w:rPr>
        <w:t>2</w:t>
      </w:r>
      <w:r>
        <w:rPr>
          <w:b/>
          <w:bCs/>
          <w:color w:val="000000"/>
          <w:szCs w:val="21"/>
        </w:rPr>
        <w:t xml:space="preserve">3  </w:t>
      </w:r>
      <w:r>
        <w:rPr>
          <w:color w:val="000000"/>
          <w:szCs w:val="21"/>
        </w:rPr>
        <w:t>《屋面工程技术规范》GB 50345</w:t>
      </w:r>
    </w:p>
    <w:p w14:paraId="7040D80E">
      <w:pPr>
        <w:spacing w:line="400" w:lineRule="exact"/>
        <w:ind w:firstLine="422" w:firstLineChars="200"/>
        <w:rPr>
          <w:color w:val="000000"/>
          <w:szCs w:val="21"/>
        </w:rPr>
      </w:pPr>
      <w:r>
        <w:rPr>
          <w:rFonts w:hint="eastAsia"/>
          <w:b/>
          <w:bCs/>
          <w:color w:val="000000"/>
          <w:szCs w:val="21"/>
        </w:rPr>
        <w:t>2</w:t>
      </w:r>
      <w:r>
        <w:rPr>
          <w:b/>
          <w:bCs/>
          <w:color w:val="000000"/>
          <w:szCs w:val="21"/>
        </w:rPr>
        <w:t xml:space="preserve">4  </w:t>
      </w:r>
      <w:r>
        <w:rPr>
          <w:color w:val="000000"/>
          <w:szCs w:val="21"/>
        </w:rPr>
        <w:t>《安全防范工程技术</w:t>
      </w:r>
      <w:r>
        <w:rPr>
          <w:rFonts w:hint="eastAsia"/>
          <w:color w:val="000000"/>
          <w:szCs w:val="21"/>
        </w:rPr>
        <w:t>标准</w:t>
      </w:r>
      <w:r>
        <w:rPr>
          <w:color w:val="000000"/>
          <w:szCs w:val="21"/>
        </w:rPr>
        <w:t>》GB 50348</w:t>
      </w:r>
    </w:p>
    <w:p w14:paraId="28818C11">
      <w:pPr>
        <w:spacing w:line="400" w:lineRule="exact"/>
        <w:ind w:firstLine="422" w:firstLineChars="200"/>
        <w:rPr>
          <w:color w:val="000000"/>
          <w:szCs w:val="21"/>
        </w:rPr>
      </w:pPr>
      <w:r>
        <w:rPr>
          <w:rFonts w:hint="eastAsia"/>
          <w:b/>
          <w:bCs/>
          <w:color w:val="000000"/>
          <w:szCs w:val="21"/>
        </w:rPr>
        <w:t>2</w:t>
      </w:r>
      <w:r>
        <w:rPr>
          <w:b/>
          <w:bCs/>
          <w:color w:val="000000"/>
          <w:szCs w:val="21"/>
        </w:rPr>
        <w:t xml:space="preserve">5  </w:t>
      </w:r>
      <w:r>
        <w:rPr>
          <w:color w:val="000000"/>
          <w:szCs w:val="21"/>
        </w:rPr>
        <w:t>《民用建筑设计统一标准》GB 50352</w:t>
      </w:r>
    </w:p>
    <w:p w14:paraId="1C3D01FA">
      <w:pPr>
        <w:spacing w:line="400" w:lineRule="exact"/>
        <w:ind w:firstLine="422" w:firstLineChars="200"/>
        <w:rPr>
          <w:b/>
          <w:bCs/>
          <w:color w:val="000000"/>
          <w:szCs w:val="21"/>
        </w:rPr>
      </w:pPr>
      <w:r>
        <w:rPr>
          <w:rFonts w:hint="eastAsia"/>
          <w:b/>
          <w:bCs/>
          <w:color w:val="000000"/>
          <w:szCs w:val="21"/>
        </w:rPr>
        <w:t>2</w:t>
      </w:r>
      <w:r>
        <w:rPr>
          <w:b/>
          <w:bCs/>
          <w:color w:val="000000"/>
          <w:szCs w:val="21"/>
        </w:rPr>
        <w:t xml:space="preserve">6  </w:t>
      </w:r>
      <w:r>
        <w:rPr>
          <w:color w:val="000000"/>
          <w:szCs w:val="21"/>
        </w:rPr>
        <w:t>《建筑内部装修防火施工及验收规范》GB 50354</w:t>
      </w:r>
    </w:p>
    <w:p w14:paraId="19CC07BD">
      <w:pPr>
        <w:spacing w:line="400" w:lineRule="exact"/>
        <w:ind w:firstLine="422" w:firstLineChars="200"/>
        <w:rPr>
          <w:color w:val="000000" w:themeColor="text1"/>
          <w:szCs w:val="21"/>
          <w14:textFill>
            <w14:solidFill>
              <w14:schemeClr w14:val="tx1"/>
            </w14:solidFill>
          </w14:textFill>
        </w:rPr>
      </w:pPr>
      <w:r>
        <w:rPr>
          <w:rFonts w:hint="eastAsia"/>
          <w:b/>
          <w:bCs/>
          <w:color w:val="000000"/>
          <w:szCs w:val="21"/>
        </w:rPr>
        <w:t>2</w:t>
      </w:r>
      <w:r>
        <w:rPr>
          <w:b/>
          <w:bCs/>
          <w:color w:val="000000"/>
          <w:szCs w:val="21"/>
        </w:rPr>
        <w:t xml:space="preserve">7  </w:t>
      </w:r>
      <w:r>
        <w:rPr>
          <w:color w:val="000000" w:themeColor="text1"/>
          <w:szCs w:val="21"/>
          <w14:textFill>
            <w14:solidFill>
              <w14:schemeClr w14:val="tx1"/>
            </w14:solidFill>
          </w14:textFill>
        </w:rPr>
        <w:t>《民用建筑太阳能热水系统应用技术标准》GB50364</w:t>
      </w:r>
    </w:p>
    <w:p w14:paraId="57A64824">
      <w:pPr>
        <w:spacing w:line="400" w:lineRule="exact"/>
        <w:ind w:firstLine="422" w:firstLineChars="200"/>
        <w:rPr>
          <w:color w:val="000000"/>
          <w:szCs w:val="21"/>
        </w:rPr>
      </w:pPr>
      <w:r>
        <w:rPr>
          <w:rFonts w:hint="eastAsia"/>
          <w:b/>
          <w:bCs/>
          <w:color w:val="000000"/>
          <w:szCs w:val="21"/>
        </w:rPr>
        <w:t>2</w:t>
      </w:r>
      <w:r>
        <w:rPr>
          <w:b/>
          <w:bCs/>
          <w:color w:val="000000"/>
          <w:szCs w:val="21"/>
        </w:rPr>
        <w:t xml:space="preserve">8  </w:t>
      </w:r>
      <w:r>
        <w:rPr>
          <w:color w:val="000000"/>
          <w:szCs w:val="21"/>
        </w:rPr>
        <w:t>《建筑节能工程施工质量验收标准》GB 50411</w:t>
      </w:r>
    </w:p>
    <w:p w14:paraId="60FE20F1">
      <w:pPr>
        <w:spacing w:line="400" w:lineRule="exact"/>
        <w:ind w:firstLine="422" w:firstLineChars="200"/>
        <w:rPr>
          <w:b/>
          <w:bCs/>
          <w:color w:val="000000"/>
          <w:szCs w:val="21"/>
        </w:rPr>
      </w:pPr>
      <w:r>
        <w:rPr>
          <w:rFonts w:hint="eastAsia"/>
          <w:b/>
          <w:bCs/>
          <w:color w:val="000000"/>
          <w:szCs w:val="21"/>
        </w:rPr>
        <w:t>2</w:t>
      </w:r>
      <w:r>
        <w:rPr>
          <w:b/>
          <w:bCs/>
          <w:color w:val="000000"/>
          <w:szCs w:val="21"/>
        </w:rPr>
        <w:t xml:space="preserve">9  </w:t>
      </w:r>
      <w:r>
        <w:rPr>
          <w:color w:val="000000"/>
          <w:szCs w:val="21"/>
        </w:rPr>
        <w:t>《</w:t>
      </w:r>
      <w:r>
        <w:rPr>
          <w:rFonts w:hint="eastAsia"/>
          <w:color w:val="000000" w:themeColor="text1"/>
          <w:kern w:val="21"/>
          <w:szCs w:val="21"/>
          <w14:textFill>
            <w14:solidFill>
              <w14:schemeClr w14:val="tx1"/>
            </w14:solidFill>
          </w14:textFill>
        </w:rPr>
        <w:t>数据中心基础设施施工及验收规范</w:t>
      </w:r>
      <w:r>
        <w:rPr>
          <w:color w:val="000000"/>
          <w:szCs w:val="21"/>
        </w:rPr>
        <w:t>》GB 50462</w:t>
      </w:r>
    </w:p>
    <w:p w14:paraId="25C4FC69">
      <w:pPr>
        <w:spacing w:line="400" w:lineRule="exact"/>
        <w:ind w:firstLine="422" w:firstLineChars="200"/>
        <w:rPr>
          <w:b/>
          <w:bCs/>
          <w:color w:val="000000"/>
          <w:szCs w:val="21"/>
        </w:rPr>
      </w:pPr>
      <w:r>
        <w:rPr>
          <w:rFonts w:hint="eastAsia"/>
          <w:b/>
          <w:bCs/>
          <w:color w:val="000000"/>
          <w:szCs w:val="21"/>
        </w:rPr>
        <w:t>3</w:t>
      </w:r>
      <w:r>
        <w:rPr>
          <w:b/>
          <w:bCs/>
          <w:color w:val="000000"/>
          <w:szCs w:val="21"/>
        </w:rPr>
        <w:t xml:space="preserve">0  </w:t>
      </w:r>
      <w:r>
        <w:rPr>
          <w:color w:val="000000"/>
          <w:szCs w:val="21"/>
        </w:rPr>
        <w:t>《1 kV及</w:t>
      </w:r>
      <w:r>
        <w:rPr>
          <w:rFonts w:hint="eastAsia"/>
          <w:color w:val="000000"/>
          <w:szCs w:val="21"/>
        </w:rPr>
        <w:t>以下</w:t>
      </w:r>
      <w:r>
        <w:rPr>
          <w:color w:val="000000"/>
          <w:szCs w:val="21"/>
        </w:rPr>
        <w:t>配线工程施工与验收规范》GB 50575</w:t>
      </w:r>
    </w:p>
    <w:p w14:paraId="7510D019">
      <w:pPr>
        <w:spacing w:line="400" w:lineRule="exact"/>
        <w:ind w:firstLine="422" w:firstLineChars="200"/>
        <w:rPr>
          <w:b/>
          <w:bCs/>
          <w:color w:val="000000"/>
          <w:szCs w:val="21"/>
        </w:rPr>
      </w:pPr>
      <w:r>
        <w:rPr>
          <w:rFonts w:hint="eastAsia"/>
          <w:b/>
          <w:bCs/>
          <w:color w:val="000000"/>
          <w:szCs w:val="21"/>
        </w:rPr>
        <w:t>3</w:t>
      </w:r>
      <w:r>
        <w:rPr>
          <w:b/>
          <w:bCs/>
          <w:color w:val="000000"/>
          <w:szCs w:val="21"/>
        </w:rPr>
        <w:t xml:space="preserve">1  </w:t>
      </w:r>
      <w:r>
        <w:rPr>
          <w:color w:val="000000"/>
          <w:szCs w:val="21"/>
        </w:rPr>
        <w:t>《建筑物防雷工程施工与质量验收规范》GB 50601</w:t>
      </w:r>
    </w:p>
    <w:p w14:paraId="5F40A5D8">
      <w:pPr>
        <w:spacing w:line="400" w:lineRule="exact"/>
        <w:ind w:firstLine="422" w:firstLineChars="200"/>
        <w:rPr>
          <w:color w:val="000000"/>
          <w:szCs w:val="21"/>
        </w:rPr>
      </w:pPr>
      <w:r>
        <w:rPr>
          <w:rFonts w:hint="eastAsia"/>
          <w:b/>
          <w:bCs/>
          <w:color w:val="000000"/>
          <w:szCs w:val="21"/>
        </w:rPr>
        <w:t>3</w:t>
      </w:r>
      <w:r>
        <w:rPr>
          <w:b/>
          <w:bCs/>
          <w:color w:val="000000"/>
          <w:szCs w:val="21"/>
        </w:rPr>
        <w:t xml:space="preserve">2  </w:t>
      </w:r>
      <w:r>
        <w:rPr>
          <w:color w:val="000000"/>
          <w:szCs w:val="21"/>
        </w:rPr>
        <w:t>《智能建筑工程施工规范》GB 50606</w:t>
      </w:r>
    </w:p>
    <w:p w14:paraId="501019B5">
      <w:pPr>
        <w:spacing w:line="400" w:lineRule="exact"/>
        <w:ind w:firstLine="422" w:firstLineChars="200"/>
        <w:rPr>
          <w:color w:val="000000"/>
          <w:szCs w:val="21"/>
        </w:rPr>
      </w:pPr>
      <w:r>
        <w:rPr>
          <w:rFonts w:hint="eastAsia"/>
          <w:b/>
          <w:bCs/>
          <w:color w:val="000000"/>
          <w:szCs w:val="21"/>
        </w:rPr>
        <w:t>3</w:t>
      </w:r>
      <w:r>
        <w:rPr>
          <w:b/>
          <w:bCs/>
          <w:color w:val="000000"/>
          <w:szCs w:val="21"/>
        </w:rPr>
        <w:t xml:space="preserve">3  </w:t>
      </w:r>
      <w:r>
        <w:rPr>
          <w:color w:val="000000"/>
          <w:szCs w:val="21"/>
        </w:rPr>
        <w:t>《建筑电气照明装置施工与验收规范》GB 50617</w:t>
      </w:r>
    </w:p>
    <w:p w14:paraId="2056E258">
      <w:pPr>
        <w:spacing w:line="400" w:lineRule="exact"/>
        <w:ind w:firstLine="422" w:firstLineChars="200"/>
        <w:rPr>
          <w:b/>
          <w:bCs/>
          <w:color w:val="000000"/>
          <w:szCs w:val="21"/>
        </w:rPr>
      </w:pPr>
      <w:r>
        <w:rPr>
          <w:rFonts w:hint="eastAsia"/>
          <w:b/>
          <w:bCs/>
          <w:color w:val="000000"/>
          <w:szCs w:val="21"/>
        </w:rPr>
        <w:t>3</w:t>
      </w:r>
      <w:r>
        <w:rPr>
          <w:b/>
          <w:bCs/>
          <w:color w:val="000000"/>
          <w:szCs w:val="21"/>
        </w:rPr>
        <w:t xml:space="preserve">4  </w:t>
      </w:r>
      <w:r>
        <w:rPr>
          <w:color w:val="000000"/>
          <w:szCs w:val="21"/>
        </w:rPr>
        <w:t>《坡屋面工程技术规范》GB 50693</w:t>
      </w:r>
    </w:p>
    <w:p w14:paraId="46572AC2">
      <w:pPr>
        <w:spacing w:line="400" w:lineRule="exact"/>
        <w:ind w:firstLine="422" w:firstLineChars="200"/>
        <w:rPr>
          <w:b/>
          <w:bCs/>
          <w:color w:val="000000"/>
          <w:szCs w:val="21"/>
        </w:rPr>
      </w:pPr>
      <w:r>
        <w:rPr>
          <w:rFonts w:hint="eastAsia"/>
          <w:b/>
          <w:bCs/>
          <w:color w:val="000000"/>
          <w:szCs w:val="21"/>
        </w:rPr>
        <w:t>3</w:t>
      </w:r>
      <w:r>
        <w:rPr>
          <w:b/>
          <w:bCs/>
          <w:color w:val="000000"/>
          <w:szCs w:val="21"/>
        </w:rPr>
        <w:t xml:space="preserve">5  </w:t>
      </w:r>
      <w:r>
        <w:rPr>
          <w:color w:val="000000"/>
          <w:szCs w:val="21"/>
        </w:rPr>
        <w:t>《通风与空调工程施工规范》GB 50738</w:t>
      </w:r>
    </w:p>
    <w:p w14:paraId="313D5FAD">
      <w:pPr>
        <w:spacing w:line="400" w:lineRule="exact"/>
        <w:ind w:firstLine="422" w:firstLineChars="200"/>
        <w:rPr>
          <w:b/>
          <w:bCs/>
          <w:color w:val="000000"/>
          <w:szCs w:val="21"/>
        </w:rPr>
      </w:pPr>
      <w:r>
        <w:rPr>
          <w:rFonts w:hint="eastAsia"/>
          <w:b/>
          <w:bCs/>
          <w:color w:val="000000"/>
          <w:szCs w:val="21"/>
        </w:rPr>
        <w:t>3</w:t>
      </w:r>
      <w:r>
        <w:rPr>
          <w:b/>
          <w:bCs/>
          <w:color w:val="000000"/>
          <w:szCs w:val="21"/>
        </w:rPr>
        <w:t xml:space="preserve">6  </w:t>
      </w:r>
      <w:r>
        <w:rPr>
          <w:color w:val="000000"/>
          <w:szCs w:val="21"/>
        </w:rPr>
        <w:t>《无障碍设计规范》GB 50763</w:t>
      </w:r>
    </w:p>
    <w:p w14:paraId="73E11B5F">
      <w:pPr>
        <w:spacing w:line="400" w:lineRule="exact"/>
        <w:ind w:firstLine="422" w:firstLineChars="200"/>
        <w:rPr>
          <w:b/>
          <w:bCs/>
          <w:color w:val="000000"/>
          <w:szCs w:val="21"/>
        </w:rPr>
      </w:pPr>
      <w:r>
        <w:rPr>
          <w:rFonts w:hint="eastAsia"/>
          <w:b/>
          <w:bCs/>
          <w:color w:val="000000"/>
          <w:szCs w:val="21"/>
        </w:rPr>
        <w:t>3</w:t>
      </w:r>
      <w:r>
        <w:rPr>
          <w:b/>
          <w:bCs/>
          <w:color w:val="000000"/>
          <w:szCs w:val="21"/>
        </w:rPr>
        <w:t xml:space="preserve">7  </w:t>
      </w:r>
      <w:r>
        <w:rPr>
          <w:color w:val="000000"/>
          <w:szCs w:val="21"/>
        </w:rPr>
        <w:t>《消防给水及消火栓系统技术规范》GB 50974</w:t>
      </w:r>
    </w:p>
    <w:p w14:paraId="7E51E621">
      <w:pPr>
        <w:spacing w:line="400" w:lineRule="exact"/>
        <w:ind w:firstLine="422" w:firstLineChars="200"/>
        <w:rPr>
          <w:b/>
          <w:bCs/>
          <w:color w:val="000000"/>
          <w:szCs w:val="21"/>
        </w:rPr>
      </w:pPr>
      <w:r>
        <w:rPr>
          <w:rFonts w:hint="eastAsia"/>
          <w:b/>
          <w:bCs/>
          <w:color w:val="000000"/>
          <w:szCs w:val="21"/>
        </w:rPr>
        <w:t>3</w:t>
      </w:r>
      <w:r>
        <w:rPr>
          <w:b/>
          <w:bCs/>
          <w:color w:val="000000"/>
          <w:szCs w:val="21"/>
        </w:rPr>
        <w:t xml:space="preserve">8  </w:t>
      </w:r>
      <w:r>
        <w:rPr>
          <w:color w:val="000000" w:themeColor="text1"/>
          <w:szCs w:val="21"/>
          <w14:textFill>
            <w14:solidFill>
              <w14:schemeClr w14:val="tx1"/>
            </w14:solidFill>
          </w14:textFill>
        </w:rPr>
        <w:t>《建筑机电工程抗震设计规范》GB 50981</w:t>
      </w:r>
    </w:p>
    <w:p w14:paraId="49A05609">
      <w:pPr>
        <w:spacing w:line="400" w:lineRule="exact"/>
        <w:ind w:firstLine="422" w:firstLineChars="200"/>
        <w:rPr>
          <w:color w:val="000000"/>
          <w:szCs w:val="21"/>
        </w:rPr>
      </w:pPr>
      <w:r>
        <w:rPr>
          <w:rFonts w:hint="eastAsia"/>
          <w:b/>
          <w:bCs/>
          <w:color w:val="000000"/>
          <w:szCs w:val="21"/>
        </w:rPr>
        <w:t>3</w:t>
      </w:r>
      <w:r>
        <w:rPr>
          <w:b/>
          <w:bCs/>
          <w:color w:val="000000"/>
          <w:szCs w:val="21"/>
        </w:rPr>
        <w:t xml:space="preserve">9  </w:t>
      </w:r>
      <w:r>
        <w:rPr>
          <w:color w:val="000000"/>
          <w:szCs w:val="21"/>
        </w:rPr>
        <w:t>《建筑地基基础工程施工规范》GB 51004</w:t>
      </w:r>
    </w:p>
    <w:p w14:paraId="5877947B">
      <w:pPr>
        <w:spacing w:line="400" w:lineRule="exact"/>
        <w:ind w:firstLine="422" w:firstLineChars="200"/>
        <w:rPr>
          <w:b/>
          <w:bCs/>
          <w:color w:val="000000"/>
          <w:szCs w:val="21"/>
        </w:rPr>
      </w:pPr>
      <w:r>
        <w:rPr>
          <w:rFonts w:hint="eastAsia"/>
          <w:b/>
          <w:bCs/>
          <w:color w:val="000000"/>
          <w:szCs w:val="21"/>
        </w:rPr>
        <w:t>4</w:t>
      </w:r>
      <w:r>
        <w:rPr>
          <w:b/>
          <w:bCs/>
          <w:color w:val="000000"/>
          <w:szCs w:val="21"/>
        </w:rPr>
        <w:t xml:space="preserve">0  </w:t>
      </w:r>
      <w:r>
        <w:rPr>
          <w:color w:val="000000"/>
          <w:szCs w:val="21"/>
        </w:rPr>
        <w:t>《建筑防</w:t>
      </w:r>
      <w:r>
        <w:rPr>
          <w:rFonts w:hint="eastAsia"/>
          <w:color w:val="000000" w:themeColor="text1"/>
          <w:szCs w:val="21"/>
          <w14:textFill>
            <w14:solidFill>
              <w14:schemeClr w14:val="tx1"/>
            </w14:solidFill>
          </w14:textFill>
        </w:rPr>
        <w:t>烟</w:t>
      </w:r>
      <w:r>
        <w:rPr>
          <w:color w:val="000000" w:themeColor="text1"/>
          <w:szCs w:val="21"/>
          <w14:textFill>
            <w14:solidFill>
              <w14:schemeClr w14:val="tx1"/>
            </w14:solidFill>
          </w14:textFill>
        </w:rPr>
        <w:t>排烟系统技术标准》GB 51251</w:t>
      </w:r>
    </w:p>
    <w:p w14:paraId="406EE26D">
      <w:pPr>
        <w:pStyle w:val="2"/>
        <w:spacing w:line="400" w:lineRule="exact"/>
        <w:ind w:left="134" w:firstLineChars="0"/>
        <w:rPr>
          <w:bCs/>
          <w:color w:val="000000"/>
          <w:szCs w:val="21"/>
          <w:lang w:val="zh-CN"/>
        </w:rPr>
      </w:pPr>
      <w:r>
        <w:rPr>
          <w:rFonts w:hint="eastAsia"/>
          <w:b/>
          <w:bCs/>
          <w:color w:val="000000"/>
          <w:szCs w:val="21"/>
        </w:rPr>
        <w:t>4</w:t>
      </w:r>
      <w:r>
        <w:rPr>
          <w:b/>
          <w:bCs/>
          <w:color w:val="000000"/>
          <w:szCs w:val="21"/>
        </w:rPr>
        <w:t xml:space="preserve">1  </w:t>
      </w:r>
      <w:r>
        <w:rPr>
          <w:color w:val="000000" w:themeColor="text1"/>
          <w:szCs w:val="21"/>
          <w14:textFill>
            <w14:solidFill>
              <w14:schemeClr w14:val="tx1"/>
            </w14:solidFill>
          </w14:textFill>
        </w:rPr>
        <w:t>《民用建筑电气设计</w:t>
      </w:r>
      <w:r>
        <w:rPr>
          <w:rFonts w:hint="eastAsia"/>
          <w:color w:val="000000" w:themeColor="text1"/>
          <w:szCs w:val="21"/>
          <w14:textFill>
            <w14:solidFill>
              <w14:schemeClr w14:val="tx1"/>
            </w14:solidFill>
          </w14:textFill>
        </w:rPr>
        <w:t>标准</w:t>
      </w:r>
      <w:r>
        <w:rPr>
          <w:color w:val="000000" w:themeColor="text1"/>
          <w:szCs w:val="21"/>
          <w14:textFill>
            <w14:solidFill>
              <w14:schemeClr w14:val="tx1"/>
            </w14:solidFill>
          </w14:textFill>
        </w:rPr>
        <w:t>》GB 51348</w:t>
      </w:r>
    </w:p>
    <w:p w14:paraId="13E56962">
      <w:pPr>
        <w:spacing w:line="400" w:lineRule="exact"/>
        <w:ind w:firstLine="422" w:firstLineChars="200"/>
        <w:rPr>
          <w:color w:val="000000"/>
          <w:szCs w:val="21"/>
        </w:rPr>
      </w:pPr>
      <w:r>
        <w:rPr>
          <w:rFonts w:hint="eastAsia"/>
          <w:b/>
          <w:bCs/>
          <w:color w:val="000000"/>
          <w:szCs w:val="21"/>
        </w:rPr>
        <w:t>4</w:t>
      </w:r>
      <w:r>
        <w:rPr>
          <w:b/>
          <w:bCs/>
          <w:color w:val="000000"/>
          <w:szCs w:val="21"/>
        </w:rPr>
        <w:t xml:space="preserve">2  </w:t>
      </w:r>
      <w:r>
        <w:rPr>
          <w:color w:val="000000"/>
          <w:szCs w:val="21"/>
        </w:rPr>
        <w:t>《建筑用硅酮结构密封胶》GB 16776</w:t>
      </w:r>
    </w:p>
    <w:p w14:paraId="427CB44C">
      <w:pPr>
        <w:spacing w:line="400" w:lineRule="exact"/>
        <w:ind w:firstLine="422" w:firstLineChars="200"/>
        <w:rPr>
          <w:color w:val="000000"/>
          <w:szCs w:val="21"/>
        </w:rPr>
      </w:pPr>
      <w:r>
        <w:rPr>
          <w:rFonts w:hint="eastAsia"/>
          <w:b/>
          <w:bCs/>
          <w:color w:val="000000"/>
          <w:szCs w:val="21"/>
        </w:rPr>
        <w:t>4</w:t>
      </w:r>
      <w:r>
        <w:rPr>
          <w:b/>
          <w:bCs/>
          <w:color w:val="000000"/>
          <w:szCs w:val="21"/>
        </w:rPr>
        <w:t xml:space="preserve">3  </w:t>
      </w:r>
      <w:r>
        <w:rPr>
          <w:color w:val="000000"/>
          <w:szCs w:val="21"/>
        </w:rPr>
        <w:t>《建筑施工组织设计规范》GB/T 50502</w:t>
      </w:r>
    </w:p>
    <w:p w14:paraId="27F967F7">
      <w:pPr>
        <w:spacing w:line="400" w:lineRule="exact"/>
        <w:ind w:right="-477" w:rightChars="-227" w:firstLine="422" w:firstLineChars="200"/>
        <w:rPr>
          <w:b/>
          <w:bCs/>
          <w:color w:val="000000"/>
          <w:szCs w:val="21"/>
        </w:rPr>
      </w:pPr>
      <w:r>
        <w:rPr>
          <w:rFonts w:hint="eastAsia"/>
          <w:b/>
          <w:bCs/>
          <w:color w:val="000000"/>
          <w:szCs w:val="21"/>
        </w:rPr>
        <w:t>4</w:t>
      </w:r>
      <w:r>
        <w:rPr>
          <w:b/>
          <w:bCs/>
          <w:color w:val="000000"/>
          <w:szCs w:val="21"/>
        </w:rPr>
        <w:t xml:space="preserve">4  </w:t>
      </w:r>
      <w:r>
        <w:rPr>
          <w:color w:val="000000"/>
          <w:szCs w:val="21"/>
        </w:rPr>
        <w:t>《建筑工程文件归档规范》GB/T 50328</w:t>
      </w:r>
    </w:p>
    <w:p w14:paraId="039099EC">
      <w:pPr>
        <w:spacing w:line="400" w:lineRule="exact"/>
        <w:ind w:firstLine="422" w:firstLineChars="200"/>
        <w:rPr>
          <w:b/>
          <w:bCs/>
          <w:color w:val="000000"/>
          <w:szCs w:val="21"/>
        </w:rPr>
      </w:pPr>
      <w:r>
        <w:rPr>
          <w:b/>
          <w:bCs/>
          <w:color w:val="000000"/>
          <w:szCs w:val="21"/>
        </w:rPr>
        <w:t xml:space="preserve">45  </w:t>
      </w:r>
      <w:r>
        <w:rPr>
          <w:color w:val="000000"/>
          <w:szCs w:val="21"/>
        </w:rPr>
        <w:t>《工程建设施工企业质量管理规范》GB/T 50430</w:t>
      </w:r>
    </w:p>
    <w:p w14:paraId="522ABFF3">
      <w:pPr>
        <w:spacing w:line="400" w:lineRule="exact"/>
        <w:ind w:firstLine="422" w:firstLineChars="200"/>
        <w:rPr>
          <w:color w:val="000000"/>
          <w:szCs w:val="21"/>
        </w:rPr>
      </w:pPr>
      <w:r>
        <w:rPr>
          <w:rFonts w:hint="eastAsia"/>
          <w:b/>
          <w:bCs/>
          <w:color w:val="000000"/>
          <w:szCs w:val="21"/>
        </w:rPr>
        <w:t>4</w:t>
      </w:r>
      <w:r>
        <w:rPr>
          <w:b/>
          <w:bCs/>
          <w:color w:val="000000"/>
          <w:szCs w:val="21"/>
        </w:rPr>
        <w:t xml:space="preserve">6  </w:t>
      </w:r>
      <w:r>
        <w:rPr>
          <w:color w:val="000000"/>
          <w:szCs w:val="21"/>
        </w:rPr>
        <w:t>《质量管理</w:t>
      </w:r>
      <w:r>
        <w:rPr>
          <w:rFonts w:hint="eastAsia"/>
          <w:color w:val="000000"/>
          <w:szCs w:val="21"/>
        </w:rPr>
        <w:t xml:space="preserve">体系 </w:t>
      </w:r>
      <w:r>
        <w:rPr>
          <w:color w:val="000000"/>
          <w:szCs w:val="21"/>
        </w:rPr>
        <w:t xml:space="preserve"> </w:t>
      </w:r>
      <w:r>
        <w:rPr>
          <w:rFonts w:hint="eastAsia"/>
          <w:color w:val="000000"/>
          <w:szCs w:val="21"/>
        </w:rPr>
        <w:t>基础和术语</w:t>
      </w:r>
      <w:r>
        <w:rPr>
          <w:color w:val="000000"/>
          <w:szCs w:val="21"/>
        </w:rPr>
        <w:t>》GB/T 19000</w:t>
      </w:r>
    </w:p>
    <w:p w14:paraId="4F40DB15">
      <w:pPr>
        <w:spacing w:line="400" w:lineRule="exact"/>
        <w:ind w:firstLine="422" w:firstLineChars="200"/>
        <w:rPr>
          <w:color w:val="000000"/>
          <w:szCs w:val="21"/>
        </w:rPr>
      </w:pPr>
      <w:r>
        <w:rPr>
          <w:rFonts w:hint="eastAsia"/>
          <w:b/>
          <w:bCs/>
          <w:color w:val="000000"/>
          <w:szCs w:val="21"/>
        </w:rPr>
        <w:t>4</w:t>
      </w:r>
      <w:r>
        <w:rPr>
          <w:b/>
          <w:bCs/>
          <w:color w:val="000000"/>
          <w:szCs w:val="21"/>
        </w:rPr>
        <w:t xml:space="preserve">7  </w:t>
      </w:r>
      <w:r>
        <w:rPr>
          <w:color w:val="000000"/>
          <w:szCs w:val="21"/>
        </w:rPr>
        <w:t>《玻璃幕墙工程技术规范》JGJ 102</w:t>
      </w:r>
    </w:p>
    <w:p w14:paraId="50BF7BAB">
      <w:pPr>
        <w:spacing w:line="400" w:lineRule="exact"/>
        <w:ind w:firstLine="422" w:firstLineChars="200"/>
        <w:rPr>
          <w:color w:val="000000"/>
          <w:szCs w:val="21"/>
        </w:rPr>
      </w:pPr>
      <w:r>
        <w:rPr>
          <w:rFonts w:hint="eastAsia"/>
          <w:b/>
          <w:bCs/>
          <w:color w:val="000000"/>
          <w:szCs w:val="21"/>
        </w:rPr>
        <w:t>4</w:t>
      </w:r>
      <w:r>
        <w:rPr>
          <w:b/>
          <w:bCs/>
          <w:color w:val="000000"/>
          <w:szCs w:val="21"/>
        </w:rPr>
        <w:t xml:space="preserve">8  </w:t>
      </w:r>
      <w:r>
        <w:rPr>
          <w:color w:val="000000"/>
          <w:szCs w:val="21"/>
        </w:rPr>
        <w:t>《建筑玻璃应用技术规程》JGJ 113</w:t>
      </w:r>
    </w:p>
    <w:p w14:paraId="28739805">
      <w:pPr>
        <w:spacing w:line="400" w:lineRule="exact"/>
        <w:ind w:firstLine="422" w:firstLineChars="200"/>
        <w:rPr>
          <w:color w:val="000000"/>
          <w:szCs w:val="21"/>
        </w:rPr>
      </w:pPr>
      <w:r>
        <w:rPr>
          <w:rFonts w:hint="eastAsia"/>
          <w:b/>
          <w:bCs/>
          <w:color w:val="000000"/>
          <w:szCs w:val="21"/>
        </w:rPr>
        <w:t>4</w:t>
      </w:r>
      <w:r>
        <w:rPr>
          <w:b/>
          <w:bCs/>
          <w:color w:val="000000"/>
          <w:szCs w:val="21"/>
        </w:rPr>
        <w:t xml:space="preserve">9  </w:t>
      </w:r>
      <w:r>
        <w:rPr>
          <w:color w:val="000000"/>
          <w:szCs w:val="21"/>
        </w:rPr>
        <w:t>《既有建筑地基基础加固技术规范》JGJ 123</w:t>
      </w:r>
    </w:p>
    <w:p w14:paraId="576D9CFC">
      <w:pPr>
        <w:spacing w:line="400" w:lineRule="exact"/>
        <w:ind w:firstLine="422" w:firstLineChars="200"/>
        <w:rPr>
          <w:b/>
          <w:bCs/>
          <w:color w:val="000000"/>
          <w:szCs w:val="21"/>
        </w:rPr>
      </w:pPr>
      <w:r>
        <w:rPr>
          <w:rFonts w:hint="eastAsia"/>
          <w:b/>
          <w:bCs/>
          <w:color w:val="000000"/>
          <w:szCs w:val="21"/>
        </w:rPr>
        <w:t>5</w:t>
      </w:r>
      <w:r>
        <w:rPr>
          <w:b/>
          <w:bCs/>
          <w:color w:val="000000"/>
          <w:szCs w:val="21"/>
        </w:rPr>
        <w:t xml:space="preserve">0  </w:t>
      </w:r>
      <w:r>
        <w:rPr>
          <w:color w:val="000000"/>
          <w:szCs w:val="21"/>
        </w:rPr>
        <w:t>《金属与石材幕墙工程技术规范》JGJ 133</w:t>
      </w:r>
    </w:p>
    <w:p w14:paraId="56F51B59">
      <w:pPr>
        <w:spacing w:line="400" w:lineRule="exact"/>
        <w:ind w:firstLine="422" w:firstLineChars="200"/>
        <w:rPr>
          <w:b/>
          <w:bCs/>
          <w:color w:val="000000"/>
          <w:szCs w:val="21"/>
        </w:rPr>
      </w:pPr>
      <w:r>
        <w:rPr>
          <w:rFonts w:hint="eastAsia"/>
          <w:b/>
          <w:bCs/>
          <w:color w:val="000000"/>
          <w:szCs w:val="21"/>
        </w:rPr>
        <w:t>5</w:t>
      </w:r>
      <w:r>
        <w:rPr>
          <w:b/>
          <w:bCs/>
          <w:color w:val="000000"/>
          <w:szCs w:val="21"/>
        </w:rPr>
        <w:t xml:space="preserve">1  </w:t>
      </w:r>
      <w:r>
        <w:rPr>
          <w:color w:val="000000" w:themeColor="text1"/>
          <w:szCs w:val="21"/>
          <w14:textFill>
            <w14:solidFill>
              <w14:schemeClr w14:val="tx1"/>
            </w14:solidFill>
          </w14:textFill>
        </w:rPr>
        <w:t>《通风管道技术规程》JGJ 141</w:t>
      </w:r>
    </w:p>
    <w:p w14:paraId="3BD424E0">
      <w:pPr>
        <w:spacing w:line="400" w:lineRule="exact"/>
        <w:ind w:firstLine="422" w:firstLineChars="200"/>
        <w:rPr>
          <w:color w:val="000000"/>
          <w:szCs w:val="21"/>
        </w:rPr>
      </w:pPr>
      <w:r>
        <w:rPr>
          <w:rFonts w:hint="eastAsia"/>
          <w:b/>
          <w:bCs/>
          <w:color w:val="000000"/>
          <w:szCs w:val="21"/>
        </w:rPr>
        <w:t>5</w:t>
      </w:r>
      <w:r>
        <w:rPr>
          <w:b/>
          <w:bCs/>
          <w:color w:val="000000"/>
          <w:szCs w:val="21"/>
        </w:rPr>
        <w:t xml:space="preserve">2  </w:t>
      </w:r>
      <w:r>
        <w:rPr>
          <w:color w:val="000000"/>
          <w:szCs w:val="21"/>
        </w:rPr>
        <w:t>《外墙外保温工程技术标准》JGJ 144</w:t>
      </w:r>
    </w:p>
    <w:p w14:paraId="028F2233">
      <w:pPr>
        <w:spacing w:line="400" w:lineRule="exact"/>
        <w:ind w:firstLine="422" w:firstLineChars="200"/>
        <w:rPr>
          <w:b/>
          <w:bCs/>
          <w:color w:val="000000"/>
          <w:szCs w:val="21"/>
        </w:rPr>
      </w:pPr>
      <w:r>
        <w:rPr>
          <w:rFonts w:hint="eastAsia"/>
          <w:b/>
          <w:bCs/>
          <w:color w:val="000000"/>
          <w:szCs w:val="21"/>
        </w:rPr>
        <w:t>5</w:t>
      </w:r>
      <w:r>
        <w:rPr>
          <w:b/>
          <w:bCs/>
          <w:color w:val="000000"/>
          <w:szCs w:val="21"/>
        </w:rPr>
        <w:t xml:space="preserve">3  </w:t>
      </w:r>
      <w:r>
        <w:rPr>
          <w:color w:val="000000"/>
          <w:szCs w:val="21"/>
        </w:rPr>
        <w:t>《住宅室内装饰装修工程质量验收规范》JGJ/T 304</w:t>
      </w:r>
    </w:p>
    <w:p w14:paraId="563DA448">
      <w:pPr>
        <w:spacing w:line="400" w:lineRule="exact"/>
        <w:ind w:firstLine="422" w:firstLineChars="200"/>
        <w:rPr>
          <w:b/>
          <w:bCs/>
          <w:color w:val="000000"/>
          <w:szCs w:val="21"/>
        </w:rPr>
      </w:pPr>
      <w:r>
        <w:rPr>
          <w:rFonts w:hint="eastAsia"/>
          <w:b/>
          <w:bCs/>
          <w:color w:val="000000"/>
          <w:szCs w:val="21"/>
        </w:rPr>
        <w:t>5</w:t>
      </w:r>
      <w:r>
        <w:rPr>
          <w:b/>
          <w:bCs/>
          <w:color w:val="000000"/>
          <w:szCs w:val="21"/>
        </w:rPr>
        <w:t xml:space="preserve">4  </w:t>
      </w:r>
      <w:r>
        <w:rPr>
          <w:color w:val="000000"/>
          <w:szCs w:val="21"/>
        </w:rPr>
        <w:t>《公共建筑节能工程施工质量验收规程》DB 11/510</w:t>
      </w:r>
    </w:p>
    <w:p w14:paraId="07F3BDF5">
      <w:pPr>
        <w:spacing w:line="400" w:lineRule="exact"/>
        <w:ind w:firstLine="422" w:firstLineChars="200"/>
        <w:rPr>
          <w:b/>
          <w:bCs/>
          <w:color w:val="000000"/>
          <w:szCs w:val="21"/>
        </w:rPr>
      </w:pPr>
      <w:r>
        <w:rPr>
          <w:rFonts w:hint="eastAsia"/>
          <w:b/>
          <w:bCs/>
          <w:color w:val="000000"/>
          <w:szCs w:val="21"/>
        </w:rPr>
        <w:t>5</w:t>
      </w:r>
      <w:r>
        <w:rPr>
          <w:b/>
          <w:bCs/>
          <w:color w:val="000000"/>
          <w:szCs w:val="21"/>
        </w:rPr>
        <w:t xml:space="preserve">5  </w:t>
      </w:r>
      <w:r>
        <w:rPr>
          <w:color w:val="000000" w:themeColor="text1"/>
          <w:szCs w:val="21"/>
          <w14:textFill>
            <w14:solidFill>
              <w14:schemeClr w14:val="tx1"/>
            </w14:solidFill>
          </w14:textFill>
        </w:rPr>
        <w:t>《消防安全疏散标志设置标准》</w:t>
      </w:r>
      <w:r>
        <w:rPr>
          <w:rFonts w:hint="eastAsia"/>
          <w:color w:val="000000" w:themeColor="text1"/>
          <w:szCs w:val="21"/>
          <w14:textFill>
            <w14:solidFill>
              <w14:schemeClr w14:val="tx1"/>
            </w14:solidFill>
          </w14:textFill>
        </w:rPr>
        <w:t>D</w:t>
      </w:r>
      <w:r>
        <w:rPr>
          <w:color w:val="000000" w:themeColor="text1"/>
          <w:szCs w:val="21"/>
          <w14:textFill>
            <w14:solidFill>
              <w14:schemeClr w14:val="tx1"/>
            </w14:solidFill>
          </w14:textFill>
        </w:rPr>
        <w:t>B 11/1024</w:t>
      </w:r>
    </w:p>
    <w:p w14:paraId="76C4EF29">
      <w:pPr>
        <w:spacing w:line="400" w:lineRule="exact"/>
        <w:ind w:firstLine="422" w:firstLineChars="200"/>
        <w:rPr>
          <w:color w:val="000000"/>
          <w:szCs w:val="21"/>
        </w:rPr>
      </w:pPr>
      <w:r>
        <w:rPr>
          <w:rFonts w:hint="eastAsia"/>
          <w:b/>
          <w:bCs/>
          <w:color w:val="000000"/>
          <w:szCs w:val="21"/>
        </w:rPr>
        <w:t>5</w:t>
      </w:r>
      <w:r>
        <w:rPr>
          <w:b/>
          <w:bCs/>
          <w:color w:val="000000"/>
          <w:szCs w:val="21"/>
        </w:rPr>
        <w:t xml:space="preserve">6  </w:t>
      </w:r>
      <w:r>
        <w:rPr>
          <w:color w:val="000000"/>
          <w:szCs w:val="21"/>
        </w:rPr>
        <w:t>《建筑工程施工组织设计管理规程》DB 11/ T363</w:t>
      </w:r>
    </w:p>
    <w:p w14:paraId="752117F6">
      <w:pPr>
        <w:spacing w:line="400" w:lineRule="exact"/>
        <w:ind w:firstLine="422" w:firstLineChars="200"/>
        <w:rPr>
          <w:color w:val="000000"/>
          <w:szCs w:val="21"/>
        </w:rPr>
      </w:pPr>
      <w:r>
        <w:rPr>
          <w:rFonts w:hint="eastAsia"/>
          <w:b/>
          <w:bCs/>
          <w:color w:val="000000"/>
          <w:szCs w:val="21"/>
        </w:rPr>
        <w:t>5</w:t>
      </w:r>
      <w:r>
        <w:rPr>
          <w:b/>
          <w:bCs/>
          <w:color w:val="000000"/>
          <w:szCs w:val="21"/>
        </w:rPr>
        <w:t>7</w:t>
      </w:r>
      <w:r>
        <w:rPr>
          <w:color w:val="000000"/>
          <w:szCs w:val="21"/>
        </w:rPr>
        <w:t xml:space="preserve">  《建筑工程资料管理规程》DB 11/ T695</w:t>
      </w:r>
    </w:p>
    <w:p w14:paraId="21C11754">
      <w:pPr>
        <w:spacing w:line="400" w:lineRule="exact"/>
        <w:ind w:firstLine="422" w:firstLineChars="200"/>
        <w:rPr>
          <w:b/>
          <w:bCs/>
          <w:color w:val="000000"/>
          <w:szCs w:val="21"/>
        </w:rPr>
      </w:pPr>
      <w:r>
        <w:rPr>
          <w:rFonts w:hint="eastAsia"/>
          <w:b/>
          <w:bCs/>
          <w:color w:val="000000"/>
          <w:szCs w:val="21"/>
        </w:rPr>
        <w:t>5</w:t>
      </w:r>
      <w:r>
        <w:rPr>
          <w:b/>
          <w:bCs/>
          <w:color w:val="000000"/>
          <w:szCs w:val="21"/>
        </w:rPr>
        <w:t xml:space="preserve">8  </w:t>
      </w:r>
      <w:r>
        <w:rPr>
          <w:color w:val="000000"/>
          <w:szCs w:val="21"/>
        </w:rPr>
        <w:t>《保温装饰板外墙外保温施工技术规程》DB 11/ T697</w:t>
      </w:r>
    </w:p>
    <w:p w14:paraId="4EAFA4E6">
      <w:pPr>
        <w:spacing w:line="400" w:lineRule="exact"/>
        <w:ind w:firstLine="422" w:firstLineChars="200"/>
        <w:rPr>
          <w:color w:val="000000"/>
          <w:szCs w:val="21"/>
        </w:rPr>
      </w:pPr>
      <w:r>
        <w:rPr>
          <w:rFonts w:hint="eastAsia"/>
          <w:b/>
          <w:bCs/>
          <w:color w:val="000000"/>
          <w:szCs w:val="21"/>
        </w:rPr>
        <w:t>5</w:t>
      </w:r>
      <w:r>
        <w:rPr>
          <w:b/>
          <w:bCs/>
          <w:color w:val="000000"/>
          <w:szCs w:val="21"/>
        </w:rPr>
        <w:t xml:space="preserve">9  </w:t>
      </w:r>
      <w:r>
        <w:rPr>
          <w:color w:val="000000"/>
          <w:szCs w:val="21"/>
        </w:rPr>
        <w:t>《地面工程</w:t>
      </w:r>
      <w:r>
        <w:rPr>
          <w:rFonts w:hint="eastAsia"/>
          <w:color w:val="000000"/>
          <w:szCs w:val="21"/>
        </w:rPr>
        <w:t>防滑施工及验收</w:t>
      </w:r>
      <w:r>
        <w:rPr>
          <w:color w:val="000000"/>
          <w:szCs w:val="21"/>
        </w:rPr>
        <w:t>规程》DB 11/ T944</w:t>
      </w:r>
    </w:p>
    <w:p w14:paraId="11283ED7">
      <w:pPr>
        <w:spacing w:line="400" w:lineRule="exact"/>
        <w:ind w:firstLine="422" w:firstLineChars="200"/>
        <w:rPr>
          <w:b/>
          <w:bCs/>
          <w:color w:val="000000"/>
          <w:szCs w:val="21"/>
        </w:rPr>
      </w:pPr>
      <w:r>
        <w:rPr>
          <w:rFonts w:hint="eastAsia"/>
          <w:b/>
          <w:bCs/>
          <w:color w:val="000000"/>
          <w:szCs w:val="21"/>
        </w:rPr>
        <w:t>6</w:t>
      </w:r>
      <w:r>
        <w:rPr>
          <w:b/>
          <w:bCs/>
          <w:color w:val="000000"/>
          <w:szCs w:val="21"/>
        </w:rPr>
        <w:t xml:space="preserve">0  </w:t>
      </w:r>
      <w:r>
        <w:rPr>
          <w:color w:val="000000"/>
          <w:szCs w:val="21"/>
        </w:rPr>
        <w:t>《</w:t>
      </w:r>
      <w:r>
        <w:rPr>
          <w:color w:val="000000" w:themeColor="text1"/>
          <w:szCs w:val="21"/>
          <w14:textFill>
            <w14:solidFill>
              <w14:schemeClr w14:val="tx1"/>
            </w14:solidFill>
          </w14:textFill>
        </w:rPr>
        <w:t>居住建筑节能工程施工质量验收规程》DB 11/ T1340</w:t>
      </w:r>
    </w:p>
    <w:p w14:paraId="707B1740">
      <w:pPr>
        <w:spacing w:line="400" w:lineRule="exact"/>
        <w:ind w:firstLine="422" w:firstLineChars="200"/>
        <w:rPr>
          <w:color w:val="000000"/>
          <w:szCs w:val="21"/>
        </w:rPr>
      </w:pPr>
      <w:r>
        <w:rPr>
          <w:rFonts w:hint="eastAsia"/>
          <w:b/>
          <w:bCs/>
          <w:color w:val="000000"/>
          <w:szCs w:val="21"/>
        </w:rPr>
        <w:t>6</w:t>
      </w:r>
      <w:r>
        <w:rPr>
          <w:b/>
          <w:bCs/>
          <w:color w:val="000000"/>
          <w:szCs w:val="21"/>
        </w:rPr>
        <w:t xml:space="preserve">1  </w:t>
      </w:r>
      <w:r>
        <w:rPr>
          <w:color w:val="000000"/>
          <w:szCs w:val="21"/>
        </w:rPr>
        <w:t>《民用建筑工程室内环境污染控制规程》</w:t>
      </w:r>
      <w:r>
        <w:rPr>
          <w:color w:val="000000" w:themeColor="text1"/>
          <w:szCs w:val="21"/>
          <w14:textFill>
            <w14:solidFill>
              <w14:schemeClr w14:val="tx1"/>
            </w14:solidFill>
          </w14:textFill>
        </w:rPr>
        <w:t>DB 11/ T1445</w:t>
      </w:r>
    </w:p>
    <w:p w14:paraId="3722CD1F">
      <w:pPr>
        <w:spacing w:line="400" w:lineRule="exact"/>
        <w:rPr>
          <w:color w:val="000000"/>
          <w:szCs w:val="21"/>
        </w:rPr>
      </w:pPr>
      <w:r>
        <w:rPr>
          <w:color w:val="000000"/>
          <w:sz w:val="24"/>
          <w:szCs w:val="24"/>
        </w:rPr>
        <w:t xml:space="preserve">   </w:t>
      </w:r>
      <w:r>
        <w:rPr>
          <w:color w:val="000000"/>
          <w:szCs w:val="21"/>
        </w:rPr>
        <w:t xml:space="preserve"> 在建筑长城杯检查时，如工程存在任何违反本条款的问题，</w:t>
      </w:r>
      <w:r>
        <w:rPr>
          <w:rFonts w:hint="eastAsia"/>
          <w:color w:val="000000"/>
          <w:szCs w:val="21"/>
        </w:rPr>
        <w:t>施工期间发生质量安全事故、消防安全事故受到行政处罚的项目，取消评审资格。</w:t>
      </w:r>
      <w:r>
        <w:rPr>
          <w:color w:val="000000"/>
          <w:szCs w:val="21"/>
        </w:rPr>
        <w:t>且问题严重、无法整改或者需要投入大量的人力财力进行完善，则不能评为建筑长城杯工程。</w:t>
      </w:r>
    </w:p>
    <w:p w14:paraId="1C74D932">
      <w:pPr>
        <w:spacing w:line="400" w:lineRule="exact"/>
        <w:rPr>
          <w:color w:val="000000"/>
          <w:szCs w:val="21"/>
        </w:rPr>
      </w:pPr>
      <w:r>
        <w:rPr>
          <w:b/>
          <w:bCs/>
          <w:color w:val="000000"/>
          <w:szCs w:val="21"/>
        </w:rPr>
        <w:t xml:space="preserve">2.0.5  </w:t>
      </w:r>
      <w:r>
        <w:rPr>
          <w:color w:val="000000"/>
          <w:szCs w:val="21"/>
        </w:rPr>
        <w:t>创建筑长城杯工程，必须通过科学合理的项目管理才能做到“一次成优”，即在长城杯检查前后均不需要做较多整改，即能达到建筑长城杯的质量标准。企业通过创优活动取得建筑长城杯奖项，不仅可以获得较好的社会效益，而且还可获得较好的经济效益。</w:t>
      </w:r>
    </w:p>
    <w:p w14:paraId="6F229227">
      <w:pPr>
        <w:spacing w:line="400" w:lineRule="exact"/>
        <w:rPr>
          <w:color w:val="000000"/>
          <w:szCs w:val="21"/>
        </w:rPr>
      </w:pPr>
      <w:r>
        <w:rPr>
          <w:b/>
          <w:color w:val="000000"/>
          <w:szCs w:val="21"/>
        </w:rPr>
        <w:t xml:space="preserve">2.0.6 </w:t>
      </w:r>
      <w:r>
        <w:rPr>
          <w:color w:val="000000"/>
          <w:szCs w:val="21"/>
        </w:rPr>
        <w:t xml:space="preserve"> 明确提出施工单位应积极推广应用新技术。对于第一次采用的新技术，应有专家论证。有关规定按照京建发</w:t>
      </w:r>
      <w:r>
        <w:rPr>
          <w:rFonts w:hint="eastAsia"/>
          <w:color w:val="000000"/>
          <w:szCs w:val="21"/>
        </w:rPr>
        <w:t>（</w:t>
      </w:r>
      <w:r>
        <w:rPr>
          <w:color w:val="000000"/>
          <w:szCs w:val="21"/>
        </w:rPr>
        <w:t>2021</w:t>
      </w:r>
      <w:r>
        <w:rPr>
          <w:rFonts w:hint="eastAsia"/>
          <w:color w:val="000000"/>
          <w:szCs w:val="21"/>
        </w:rPr>
        <w:t>）</w:t>
      </w:r>
      <w:r>
        <w:rPr>
          <w:color w:val="000000"/>
          <w:szCs w:val="21"/>
        </w:rPr>
        <w:t>247号文执行。</w:t>
      </w:r>
    </w:p>
    <w:p w14:paraId="636388E6">
      <w:pPr>
        <w:spacing w:line="400" w:lineRule="exact"/>
        <w:rPr>
          <w:color w:val="000000"/>
          <w:szCs w:val="21"/>
        </w:rPr>
      </w:pPr>
      <w:r>
        <w:rPr>
          <w:b/>
          <w:color w:val="000000"/>
          <w:szCs w:val="21"/>
        </w:rPr>
        <w:t>2.0.7</w:t>
      </w:r>
      <w:r>
        <w:rPr>
          <w:color w:val="000000"/>
          <w:szCs w:val="21"/>
        </w:rPr>
        <w:t xml:space="preserve">  对工程所用材料节能和环保的要求。参评工程应积极采用节能环保产品，严禁使用国家、北京市明令淘汰和禁止使用的产品，对限制使用的产品应符合其适用范围。</w:t>
      </w:r>
    </w:p>
    <w:p w14:paraId="52D7F4C5">
      <w:pPr>
        <w:spacing w:line="400" w:lineRule="exact"/>
        <w:rPr>
          <w:b/>
          <w:bCs/>
          <w:color w:val="000000"/>
          <w:szCs w:val="21"/>
        </w:rPr>
      </w:pPr>
      <w:r>
        <w:rPr>
          <w:b/>
          <w:bCs/>
          <w:color w:val="000000"/>
          <w:szCs w:val="21"/>
        </w:rPr>
        <w:t xml:space="preserve">2.0.9  </w:t>
      </w:r>
      <w:r>
        <w:rPr>
          <w:color w:val="000000"/>
          <w:szCs w:val="21"/>
        </w:rPr>
        <w:t>在争创建筑长城杯工程的过程中，施工单位应积极推进绿色与智慧建造，通过争创长城杯过程控制，推进可持续低碳发展的建造方向。</w:t>
      </w:r>
    </w:p>
    <w:p w14:paraId="7204397F">
      <w:pPr>
        <w:spacing w:line="400" w:lineRule="exact"/>
        <w:rPr>
          <w:color w:val="000000"/>
          <w:szCs w:val="21"/>
        </w:rPr>
      </w:pPr>
      <w:r>
        <w:rPr>
          <w:b/>
          <w:bCs/>
          <w:color w:val="000000"/>
          <w:szCs w:val="21"/>
        </w:rPr>
        <w:t xml:space="preserve">2.0.10  </w:t>
      </w:r>
      <w:r>
        <w:rPr>
          <w:color w:val="000000"/>
          <w:szCs w:val="21"/>
        </w:rPr>
        <w:t>创建精品工程需各专业相互配合。建筑装饰装修工程应出具完整的施工图设计文件（GB 50210,3.1.1款），机场、酒店、大型超市、大型办公楼等较复杂的机电工程，应进行深化设计，并经设计单位确认。综合布置，合理安排工序，并应编制样板计划和制作样板间，经建设单位、监理单位认可后施工。</w:t>
      </w:r>
    </w:p>
    <w:p w14:paraId="55E3A657">
      <w:pPr>
        <w:spacing w:line="400" w:lineRule="exact"/>
        <w:rPr>
          <w:color w:val="000000"/>
          <w:szCs w:val="21"/>
        </w:rPr>
      </w:pPr>
    </w:p>
    <w:p w14:paraId="5451C831">
      <w:pPr>
        <w:pStyle w:val="3"/>
        <w:rPr>
          <w:rFonts w:ascii="Times New Roman" w:hAnsi="Times New Roman" w:eastAsia="黑体"/>
          <w:sz w:val="28"/>
          <w:szCs w:val="28"/>
          <w:lang w:val="en-US"/>
        </w:rPr>
      </w:pPr>
      <w:bookmarkStart w:id="1149" w:name="_Toc44"/>
      <w:bookmarkStart w:id="1150" w:name="_Toc23449"/>
      <w:bookmarkStart w:id="1151" w:name="_Toc7311"/>
      <w:bookmarkStart w:id="1152" w:name="_Toc22776"/>
      <w:bookmarkStart w:id="1153" w:name="_Toc18246"/>
      <w:bookmarkStart w:id="1154" w:name="_Toc21079"/>
      <w:bookmarkStart w:id="1155" w:name="_Toc26712"/>
      <w:bookmarkStart w:id="1156" w:name="_Toc20444"/>
      <w:r>
        <w:rPr>
          <w:rFonts w:ascii="Times New Roman" w:hAnsi="Times New Roman" w:eastAsia="黑体"/>
          <w:sz w:val="28"/>
          <w:szCs w:val="28"/>
          <w:lang w:val="en-US"/>
        </w:rPr>
        <w:t>3  施工项目管理</w:t>
      </w:r>
      <w:bookmarkEnd w:id="1149"/>
      <w:bookmarkEnd w:id="1150"/>
      <w:bookmarkEnd w:id="1151"/>
      <w:bookmarkEnd w:id="1152"/>
      <w:bookmarkEnd w:id="1153"/>
      <w:bookmarkEnd w:id="1154"/>
      <w:bookmarkEnd w:id="1155"/>
      <w:bookmarkEnd w:id="1156"/>
    </w:p>
    <w:p w14:paraId="7DD579F2">
      <w:pPr>
        <w:spacing w:line="400" w:lineRule="exact"/>
        <w:rPr>
          <w:color w:val="000000"/>
          <w:szCs w:val="21"/>
        </w:rPr>
      </w:pPr>
      <w:r>
        <w:rPr>
          <w:b/>
          <w:color w:val="000000"/>
          <w:szCs w:val="21"/>
        </w:rPr>
        <w:t>3.0.2</w:t>
      </w:r>
      <w:r>
        <w:rPr>
          <w:color w:val="000000"/>
          <w:szCs w:val="21"/>
        </w:rPr>
        <w:t xml:space="preserve">  项目部的组织机构、人员任职能力和数量必须满足工程的需要，符合北京市住房和城乡建设委员会颁发的《关于加强北京市建设工程质量施工现场管理工作的通知》（京建发</w:t>
      </w:r>
      <w:r>
        <w:rPr>
          <w:rFonts w:hint="eastAsia"/>
          <w:color w:val="000000"/>
          <w:szCs w:val="21"/>
        </w:rPr>
        <w:t>（</w:t>
      </w:r>
      <w:r>
        <w:rPr>
          <w:color w:val="000000"/>
          <w:szCs w:val="21"/>
        </w:rPr>
        <w:t>2010</w:t>
      </w:r>
      <w:r>
        <w:rPr>
          <w:rFonts w:hint="eastAsia"/>
          <w:color w:val="000000"/>
          <w:szCs w:val="21"/>
        </w:rPr>
        <w:t>）</w:t>
      </w:r>
      <w:r>
        <w:rPr>
          <w:color w:val="000000"/>
          <w:szCs w:val="21"/>
        </w:rPr>
        <w:t>111号）的有关规定。这是保证工程质量的基本条件。</w:t>
      </w:r>
    </w:p>
    <w:p w14:paraId="06C063EF">
      <w:pPr>
        <w:spacing w:line="400" w:lineRule="exact"/>
        <w:rPr>
          <w:color w:val="000000"/>
        </w:rPr>
      </w:pPr>
      <w:r>
        <w:rPr>
          <w:rFonts w:hint="eastAsia"/>
          <w:b/>
          <w:bCs/>
          <w:color w:val="000000"/>
          <w:szCs w:val="21"/>
        </w:rPr>
        <w:t>3.0.3</w:t>
      </w:r>
      <w:r>
        <w:rPr>
          <w:rFonts w:hint="eastAsia"/>
          <w:color w:val="000000"/>
          <w:szCs w:val="21"/>
        </w:rPr>
        <w:t xml:space="preserve">  创优策划应包括但不限于确定质量目标和要求、质量管理组织体系及管理职责、质量管理与协调的程序、质量控制点、质量风险、实施质量目标的控制措施，并应根据工程进展实施动态管理。</w:t>
      </w:r>
    </w:p>
    <w:p w14:paraId="1CDD1E99">
      <w:pPr>
        <w:spacing w:line="400" w:lineRule="exact"/>
        <w:rPr>
          <w:color w:val="000000"/>
          <w:szCs w:val="21"/>
        </w:rPr>
      </w:pPr>
      <w:r>
        <w:rPr>
          <w:b/>
          <w:bCs/>
          <w:color w:val="000000"/>
          <w:szCs w:val="21"/>
        </w:rPr>
        <w:t xml:space="preserve">3.0.9 ，3.0.10，3.0.11  </w:t>
      </w:r>
      <w:r>
        <w:rPr>
          <w:color w:val="000000"/>
          <w:szCs w:val="21"/>
        </w:rPr>
        <w:t>项目应积极采取节能减排施工过程管控，并通过设计优化和方案优化，提升绿色建造水平。积极推广应用住建部《建筑业10项新技术》及总结和分析技术创新成果，分析精细化管理取得的成效。建立质量管理、过程控制、质量验收、质量评价等数据库，加强数据采集、数据同步传输、数据存储、数据应用等信息建设。</w:t>
      </w:r>
    </w:p>
    <w:p w14:paraId="00352BDC">
      <w:pPr>
        <w:pStyle w:val="2"/>
        <w:ind w:left="134" w:firstLine="283"/>
        <w:rPr>
          <w:color w:val="000000"/>
        </w:rPr>
      </w:pPr>
    </w:p>
    <w:p w14:paraId="25E41A63">
      <w:pPr>
        <w:pStyle w:val="3"/>
        <w:rPr>
          <w:rFonts w:ascii="Times New Roman" w:hAnsi="Times New Roman" w:eastAsia="黑体"/>
          <w:sz w:val="28"/>
          <w:szCs w:val="28"/>
          <w:lang w:val="en-US"/>
        </w:rPr>
      </w:pPr>
      <w:bookmarkStart w:id="1157" w:name="_Toc32250"/>
      <w:bookmarkStart w:id="1158" w:name="_Toc8549"/>
      <w:bookmarkStart w:id="1159" w:name="_Toc4339"/>
      <w:bookmarkStart w:id="1160" w:name="_Toc11075"/>
      <w:bookmarkStart w:id="1161" w:name="_Toc18191"/>
      <w:bookmarkStart w:id="1162" w:name="_Toc29718"/>
      <w:bookmarkStart w:id="1163" w:name="_Toc1547"/>
      <w:bookmarkStart w:id="1164" w:name="_Toc20423"/>
      <w:r>
        <w:rPr>
          <w:rFonts w:ascii="Times New Roman" w:hAnsi="Times New Roman" w:eastAsia="黑体"/>
          <w:sz w:val="28"/>
          <w:szCs w:val="28"/>
          <w:lang w:val="en-US"/>
        </w:rPr>
        <w:t>4  工程资料管理</w:t>
      </w:r>
      <w:bookmarkEnd w:id="1157"/>
      <w:bookmarkEnd w:id="1158"/>
      <w:bookmarkEnd w:id="1159"/>
      <w:bookmarkEnd w:id="1160"/>
      <w:bookmarkEnd w:id="1161"/>
      <w:bookmarkEnd w:id="1162"/>
      <w:bookmarkEnd w:id="1163"/>
      <w:bookmarkEnd w:id="1164"/>
    </w:p>
    <w:p w14:paraId="70E2EDFD">
      <w:pPr>
        <w:spacing w:line="400" w:lineRule="exact"/>
        <w:rPr>
          <w:color w:val="000000"/>
          <w:szCs w:val="21"/>
        </w:rPr>
      </w:pPr>
      <w:r>
        <w:rPr>
          <w:b/>
          <w:color w:val="000000"/>
          <w:szCs w:val="21"/>
        </w:rPr>
        <w:t>4.0.1</w:t>
      </w:r>
      <w:r>
        <w:rPr>
          <w:color w:val="000000"/>
          <w:szCs w:val="21"/>
        </w:rPr>
        <w:t xml:space="preserve">  工程资料是重要的施工文件，项目部应认真做好工程资料的管理工作。在建筑长城杯工程</w:t>
      </w:r>
      <w:r>
        <w:rPr>
          <w:rFonts w:hint="eastAsia"/>
          <w:color w:val="000000"/>
          <w:szCs w:val="21"/>
        </w:rPr>
        <w:t>评审</w:t>
      </w:r>
      <w:r>
        <w:rPr>
          <w:color w:val="000000"/>
          <w:szCs w:val="21"/>
        </w:rPr>
        <w:t>时，工程资料管理评价获“精”，工程才有可能推荐为建筑长城杯</w:t>
      </w:r>
      <w:r>
        <w:rPr>
          <w:rFonts w:hint="eastAsia"/>
          <w:color w:val="000000"/>
          <w:szCs w:val="21"/>
        </w:rPr>
        <w:t>金质奖</w:t>
      </w:r>
      <w:r>
        <w:rPr>
          <w:color w:val="000000"/>
          <w:szCs w:val="21"/>
        </w:rPr>
        <w:t>。本条明确了工程资料管理应遵循的国家和北京市现行的有关标准。</w:t>
      </w:r>
    </w:p>
    <w:p w14:paraId="37F6D40E">
      <w:pPr>
        <w:spacing w:line="400" w:lineRule="exact"/>
        <w:rPr>
          <w:color w:val="000000"/>
          <w:szCs w:val="21"/>
        </w:rPr>
      </w:pPr>
      <w:r>
        <w:rPr>
          <w:rFonts w:hint="eastAsia"/>
          <w:b/>
          <w:bCs/>
          <w:color w:val="000000"/>
          <w:szCs w:val="21"/>
        </w:rPr>
        <w:t>4.0.2</w:t>
      </w:r>
      <w:r>
        <w:rPr>
          <w:rFonts w:hint="eastAsia"/>
          <w:color w:val="000000"/>
          <w:szCs w:val="21"/>
        </w:rPr>
        <w:t xml:space="preserve">  </w:t>
      </w:r>
      <w:r>
        <w:rPr>
          <w:color w:val="000000"/>
          <w:szCs w:val="21"/>
        </w:rPr>
        <w:t>工程资料的管理是一项系统工程，涉及工程项目负责人、技术负责人、生产负责人、技术员、质量员、工长、材料员、试验员、资料员等诸多岗位上的人员，还涉及分包单位，因此，要做好工程资料管理工作，明确总包、分包和各有关人员的分工和责任是非常重要的。</w:t>
      </w:r>
      <w:r>
        <w:rPr>
          <w:rFonts w:hint="eastAsia"/>
          <w:b/>
          <w:bCs/>
          <w:color w:val="000000"/>
          <w:szCs w:val="21"/>
        </w:rPr>
        <w:t>4</w:t>
      </w:r>
      <w:r>
        <w:rPr>
          <w:b/>
          <w:bCs/>
          <w:color w:val="000000"/>
          <w:szCs w:val="21"/>
        </w:rPr>
        <w:t>.0.3</w:t>
      </w:r>
      <w:r>
        <w:rPr>
          <w:rFonts w:hint="eastAsia"/>
          <w:color w:val="000000"/>
          <w:szCs w:val="21"/>
        </w:rPr>
        <w:t xml:space="preserve"> </w:t>
      </w:r>
      <w:r>
        <w:rPr>
          <w:rFonts w:hint="eastAsia"/>
          <w:bCs/>
          <w:color w:val="000000"/>
          <w:szCs w:val="21"/>
        </w:rPr>
        <w:t>档案资料实现电子化是智慧工地建设的要求。</w:t>
      </w:r>
      <w:r>
        <w:rPr>
          <w:color w:val="000000"/>
          <w:szCs w:val="21"/>
        </w:rPr>
        <w:t>工程质量验收资料电子化是信息化发展的需要。</w:t>
      </w:r>
    </w:p>
    <w:p w14:paraId="0D53EA73">
      <w:pPr>
        <w:spacing w:line="400" w:lineRule="exact"/>
        <w:rPr>
          <w:color w:val="000000"/>
          <w:szCs w:val="21"/>
        </w:rPr>
      </w:pPr>
      <w:r>
        <w:rPr>
          <w:b/>
          <w:color w:val="000000"/>
          <w:szCs w:val="21"/>
        </w:rPr>
        <w:t xml:space="preserve">4.0.4  </w:t>
      </w:r>
      <w:r>
        <w:rPr>
          <w:color w:val="000000"/>
          <w:szCs w:val="21"/>
        </w:rPr>
        <w:t xml:space="preserve">明确了工程资料管理应符合的基本要求。一般情况下，工程资料的原件应移交给建设单位。当所需资料份数较多，原件份数不够时可用复印件，本条第2款规定了使用复印件时应注意的事项。 </w:t>
      </w:r>
    </w:p>
    <w:p w14:paraId="2D49A5EF">
      <w:pPr>
        <w:spacing w:line="400" w:lineRule="exact"/>
        <w:rPr>
          <w:color w:val="000000"/>
          <w:szCs w:val="21"/>
        </w:rPr>
      </w:pPr>
      <w:r>
        <w:rPr>
          <w:b/>
          <w:color w:val="000000"/>
          <w:szCs w:val="21"/>
        </w:rPr>
        <w:t xml:space="preserve">4.0.5  </w:t>
      </w:r>
      <w:r>
        <w:rPr>
          <w:color w:val="000000"/>
          <w:szCs w:val="21"/>
        </w:rPr>
        <w:t>规定了建筑长城杯</w:t>
      </w:r>
      <w:r>
        <w:rPr>
          <w:rFonts w:hint="eastAsia"/>
          <w:color w:val="000000"/>
          <w:szCs w:val="21"/>
        </w:rPr>
        <w:t>评审</w:t>
      </w:r>
      <w:r>
        <w:rPr>
          <w:color w:val="000000"/>
          <w:szCs w:val="21"/>
        </w:rPr>
        <w:t>检查时各专业应抽查的共性施工技术资料。其中第3款</w:t>
      </w:r>
      <w:r>
        <w:rPr>
          <w:rFonts w:hint="eastAsia"/>
          <w:color w:val="000000"/>
          <w:szCs w:val="21"/>
        </w:rPr>
        <w:t>中“</w:t>
      </w:r>
      <w:r>
        <w:rPr>
          <w:color w:val="000000"/>
          <w:szCs w:val="21"/>
        </w:rPr>
        <w:t>变更应在施工图中改绘，并注明修改依据</w:t>
      </w:r>
      <w:r>
        <w:rPr>
          <w:rFonts w:hint="eastAsia"/>
          <w:color w:val="000000"/>
          <w:szCs w:val="21"/>
        </w:rPr>
        <w:t>”</w:t>
      </w:r>
      <w:r>
        <w:rPr>
          <w:color w:val="000000"/>
          <w:szCs w:val="21"/>
        </w:rPr>
        <w:t>，是指设计变更和工程洽商涉及图纸变更的内容，均应在</w:t>
      </w:r>
      <w:r>
        <w:rPr>
          <w:rFonts w:hint="eastAsia"/>
          <w:color w:val="000000"/>
          <w:szCs w:val="21"/>
        </w:rPr>
        <w:t>施工</w:t>
      </w:r>
      <w:r>
        <w:rPr>
          <w:color w:val="000000"/>
          <w:szCs w:val="21"/>
        </w:rPr>
        <w:t>图纸上进行修改，如果是设计单位重新绘制的竣工图，此款不涉及。</w:t>
      </w:r>
      <w:r>
        <w:rPr>
          <w:rFonts w:hint="eastAsia"/>
          <w:color w:val="000000"/>
          <w:szCs w:val="21"/>
        </w:rPr>
        <w:t>第4款  重要的分部分项工程隐蔽验收记录、影像资料应符合北京市住房和城乡建设委员会“关于加强工程质量影像追溯管理的通知（京建发（2021）29号）”的规定，保证预拌混凝土、土方回填、防水、外墙外保温等施工质量的可追溯性。</w:t>
      </w:r>
    </w:p>
    <w:p w14:paraId="0FB51EF0">
      <w:pPr>
        <w:spacing w:line="400" w:lineRule="exact"/>
        <w:rPr>
          <w:color w:val="000000"/>
          <w:szCs w:val="21"/>
        </w:rPr>
      </w:pPr>
      <w:r>
        <w:rPr>
          <w:b/>
          <w:color w:val="000000"/>
          <w:szCs w:val="21"/>
        </w:rPr>
        <w:t>4.0.</w:t>
      </w:r>
      <w:r>
        <w:rPr>
          <w:rFonts w:hint="eastAsia"/>
          <w:b/>
          <w:color w:val="000000"/>
          <w:szCs w:val="21"/>
        </w:rPr>
        <w:t>6</w:t>
      </w:r>
      <w:r>
        <w:rPr>
          <w:color w:val="000000"/>
          <w:szCs w:val="21"/>
        </w:rPr>
        <w:t xml:space="preserve">  建筑长城杯</w:t>
      </w:r>
      <w:r>
        <w:rPr>
          <w:rFonts w:hint="eastAsia"/>
          <w:color w:val="000000"/>
          <w:szCs w:val="21"/>
        </w:rPr>
        <w:t>评审</w:t>
      </w:r>
      <w:r>
        <w:rPr>
          <w:color w:val="000000"/>
          <w:szCs w:val="21"/>
        </w:rPr>
        <w:t>检查时，各专业对工程所用的材料、设备的材质证明要进行抽查，本条规定了具体的要求和重点必查的内容。第1款：产品合格证书和性能检测报告，其中产品质量合格证、出厂检测报告应为原件，型式检验报告一般为复印件，型式检验报告是由生产厂家委托有资质的检测机构（有“CMA”章），对定型产品或成套技术的全部性能及其适用性所做的检验报告。第2款： 消防、电力、卫生、环保等材料和设备行政管理部门的认可文件是指型式认可证书和生产许可证；第5款：国家认监委《强制性产品认证目录》中</w:t>
      </w:r>
      <w:r>
        <w:rPr>
          <w:rFonts w:hint="eastAsia"/>
          <w:color w:val="000000"/>
          <w:szCs w:val="21"/>
        </w:rPr>
        <w:t>建筑工程</w:t>
      </w:r>
      <w:r>
        <w:rPr>
          <w:color w:val="000000"/>
          <w:szCs w:val="21"/>
        </w:rPr>
        <w:t>常用</w:t>
      </w:r>
      <w:r>
        <w:rPr>
          <w:rFonts w:hint="eastAsia"/>
          <w:color w:val="000000"/>
          <w:szCs w:val="21"/>
        </w:rPr>
        <w:t>的有</w:t>
      </w:r>
      <w:r>
        <w:rPr>
          <w:color w:val="000000"/>
          <w:szCs w:val="21"/>
        </w:rPr>
        <w:t>建筑安全玻璃、溶剂型木器涂料</w:t>
      </w:r>
      <w:r>
        <w:rPr>
          <w:rFonts w:hint="eastAsia"/>
          <w:color w:val="000000"/>
          <w:szCs w:val="21"/>
        </w:rPr>
        <w:t>、</w:t>
      </w:r>
      <w:r>
        <w:rPr>
          <w:color w:val="000000"/>
          <w:szCs w:val="21"/>
        </w:rPr>
        <w:t>瓷质砖</w:t>
      </w:r>
      <w:r>
        <w:rPr>
          <w:rFonts w:hint="eastAsia"/>
          <w:color w:val="000000"/>
          <w:szCs w:val="21"/>
        </w:rPr>
        <w:t>、电线电缆、开关插座、低压电器、照明电器、消防产品等。</w:t>
      </w:r>
      <w:r>
        <w:rPr>
          <w:color w:val="000000"/>
          <w:szCs w:val="21"/>
        </w:rPr>
        <w:t>第6款：</w:t>
      </w:r>
      <w:r>
        <w:rPr>
          <w:rFonts w:hint="eastAsia"/>
          <w:color w:val="000000"/>
          <w:szCs w:val="21"/>
        </w:rPr>
        <w:t>中华人民共和国</w:t>
      </w:r>
      <w:r>
        <w:rPr>
          <w:color w:val="000000"/>
          <w:szCs w:val="21"/>
        </w:rPr>
        <w:t>海关总署发布的《出入境检验检疫机构实施检验检疫的进出境商品目录》中的进口的材料、设备</w:t>
      </w:r>
      <w:r>
        <w:rPr>
          <w:rFonts w:hint="eastAsia"/>
          <w:color w:val="000000"/>
          <w:szCs w:val="21"/>
        </w:rPr>
        <w:t>需要进行检验检疫，</w:t>
      </w:r>
      <w:r>
        <w:rPr>
          <w:color w:val="000000"/>
          <w:szCs w:val="21"/>
        </w:rPr>
        <w:t>应有相应的商检单，中文或译成中文的材质证明、原产地证明、维修保养和使用说明书，目的是方便使用和维修。</w:t>
      </w:r>
    </w:p>
    <w:p w14:paraId="563741AF">
      <w:pPr>
        <w:spacing w:line="400" w:lineRule="exact"/>
        <w:rPr>
          <w:color w:val="000000"/>
          <w:szCs w:val="21"/>
        </w:rPr>
      </w:pPr>
      <w:r>
        <w:rPr>
          <w:b/>
          <w:color w:val="000000"/>
          <w:szCs w:val="21"/>
        </w:rPr>
        <w:t>4.0.7</w:t>
      </w:r>
      <w:r>
        <w:rPr>
          <w:color w:val="000000"/>
          <w:szCs w:val="21"/>
        </w:rPr>
        <w:t xml:space="preserve">  规定了土建工程还应重点抽查的施工资料内容。第1款是室内环境污染物控制的规定；第2款是室内装饰装修材料防火性能的规定；第3款是防水工程检查要点</w:t>
      </w:r>
      <w:r>
        <w:rPr>
          <w:rFonts w:hint="eastAsia"/>
          <w:color w:val="000000"/>
          <w:szCs w:val="21"/>
        </w:rPr>
        <w:t>，依据《住宅工程防水施工和渗漏防治指南》（京建发（2023）87号）做好地下室、屋面、卫生间外墙外门窗、室外悬挑构件等重要部位防水施工质量控制，质量保证资料应齐全；</w:t>
      </w:r>
      <w:r>
        <w:rPr>
          <w:color w:val="000000"/>
          <w:szCs w:val="21"/>
        </w:rPr>
        <w:t>第4款</w:t>
      </w:r>
      <w:r>
        <w:rPr>
          <w:rFonts w:hint="eastAsia"/>
          <w:color w:val="000000"/>
          <w:szCs w:val="21"/>
        </w:rPr>
        <w:t>回填土采用烘干法试验，烘干时间对黏质土，不得少于8</w:t>
      </w:r>
      <w:r>
        <w:rPr>
          <w:color w:val="000000"/>
          <w:szCs w:val="21"/>
        </w:rPr>
        <w:t xml:space="preserve"> </w:t>
      </w:r>
      <w:r>
        <w:rPr>
          <w:rFonts w:hint="eastAsia"/>
          <w:color w:val="000000"/>
          <w:szCs w:val="21"/>
        </w:rPr>
        <w:t>h；对砂类土，不得少于6</w:t>
      </w:r>
      <w:r>
        <w:rPr>
          <w:color w:val="000000"/>
          <w:szCs w:val="21"/>
        </w:rPr>
        <w:t xml:space="preserve"> </w:t>
      </w:r>
      <w:r>
        <w:rPr>
          <w:rFonts w:hint="eastAsia"/>
          <w:color w:val="000000"/>
          <w:szCs w:val="21"/>
        </w:rPr>
        <w:t>h（GB/T 50123-2019）</w:t>
      </w:r>
      <w:r>
        <w:rPr>
          <w:color w:val="000000"/>
          <w:szCs w:val="21"/>
        </w:rPr>
        <w:t>；</w:t>
      </w:r>
      <w:r>
        <w:rPr>
          <w:rFonts w:hint="eastAsia"/>
          <w:color w:val="000000"/>
          <w:szCs w:val="21"/>
        </w:rPr>
        <w:t>由于回填土检测时间至少需要6</w:t>
      </w:r>
      <w:r>
        <w:rPr>
          <w:color w:val="000000"/>
          <w:szCs w:val="21"/>
        </w:rPr>
        <w:t xml:space="preserve"> </w:t>
      </w:r>
      <w:r>
        <w:rPr>
          <w:rFonts w:hint="eastAsia"/>
          <w:color w:val="000000"/>
          <w:szCs w:val="21"/>
        </w:rPr>
        <w:t>h，每层压实度检测完成后方可进行下一步回填，且每台班回填步数过多对回填土质量控制不利，因此每台班回填步数不应超过3或4步。</w:t>
      </w:r>
      <w:r>
        <w:rPr>
          <w:color w:val="000000"/>
          <w:szCs w:val="21"/>
        </w:rPr>
        <w:t>第5-7款现场实体检验项目；第8款外窗性能检测及实体检验项目；第9款幕墙工程设计要求的其他性能，如保温、隔声、耐撞击等性能应按设计要求检测；第10款保温装饰板系统还应对单点锚固力、传热系数或热阻进行复验。</w:t>
      </w:r>
    </w:p>
    <w:p w14:paraId="719BBB15">
      <w:pPr>
        <w:spacing w:line="400" w:lineRule="exact"/>
        <w:rPr>
          <w:color w:val="000000"/>
          <w:szCs w:val="21"/>
        </w:rPr>
      </w:pPr>
    </w:p>
    <w:p w14:paraId="0606C73C">
      <w:pPr>
        <w:pStyle w:val="3"/>
        <w:rPr>
          <w:rFonts w:ascii="Times New Roman" w:hAnsi="Times New Roman" w:eastAsia="黑体"/>
          <w:sz w:val="28"/>
          <w:szCs w:val="28"/>
          <w:lang w:val="en-US"/>
        </w:rPr>
      </w:pPr>
      <w:bookmarkStart w:id="1165" w:name="_Toc15346"/>
      <w:bookmarkStart w:id="1166" w:name="_Toc22192"/>
      <w:bookmarkStart w:id="1167" w:name="_Toc5488"/>
      <w:bookmarkStart w:id="1168" w:name="_Toc15693"/>
      <w:bookmarkStart w:id="1169" w:name="_Toc4334"/>
      <w:bookmarkStart w:id="1170" w:name="_Toc17164"/>
      <w:bookmarkStart w:id="1171" w:name="_Toc20369"/>
      <w:bookmarkStart w:id="1172" w:name="_Toc2862"/>
      <w:r>
        <w:rPr>
          <w:rFonts w:ascii="Times New Roman" w:hAnsi="Times New Roman" w:eastAsia="黑体"/>
          <w:sz w:val="28"/>
          <w:szCs w:val="28"/>
          <w:lang w:val="en-US"/>
        </w:rPr>
        <w:t>5  技术应用创新与</w:t>
      </w:r>
      <w:bookmarkEnd w:id="1165"/>
      <w:bookmarkEnd w:id="1166"/>
      <w:bookmarkEnd w:id="1167"/>
      <w:r>
        <w:rPr>
          <w:rFonts w:hint="eastAsia" w:ascii="Times New Roman" w:hAnsi="Times New Roman" w:eastAsia="黑体"/>
          <w:sz w:val="28"/>
          <w:szCs w:val="28"/>
          <w:lang w:val="en-US"/>
        </w:rPr>
        <w:t>智能建造</w:t>
      </w:r>
      <w:bookmarkEnd w:id="1168"/>
      <w:bookmarkEnd w:id="1169"/>
      <w:bookmarkEnd w:id="1170"/>
      <w:bookmarkEnd w:id="1171"/>
      <w:bookmarkEnd w:id="1172"/>
    </w:p>
    <w:p w14:paraId="7D058DC3">
      <w:pPr>
        <w:spacing w:line="400" w:lineRule="exact"/>
        <w:rPr>
          <w:color w:val="000000"/>
          <w:szCs w:val="21"/>
        </w:rPr>
      </w:pPr>
      <w:r>
        <w:rPr>
          <w:b/>
          <w:color w:val="000000"/>
          <w:szCs w:val="21"/>
        </w:rPr>
        <w:t>5.0.1</w:t>
      </w:r>
      <w:r>
        <w:rPr>
          <w:color w:val="000000"/>
          <w:szCs w:val="21"/>
        </w:rPr>
        <w:t xml:space="preserve">  本条规定其目的是鼓励技术进步。项目部应根据工程情况积极推广应用住建部和北京市颁布的新技术，还应积极开展技术创新活动。 </w:t>
      </w:r>
    </w:p>
    <w:p w14:paraId="6C4AA465">
      <w:pPr>
        <w:spacing w:line="400" w:lineRule="exact"/>
        <w:rPr>
          <w:color w:val="000000"/>
          <w:szCs w:val="21"/>
        </w:rPr>
      </w:pPr>
      <w:r>
        <w:rPr>
          <w:b/>
          <w:color w:val="000000"/>
          <w:szCs w:val="21"/>
        </w:rPr>
        <w:t>5.0.2</w:t>
      </w:r>
      <w:r>
        <w:rPr>
          <w:color w:val="000000"/>
          <w:szCs w:val="21"/>
        </w:rPr>
        <w:t xml:space="preserve">  明确创建筑长城杯工程应编制绿色施工、智慧建造技术策划方案和实施计划，及推广应用新技术和技术创新计划。</w:t>
      </w:r>
    </w:p>
    <w:p w14:paraId="7F30865E">
      <w:pPr>
        <w:spacing w:line="400" w:lineRule="exact"/>
        <w:rPr>
          <w:color w:val="000000"/>
          <w:szCs w:val="21"/>
        </w:rPr>
      </w:pPr>
      <w:r>
        <w:rPr>
          <w:b/>
          <w:color w:val="000000"/>
          <w:szCs w:val="21"/>
        </w:rPr>
        <w:t>5.0.3</w:t>
      </w:r>
      <w:r>
        <w:rPr>
          <w:color w:val="000000"/>
          <w:szCs w:val="21"/>
        </w:rPr>
        <w:t xml:space="preserve">  对质量目标是建筑长城杯金质奖且争创鲁班奖和国优奖的工程提出的要求。</w:t>
      </w:r>
    </w:p>
    <w:p w14:paraId="5C33BE61">
      <w:pPr>
        <w:pStyle w:val="3"/>
        <w:rPr>
          <w:rFonts w:ascii="Times New Roman" w:hAnsi="Times New Roman" w:eastAsia="黑体"/>
          <w:sz w:val="28"/>
          <w:szCs w:val="28"/>
          <w:lang w:val="en-US"/>
        </w:rPr>
      </w:pPr>
      <w:bookmarkStart w:id="1173" w:name="_Toc26440"/>
      <w:bookmarkStart w:id="1174" w:name="_Toc30"/>
      <w:bookmarkStart w:id="1175" w:name="_Toc16167"/>
      <w:bookmarkStart w:id="1176" w:name="_Toc17864"/>
      <w:bookmarkStart w:id="1177" w:name="_Toc4869"/>
      <w:bookmarkStart w:id="1178" w:name="_Toc11644"/>
      <w:bookmarkStart w:id="1179" w:name="_Toc20690"/>
      <w:bookmarkStart w:id="1180" w:name="_Toc6396"/>
      <w:r>
        <w:rPr>
          <w:rFonts w:ascii="Times New Roman" w:hAnsi="Times New Roman" w:eastAsia="黑体"/>
          <w:sz w:val="28"/>
          <w:szCs w:val="28"/>
          <w:lang w:val="en-US"/>
        </w:rPr>
        <w:t xml:space="preserve">6  </w:t>
      </w:r>
      <w:bookmarkEnd w:id="1173"/>
      <w:bookmarkEnd w:id="1174"/>
      <w:bookmarkEnd w:id="1175"/>
      <w:r>
        <w:rPr>
          <w:rFonts w:hint="eastAsia" w:ascii="Times New Roman" w:hAnsi="Times New Roman" w:eastAsia="黑体"/>
          <w:sz w:val="28"/>
          <w:szCs w:val="28"/>
          <w:lang w:val="en-US"/>
        </w:rPr>
        <w:t>绿色施工</w:t>
      </w:r>
      <w:bookmarkEnd w:id="1176"/>
      <w:bookmarkEnd w:id="1177"/>
      <w:bookmarkEnd w:id="1178"/>
      <w:bookmarkEnd w:id="1179"/>
      <w:bookmarkEnd w:id="1180"/>
    </w:p>
    <w:p w14:paraId="399B2099">
      <w:pPr>
        <w:spacing w:line="400" w:lineRule="exact"/>
        <w:rPr>
          <w:color w:val="000000"/>
          <w:szCs w:val="21"/>
        </w:rPr>
      </w:pPr>
      <w:r>
        <w:rPr>
          <w:b/>
          <w:color w:val="000000"/>
          <w:szCs w:val="21"/>
        </w:rPr>
        <w:t xml:space="preserve">6.0.1-6.0.4  </w:t>
      </w:r>
      <w:r>
        <w:rPr>
          <w:color w:val="000000"/>
          <w:szCs w:val="21"/>
        </w:rPr>
        <w:t>对建筑节能和环保的要求。由于建筑长城杯工程</w:t>
      </w:r>
      <w:r>
        <w:rPr>
          <w:rFonts w:hint="eastAsia"/>
          <w:color w:val="000000"/>
          <w:szCs w:val="21"/>
        </w:rPr>
        <w:t>评审</w:t>
      </w:r>
      <w:r>
        <w:rPr>
          <w:color w:val="000000"/>
          <w:szCs w:val="21"/>
        </w:rPr>
        <w:t>时施工已经结束，施工过程中的节能和环保情况已经隐蔽，因此，评审时须依据项目部是否编制“绿色建造”工作计划、项目部施工中是否获得北京市有关部门的绿色环保先进称号、是否有绿色环保革新项目等，进行综合评价。</w:t>
      </w:r>
    </w:p>
    <w:p w14:paraId="5C3BBF4F">
      <w:pPr>
        <w:spacing w:line="400" w:lineRule="exact"/>
        <w:rPr>
          <w:color w:val="000000"/>
          <w:szCs w:val="21"/>
        </w:rPr>
      </w:pPr>
      <w:r>
        <w:rPr>
          <w:b/>
          <w:color w:val="000000"/>
          <w:szCs w:val="21"/>
        </w:rPr>
        <w:t xml:space="preserve">6.0.5  </w:t>
      </w:r>
      <w:r>
        <w:rPr>
          <w:color w:val="000000"/>
          <w:szCs w:val="21"/>
        </w:rPr>
        <w:t>对工程室内环保的要求。按现行国家标准《民用建筑工程室内环境污染控制</w:t>
      </w:r>
      <w:r>
        <w:rPr>
          <w:rFonts w:hint="eastAsia"/>
          <w:color w:val="000000"/>
          <w:szCs w:val="21"/>
        </w:rPr>
        <w:t>标准</w:t>
      </w:r>
      <w:r>
        <w:rPr>
          <w:color w:val="000000"/>
          <w:szCs w:val="21"/>
        </w:rPr>
        <w:t>》GB50325规定，工程竣工时应对室内环境进行污染物浓度的检测，检测值应小于表1规定的限量标准。</w:t>
      </w:r>
    </w:p>
    <w:p w14:paraId="51BC5127">
      <w:pPr>
        <w:spacing w:after="50"/>
        <w:ind w:right="-334" w:rightChars="-159" w:firstLine="735" w:firstLineChars="350"/>
        <w:rPr>
          <w:rFonts w:eastAsia="黑体"/>
          <w:color w:val="000000"/>
          <w:szCs w:val="21"/>
        </w:rPr>
      </w:pPr>
      <w:r>
        <w:rPr>
          <w:color w:val="000000"/>
          <w:szCs w:val="21"/>
        </w:rPr>
        <w:t xml:space="preserve">          表1  </w:t>
      </w:r>
      <w:r>
        <w:rPr>
          <w:rFonts w:asciiTheme="majorEastAsia" w:hAnsiTheme="majorEastAsia" w:eastAsiaTheme="majorEastAsia"/>
          <w:color w:val="000000"/>
          <w:szCs w:val="21"/>
        </w:rPr>
        <w:t xml:space="preserve">民用建筑工程室内环境污染物浓度限量  </w:t>
      </w:r>
    </w:p>
    <w:tbl>
      <w:tblPr>
        <w:tblStyle w:val="25"/>
        <w:tblW w:w="0" w:type="auto"/>
        <w:tblInd w:w="-81" w:type="dxa"/>
        <w:tblLayout w:type="fixed"/>
        <w:tblCellMar>
          <w:top w:w="0" w:type="dxa"/>
          <w:left w:w="108" w:type="dxa"/>
          <w:bottom w:w="0" w:type="dxa"/>
          <w:right w:w="108" w:type="dxa"/>
        </w:tblCellMar>
      </w:tblPr>
      <w:tblGrid>
        <w:gridCol w:w="2968"/>
        <w:gridCol w:w="2807"/>
        <w:gridCol w:w="2775"/>
      </w:tblGrid>
      <w:tr w14:paraId="2683580D">
        <w:tblPrEx>
          <w:tblCellMar>
            <w:top w:w="0" w:type="dxa"/>
            <w:left w:w="108" w:type="dxa"/>
            <w:bottom w:w="0" w:type="dxa"/>
            <w:right w:w="108" w:type="dxa"/>
          </w:tblCellMar>
        </w:tblPrEx>
        <w:tc>
          <w:tcPr>
            <w:tcW w:w="2968" w:type="dxa"/>
            <w:tcBorders>
              <w:top w:val="single" w:color="000000" w:sz="4" w:space="0"/>
              <w:left w:val="single" w:color="000000" w:sz="4" w:space="0"/>
              <w:bottom w:val="single" w:color="000000" w:sz="4" w:space="0"/>
              <w:right w:val="nil"/>
            </w:tcBorders>
            <w:vAlign w:val="center"/>
          </w:tcPr>
          <w:p w14:paraId="3549ED58">
            <w:pPr>
              <w:spacing w:after="50"/>
              <w:ind w:right="-334" w:rightChars="-159" w:firstLine="735" w:firstLineChars="350"/>
              <w:rPr>
                <w:color w:val="000000"/>
                <w:szCs w:val="21"/>
              </w:rPr>
            </w:pPr>
            <w:r>
              <w:rPr>
                <w:rFonts w:eastAsia="黑体"/>
                <w:color w:val="000000"/>
                <w:szCs w:val="21"/>
              </w:rPr>
              <w:t xml:space="preserve">  </w:t>
            </w:r>
            <w:r>
              <w:rPr>
                <w:color w:val="000000"/>
                <w:szCs w:val="21"/>
              </w:rPr>
              <w:t>污 染 物</w:t>
            </w:r>
          </w:p>
        </w:tc>
        <w:tc>
          <w:tcPr>
            <w:tcW w:w="2807" w:type="dxa"/>
            <w:tcBorders>
              <w:top w:val="single" w:color="000000" w:sz="4" w:space="0"/>
              <w:left w:val="single" w:color="000000" w:sz="4" w:space="0"/>
              <w:bottom w:val="single" w:color="000000" w:sz="4" w:space="0"/>
              <w:right w:val="nil"/>
            </w:tcBorders>
            <w:vAlign w:val="center"/>
          </w:tcPr>
          <w:p w14:paraId="17EC7EDF">
            <w:pPr>
              <w:snapToGrid w:val="0"/>
              <w:spacing w:after="50"/>
              <w:ind w:left="-361" w:right="-334" w:rightChars="-159"/>
              <w:jc w:val="center"/>
              <w:rPr>
                <w:color w:val="000000"/>
                <w:szCs w:val="21"/>
              </w:rPr>
            </w:pPr>
            <w:r>
              <w:rPr>
                <w:color w:val="000000"/>
                <w:szCs w:val="21"/>
              </w:rPr>
              <w:t>Ⅰ类民用建筑</w:t>
            </w:r>
          </w:p>
        </w:tc>
        <w:tc>
          <w:tcPr>
            <w:tcW w:w="2775" w:type="dxa"/>
            <w:tcBorders>
              <w:top w:val="single" w:color="000000" w:sz="4" w:space="0"/>
              <w:left w:val="single" w:color="000000" w:sz="4" w:space="0"/>
              <w:bottom w:val="single" w:color="000000" w:sz="4" w:space="0"/>
              <w:right w:val="single" w:color="000000" w:sz="4" w:space="0"/>
            </w:tcBorders>
            <w:vAlign w:val="center"/>
          </w:tcPr>
          <w:p w14:paraId="492A2227">
            <w:pPr>
              <w:snapToGrid w:val="0"/>
              <w:spacing w:after="50"/>
              <w:ind w:left="-361" w:right="-334" w:rightChars="-159"/>
              <w:jc w:val="center"/>
              <w:rPr>
                <w:color w:val="000000"/>
                <w:szCs w:val="21"/>
              </w:rPr>
            </w:pPr>
            <w:r>
              <w:rPr>
                <w:color w:val="000000"/>
                <w:szCs w:val="21"/>
              </w:rPr>
              <w:t>Ⅱ类民用建筑</w:t>
            </w:r>
          </w:p>
        </w:tc>
      </w:tr>
      <w:tr w14:paraId="78FD87B8">
        <w:tblPrEx>
          <w:tblCellMar>
            <w:top w:w="0" w:type="dxa"/>
            <w:left w:w="108" w:type="dxa"/>
            <w:bottom w:w="0" w:type="dxa"/>
            <w:right w:w="108" w:type="dxa"/>
          </w:tblCellMar>
        </w:tblPrEx>
        <w:trPr>
          <w:trHeight w:val="2210" w:hRule="atLeast"/>
        </w:trPr>
        <w:tc>
          <w:tcPr>
            <w:tcW w:w="2968" w:type="dxa"/>
            <w:tcBorders>
              <w:top w:val="single" w:color="000000" w:sz="4" w:space="0"/>
              <w:left w:val="single" w:color="000000" w:sz="4" w:space="0"/>
              <w:bottom w:val="single" w:color="000000" w:sz="4" w:space="0"/>
              <w:right w:val="nil"/>
            </w:tcBorders>
            <w:vAlign w:val="center"/>
          </w:tcPr>
          <w:p w14:paraId="4BBF0636">
            <w:pPr>
              <w:spacing w:after="50"/>
              <w:ind w:left="-361" w:right="-334" w:rightChars="-159"/>
              <w:jc w:val="center"/>
              <w:rPr>
                <w:color w:val="000000"/>
                <w:szCs w:val="21"/>
              </w:rPr>
            </w:pPr>
            <w:r>
              <w:rPr>
                <w:color w:val="000000"/>
                <w:szCs w:val="21"/>
              </w:rPr>
              <w:t>氡（Bq/m3）</w:t>
            </w:r>
          </w:p>
          <w:p w14:paraId="103D3BD5">
            <w:pPr>
              <w:spacing w:after="50"/>
              <w:ind w:left="-361" w:right="-334" w:rightChars="-159"/>
              <w:jc w:val="center"/>
              <w:rPr>
                <w:color w:val="000000"/>
                <w:szCs w:val="21"/>
              </w:rPr>
            </w:pPr>
            <w:r>
              <w:rPr>
                <w:color w:val="000000"/>
                <w:szCs w:val="21"/>
              </w:rPr>
              <w:t>甲醛（mg/m3）</w:t>
            </w:r>
          </w:p>
          <w:p w14:paraId="7ECEED73">
            <w:pPr>
              <w:spacing w:after="50"/>
              <w:ind w:left="-361" w:right="-334" w:rightChars="-159"/>
              <w:jc w:val="center"/>
              <w:rPr>
                <w:color w:val="000000"/>
                <w:szCs w:val="21"/>
              </w:rPr>
            </w:pPr>
            <w:r>
              <w:rPr>
                <w:color w:val="000000"/>
                <w:szCs w:val="21"/>
              </w:rPr>
              <w:t>氨（mg/m3）</w:t>
            </w:r>
          </w:p>
          <w:p w14:paraId="6DD56AA8">
            <w:pPr>
              <w:spacing w:after="50"/>
              <w:ind w:left="-361" w:right="-334" w:rightChars="-159"/>
              <w:jc w:val="center"/>
              <w:rPr>
                <w:color w:val="000000"/>
                <w:szCs w:val="21"/>
              </w:rPr>
            </w:pPr>
            <w:r>
              <w:rPr>
                <w:color w:val="000000"/>
                <w:szCs w:val="21"/>
              </w:rPr>
              <w:t>苯（mg/m3）</w:t>
            </w:r>
          </w:p>
          <w:p w14:paraId="71E1959A">
            <w:pPr>
              <w:spacing w:after="50"/>
              <w:ind w:left="-361" w:right="-334" w:rightChars="-159"/>
              <w:jc w:val="center"/>
              <w:rPr>
                <w:color w:val="000000"/>
                <w:szCs w:val="21"/>
              </w:rPr>
            </w:pPr>
            <w:r>
              <w:rPr>
                <w:color w:val="000000"/>
                <w:szCs w:val="21"/>
              </w:rPr>
              <w:t>甲苯（mg/m3）</w:t>
            </w:r>
          </w:p>
          <w:p w14:paraId="12CF53B8">
            <w:pPr>
              <w:spacing w:after="50"/>
              <w:ind w:left="-361" w:right="-334" w:rightChars="-159"/>
              <w:jc w:val="center"/>
              <w:rPr>
                <w:color w:val="000000"/>
                <w:szCs w:val="21"/>
              </w:rPr>
            </w:pPr>
            <w:r>
              <w:rPr>
                <w:color w:val="000000"/>
                <w:szCs w:val="21"/>
              </w:rPr>
              <w:t>二甲苯（mg/m3）</w:t>
            </w:r>
          </w:p>
          <w:p w14:paraId="5C669710">
            <w:pPr>
              <w:spacing w:after="50"/>
              <w:ind w:left="-361" w:right="-334" w:rightChars="-159"/>
              <w:jc w:val="center"/>
              <w:rPr>
                <w:color w:val="000000"/>
                <w:szCs w:val="21"/>
              </w:rPr>
            </w:pPr>
            <w:r>
              <w:rPr>
                <w:color w:val="000000"/>
                <w:szCs w:val="21"/>
              </w:rPr>
              <w:t>TVOC（mg/m3）</w:t>
            </w:r>
          </w:p>
        </w:tc>
        <w:tc>
          <w:tcPr>
            <w:tcW w:w="2807" w:type="dxa"/>
            <w:tcBorders>
              <w:top w:val="single" w:color="000000" w:sz="4" w:space="0"/>
              <w:left w:val="single" w:color="000000" w:sz="4" w:space="0"/>
              <w:bottom w:val="single" w:color="000000" w:sz="4" w:space="0"/>
              <w:right w:val="nil"/>
            </w:tcBorders>
            <w:vAlign w:val="center"/>
          </w:tcPr>
          <w:p w14:paraId="4C751E22">
            <w:pPr>
              <w:spacing w:after="50"/>
              <w:ind w:left="-361" w:right="-334" w:rightChars="-159"/>
              <w:jc w:val="center"/>
              <w:rPr>
                <w:rFonts w:ascii="宋体" w:hAnsi="宋体" w:cs="宋体"/>
                <w:color w:val="000000"/>
                <w:szCs w:val="21"/>
              </w:rPr>
            </w:pPr>
            <w:r>
              <w:rPr>
                <w:rFonts w:hint="eastAsia" w:ascii="宋体" w:hAnsi="宋体" w:cs="宋体"/>
                <w:color w:val="000000"/>
                <w:szCs w:val="21"/>
              </w:rPr>
              <w:t>≤150</w:t>
            </w:r>
          </w:p>
          <w:p w14:paraId="45EB3AB9">
            <w:pPr>
              <w:spacing w:after="50"/>
              <w:ind w:left="-361" w:right="-334" w:rightChars="-159"/>
              <w:jc w:val="center"/>
              <w:rPr>
                <w:rFonts w:ascii="宋体" w:hAnsi="宋体" w:cs="宋体"/>
                <w:color w:val="000000"/>
                <w:szCs w:val="21"/>
              </w:rPr>
            </w:pPr>
            <w:r>
              <w:rPr>
                <w:rFonts w:hint="eastAsia" w:ascii="宋体" w:hAnsi="宋体" w:cs="宋体"/>
                <w:color w:val="000000"/>
                <w:szCs w:val="21"/>
              </w:rPr>
              <w:t>≤0.07</w:t>
            </w:r>
          </w:p>
          <w:p w14:paraId="4FD73435">
            <w:pPr>
              <w:spacing w:after="50"/>
              <w:ind w:left="-361" w:right="-334" w:rightChars="-159"/>
              <w:jc w:val="center"/>
              <w:rPr>
                <w:rFonts w:ascii="宋体" w:hAnsi="宋体" w:cs="宋体"/>
                <w:color w:val="000000"/>
                <w:szCs w:val="21"/>
              </w:rPr>
            </w:pPr>
            <w:r>
              <w:rPr>
                <w:rFonts w:hint="eastAsia" w:ascii="宋体" w:hAnsi="宋体" w:cs="宋体"/>
                <w:color w:val="000000"/>
                <w:szCs w:val="21"/>
              </w:rPr>
              <w:t>≤0.15</w:t>
            </w:r>
          </w:p>
          <w:p w14:paraId="7DF936AB">
            <w:pPr>
              <w:spacing w:after="50"/>
              <w:ind w:left="-361" w:right="-334" w:rightChars="-159"/>
              <w:jc w:val="center"/>
              <w:rPr>
                <w:rFonts w:ascii="宋体" w:hAnsi="宋体" w:cs="宋体"/>
                <w:color w:val="000000"/>
                <w:szCs w:val="21"/>
              </w:rPr>
            </w:pPr>
            <w:r>
              <w:rPr>
                <w:rFonts w:hint="eastAsia" w:ascii="宋体" w:hAnsi="宋体" w:cs="宋体"/>
                <w:color w:val="000000"/>
                <w:szCs w:val="21"/>
              </w:rPr>
              <w:t>≤0.06</w:t>
            </w:r>
          </w:p>
          <w:p w14:paraId="1877DC61">
            <w:pPr>
              <w:spacing w:after="50"/>
              <w:ind w:left="-361" w:right="-334" w:rightChars="-159"/>
              <w:jc w:val="center"/>
              <w:rPr>
                <w:rFonts w:ascii="宋体" w:hAnsi="宋体" w:cs="宋体"/>
                <w:color w:val="000000"/>
                <w:szCs w:val="21"/>
              </w:rPr>
            </w:pPr>
            <w:r>
              <w:rPr>
                <w:rFonts w:hint="eastAsia" w:ascii="宋体" w:hAnsi="宋体" w:cs="宋体"/>
                <w:color w:val="000000"/>
                <w:szCs w:val="21"/>
              </w:rPr>
              <w:t>≤0.15</w:t>
            </w:r>
          </w:p>
          <w:p w14:paraId="70643705">
            <w:pPr>
              <w:spacing w:after="50"/>
              <w:ind w:left="-361" w:right="-334" w:rightChars="-159"/>
              <w:jc w:val="center"/>
              <w:rPr>
                <w:rFonts w:ascii="宋体" w:hAnsi="宋体" w:cs="宋体"/>
                <w:color w:val="000000"/>
                <w:szCs w:val="21"/>
              </w:rPr>
            </w:pPr>
            <w:r>
              <w:rPr>
                <w:rFonts w:hint="eastAsia" w:ascii="宋体" w:hAnsi="宋体" w:cs="宋体"/>
                <w:color w:val="000000"/>
                <w:szCs w:val="21"/>
              </w:rPr>
              <w:t>≤0.20</w:t>
            </w:r>
          </w:p>
          <w:p w14:paraId="5F636DC8">
            <w:pPr>
              <w:spacing w:after="50"/>
              <w:ind w:left="-361" w:right="-334" w:rightChars="-159"/>
              <w:jc w:val="center"/>
              <w:rPr>
                <w:rFonts w:ascii="宋体" w:hAnsi="宋体" w:cs="宋体"/>
                <w:color w:val="000000"/>
                <w:szCs w:val="21"/>
              </w:rPr>
            </w:pPr>
            <w:r>
              <w:rPr>
                <w:rFonts w:hint="eastAsia" w:ascii="宋体" w:hAnsi="宋体" w:cs="宋体"/>
                <w:color w:val="000000"/>
                <w:szCs w:val="21"/>
              </w:rPr>
              <w:t>≤0.45</w:t>
            </w:r>
          </w:p>
        </w:tc>
        <w:tc>
          <w:tcPr>
            <w:tcW w:w="2775" w:type="dxa"/>
            <w:tcBorders>
              <w:top w:val="single" w:color="000000" w:sz="4" w:space="0"/>
              <w:left w:val="single" w:color="000000" w:sz="4" w:space="0"/>
              <w:bottom w:val="single" w:color="000000" w:sz="4" w:space="0"/>
              <w:right w:val="single" w:color="000000" w:sz="4" w:space="0"/>
            </w:tcBorders>
            <w:vAlign w:val="center"/>
          </w:tcPr>
          <w:p w14:paraId="1642D58F">
            <w:pPr>
              <w:spacing w:after="50"/>
              <w:ind w:left="-361" w:right="-334" w:rightChars="-159"/>
              <w:jc w:val="center"/>
              <w:rPr>
                <w:rFonts w:ascii="宋体" w:hAnsi="宋体" w:cs="宋体"/>
                <w:color w:val="000000"/>
                <w:szCs w:val="21"/>
              </w:rPr>
            </w:pPr>
            <w:r>
              <w:rPr>
                <w:rFonts w:hint="eastAsia" w:ascii="宋体" w:hAnsi="宋体" w:cs="宋体"/>
                <w:color w:val="000000"/>
                <w:szCs w:val="21"/>
              </w:rPr>
              <w:t>≤150</w:t>
            </w:r>
          </w:p>
          <w:p w14:paraId="297C3B47">
            <w:pPr>
              <w:spacing w:after="50"/>
              <w:ind w:left="-361" w:right="-334" w:rightChars="-159"/>
              <w:jc w:val="center"/>
              <w:rPr>
                <w:rFonts w:ascii="宋体" w:hAnsi="宋体" w:cs="宋体"/>
                <w:color w:val="000000"/>
                <w:szCs w:val="21"/>
              </w:rPr>
            </w:pPr>
            <w:r>
              <w:rPr>
                <w:rFonts w:hint="eastAsia" w:ascii="宋体" w:hAnsi="宋体" w:cs="宋体"/>
                <w:color w:val="000000"/>
                <w:szCs w:val="21"/>
              </w:rPr>
              <w:t>≤0.08</w:t>
            </w:r>
          </w:p>
          <w:p w14:paraId="6EA38110">
            <w:pPr>
              <w:spacing w:after="50"/>
              <w:ind w:left="-361" w:right="-334" w:rightChars="-159"/>
              <w:jc w:val="center"/>
              <w:rPr>
                <w:rFonts w:ascii="宋体" w:hAnsi="宋体" w:cs="宋体"/>
                <w:color w:val="000000"/>
                <w:szCs w:val="21"/>
              </w:rPr>
            </w:pPr>
            <w:r>
              <w:rPr>
                <w:rFonts w:hint="eastAsia" w:ascii="宋体" w:hAnsi="宋体" w:cs="宋体"/>
                <w:color w:val="000000"/>
                <w:szCs w:val="21"/>
              </w:rPr>
              <w:t>≤0.20</w:t>
            </w:r>
          </w:p>
          <w:p w14:paraId="3276E466">
            <w:pPr>
              <w:spacing w:after="50"/>
              <w:ind w:left="-361" w:right="-334" w:rightChars="-159"/>
              <w:jc w:val="center"/>
              <w:rPr>
                <w:rFonts w:ascii="宋体" w:hAnsi="宋体" w:cs="宋体"/>
                <w:color w:val="000000"/>
                <w:szCs w:val="21"/>
              </w:rPr>
            </w:pPr>
            <w:r>
              <w:rPr>
                <w:rFonts w:hint="eastAsia" w:ascii="宋体" w:hAnsi="宋体" w:cs="宋体"/>
                <w:color w:val="000000"/>
                <w:szCs w:val="21"/>
              </w:rPr>
              <w:t>≤0.09</w:t>
            </w:r>
          </w:p>
          <w:p w14:paraId="3146BE5A">
            <w:pPr>
              <w:spacing w:after="50"/>
              <w:ind w:left="-361" w:right="-334" w:rightChars="-159"/>
              <w:jc w:val="center"/>
              <w:rPr>
                <w:rFonts w:ascii="宋体" w:hAnsi="宋体" w:cs="宋体"/>
                <w:color w:val="000000"/>
                <w:szCs w:val="21"/>
              </w:rPr>
            </w:pPr>
            <w:r>
              <w:rPr>
                <w:rFonts w:hint="eastAsia" w:ascii="宋体" w:hAnsi="宋体" w:cs="宋体"/>
                <w:color w:val="000000"/>
                <w:szCs w:val="21"/>
              </w:rPr>
              <w:t>≤0.20</w:t>
            </w:r>
          </w:p>
          <w:p w14:paraId="3AB50CFC">
            <w:pPr>
              <w:spacing w:after="50"/>
              <w:ind w:left="-361" w:right="-334" w:rightChars="-159"/>
              <w:jc w:val="center"/>
              <w:rPr>
                <w:rFonts w:ascii="宋体" w:hAnsi="宋体" w:cs="宋体"/>
                <w:color w:val="000000"/>
                <w:szCs w:val="21"/>
              </w:rPr>
            </w:pPr>
            <w:r>
              <w:rPr>
                <w:rFonts w:hint="eastAsia" w:ascii="宋体" w:hAnsi="宋体" w:cs="宋体"/>
                <w:color w:val="000000"/>
                <w:szCs w:val="21"/>
              </w:rPr>
              <w:t>≤0.20</w:t>
            </w:r>
          </w:p>
          <w:p w14:paraId="3249DCC3">
            <w:pPr>
              <w:spacing w:after="50"/>
              <w:ind w:left="-361" w:right="-334" w:rightChars="-159"/>
              <w:jc w:val="center"/>
              <w:rPr>
                <w:rFonts w:ascii="宋体" w:hAnsi="宋体" w:cs="宋体"/>
                <w:color w:val="000000"/>
                <w:szCs w:val="21"/>
              </w:rPr>
            </w:pPr>
            <w:r>
              <w:rPr>
                <w:rFonts w:hint="eastAsia" w:ascii="宋体" w:hAnsi="宋体" w:cs="宋体"/>
                <w:color w:val="000000"/>
                <w:szCs w:val="21"/>
              </w:rPr>
              <w:t>≤0.50</w:t>
            </w:r>
          </w:p>
        </w:tc>
      </w:tr>
    </w:tbl>
    <w:p w14:paraId="1F14991A">
      <w:pPr>
        <w:spacing w:line="400" w:lineRule="exact"/>
        <w:rPr>
          <w:color w:val="000000"/>
          <w:szCs w:val="21"/>
        </w:rPr>
      </w:pPr>
      <w:r>
        <w:rPr>
          <w:color w:val="000000"/>
          <w:szCs w:val="21"/>
        </w:rPr>
        <w:t>注：1. Ⅰ类民用建筑工程包括：住宅、居住功能公寓、医院病房、老年人照料房租设施、幼儿园、学校教室、学生宿舍等。</w:t>
      </w:r>
    </w:p>
    <w:p w14:paraId="669C0F8D">
      <w:pPr>
        <w:spacing w:line="400" w:lineRule="exact"/>
        <w:rPr>
          <w:color w:val="000000"/>
          <w:szCs w:val="21"/>
        </w:rPr>
      </w:pPr>
      <w:r>
        <w:rPr>
          <w:color w:val="000000"/>
          <w:szCs w:val="21"/>
        </w:rPr>
        <w:t xml:space="preserve">    2. Ⅱ类民用建筑工程包括：办公楼、商店、旅馆、文化娱乐场所、书店、图书馆、展览馆、体育馆、公共交通等候室、餐厅等。</w:t>
      </w:r>
    </w:p>
    <w:p w14:paraId="32716B03">
      <w:pPr>
        <w:spacing w:line="400" w:lineRule="exact"/>
        <w:rPr>
          <w:color w:val="000000"/>
          <w:szCs w:val="21"/>
        </w:rPr>
      </w:pPr>
      <w:r>
        <w:rPr>
          <w:b/>
          <w:bCs/>
          <w:color w:val="000000"/>
          <w:szCs w:val="21"/>
        </w:rPr>
        <w:t>6.0.6，6.0.7</w:t>
      </w:r>
      <w:r>
        <w:rPr>
          <w:color w:val="000000"/>
          <w:szCs w:val="21"/>
        </w:rPr>
        <w:t xml:space="preserve">  项目应贯彻绿色施工有关标准的规定，施工中采取有效的绿色施工措施，节约能源，减少排放。</w:t>
      </w:r>
    </w:p>
    <w:p w14:paraId="5BAE0DA4">
      <w:pPr>
        <w:spacing w:line="400" w:lineRule="exact"/>
        <w:rPr>
          <w:color w:val="000000"/>
          <w:szCs w:val="21"/>
        </w:rPr>
      </w:pPr>
      <w:r>
        <w:rPr>
          <w:b/>
          <w:bCs/>
          <w:color w:val="000000"/>
          <w:szCs w:val="21"/>
        </w:rPr>
        <w:t>6.0.10</w:t>
      </w:r>
      <w:r>
        <w:rPr>
          <w:color w:val="000000"/>
          <w:szCs w:val="21"/>
        </w:rPr>
        <w:t xml:space="preserve">  项目应构建信息化管理平台</w:t>
      </w:r>
      <w:r>
        <w:rPr>
          <w:rFonts w:hint="eastAsia"/>
          <w:color w:val="000000"/>
          <w:szCs w:val="21"/>
        </w:rPr>
        <w:t>，</w:t>
      </w:r>
      <w:r>
        <w:rPr>
          <w:color w:val="000000"/>
          <w:szCs w:val="21"/>
        </w:rPr>
        <w:t>推</w:t>
      </w:r>
      <w:r>
        <w:rPr>
          <w:rFonts w:hint="eastAsia"/>
          <w:color w:val="000000"/>
          <w:szCs w:val="21"/>
        </w:rPr>
        <w:t>动</w:t>
      </w:r>
      <w:r>
        <w:rPr>
          <w:color w:val="000000"/>
          <w:szCs w:val="21"/>
        </w:rPr>
        <w:t>智能技术和智能设备广泛应用在项目创优过程中。采用BIM等信息技术辅助进行专业深化设计、方案模拟、三维交底等工作，减少返工节约材料，助推绿色与智慧施工。</w:t>
      </w:r>
    </w:p>
    <w:p w14:paraId="76B4CD07">
      <w:pPr>
        <w:pStyle w:val="3"/>
        <w:rPr>
          <w:rFonts w:ascii="Times New Roman" w:hAnsi="Times New Roman" w:eastAsia="黑体"/>
          <w:sz w:val="28"/>
          <w:szCs w:val="28"/>
          <w:lang w:val="en-US"/>
        </w:rPr>
      </w:pPr>
      <w:bookmarkStart w:id="1181" w:name="_Toc11630"/>
      <w:bookmarkStart w:id="1182" w:name="_Toc25418"/>
      <w:bookmarkStart w:id="1183" w:name="_Toc5764"/>
      <w:bookmarkStart w:id="1184" w:name="_Toc2383"/>
      <w:bookmarkStart w:id="1185" w:name="_Toc32235"/>
      <w:bookmarkStart w:id="1186" w:name="_Toc17939"/>
      <w:bookmarkStart w:id="1187" w:name="_Toc1409"/>
      <w:bookmarkStart w:id="1188" w:name="_Toc18428"/>
      <w:r>
        <w:rPr>
          <w:rFonts w:ascii="Times New Roman" w:hAnsi="Times New Roman" w:eastAsia="黑体"/>
          <w:sz w:val="28"/>
          <w:szCs w:val="28"/>
          <w:lang w:val="en-US"/>
        </w:rPr>
        <w:t xml:space="preserve">7 </w:t>
      </w:r>
      <w:r>
        <w:rPr>
          <w:rFonts w:hint="eastAsia" w:ascii="Times New Roman" w:hAnsi="Times New Roman" w:eastAsia="黑体"/>
          <w:sz w:val="28"/>
          <w:szCs w:val="28"/>
          <w:lang w:val="en-US"/>
        </w:rPr>
        <w:t xml:space="preserve"> </w:t>
      </w:r>
      <w:r>
        <w:rPr>
          <w:rFonts w:ascii="Times New Roman" w:hAnsi="Times New Roman" w:eastAsia="黑体"/>
          <w:sz w:val="28"/>
          <w:szCs w:val="28"/>
          <w:lang w:val="en-US"/>
        </w:rPr>
        <w:t>土建工程</w:t>
      </w:r>
      <w:bookmarkEnd w:id="1181"/>
      <w:bookmarkEnd w:id="1182"/>
      <w:bookmarkEnd w:id="1183"/>
      <w:bookmarkEnd w:id="1184"/>
      <w:bookmarkEnd w:id="1185"/>
      <w:bookmarkEnd w:id="1186"/>
      <w:bookmarkEnd w:id="1187"/>
      <w:bookmarkEnd w:id="1188"/>
    </w:p>
    <w:p w14:paraId="2F833C38">
      <w:pPr>
        <w:pStyle w:val="4"/>
        <w:keepNext/>
        <w:keepLines/>
        <w:autoSpaceDE/>
        <w:spacing w:before="20" w:after="20" w:line="400" w:lineRule="exact"/>
        <w:jc w:val="center"/>
        <w:rPr>
          <w:rFonts w:ascii="Times New Roman" w:hAnsi="Times New Roman" w:eastAsia="黑体"/>
          <w:bCs/>
          <w:sz w:val="24"/>
          <w:szCs w:val="24"/>
        </w:rPr>
      </w:pPr>
      <w:bookmarkStart w:id="1189" w:name="_Toc16527"/>
      <w:bookmarkStart w:id="1190" w:name="_Toc12931"/>
      <w:bookmarkStart w:id="1191" w:name="_Toc14670"/>
      <w:bookmarkStart w:id="1192" w:name="_Toc23659"/>
      <w:bookmarkStart w:id="1193" w:name="_Toc4725"/>
      <w:bookmarkStart w:id="1194" w:name="_Toc15562"/>
      <w:bookmarkStart w:id="1195" w:name="_Toc30880"/>
      <w:bookmarkStart w:id="1196" w:name="_Toc8080"/>
      <w:r>
        <w:rPr>
          <w:rFonts w:ascii="Times New Roman" w:hAnsi="Times New Roman" w:eastAsia="黑体"/>
          <w:b/>
          <w:sz w:val="24"/>
          <w:szCs w:val="24"/>
        </w:rPr>
        <w:t>7.1</w:t>
      </w:r>
      <w:r>
        <w:rPr>
          <w:rFonts w:ascii="Times New Roman" w:hAnsi="Times New Roman" w:eastAsia="黑体"/>
          <w:bCs/>
          <w:sz w:val="24"/>
          <w:szCs w:val="24"/>
        </w:rPr>
        <w:t xml:space="preserve">  地基与基础、主体结构工程</w:t>
      </w:r>
      <w:bookmarkEnd w:id="1189"/>
      <w:bookmarkEnd w:id="1190"/>
      <w:bookmarkEnd w:id="1191"/>
      <w:bookmarkEnd w:id="1192"/>
      <w:bookmarkEnd w:id="1193"/>
      <w:bookmarkEnd w:id="1194"/>
      <w:bookmarkEnd w:id="1195"/>
      <w:bookmarkEnd w:id="1196"/>
    </w:p>
    <w:p w14:paraId="6BBF055E">
      <w:pPr>
        <w:spacing w:line="400" w:lineRule="exact"/>
        <w:ind w:firstLine="420" w:firstLineChars="200"/>
        <w:rPr>
          <w:color w:val="000000"/>
          <w:szCs w:val="21"/>
        </w:rPr>
      </w:pPr>
      <w:r>
        <w:rPr>
          <w:color w:val="000000"/>
          <w:szCs w:val="21"/>
        </w:rPr>
        <w:t>按本标准2.0.2条第1款规定，申报建筑长城杯工程时，该工程应已获得北京市结构长城杯，因此，在建筑长城杯评审时，仅对工程结构情况进行抽查。本节规定了主要抽查的内容。</w:t>
      </w:r>
    </w:p>
    <w:p w14:paraId="22ECB83F">
      <w:pPr>
        <w:pStyle w:val="4"/>
        <w:keepNext/>
        <w:keepLines/>
        <w:autoSpaceDE/>
        <w:spacing w:before="20" w:after="20" w:line="400" w:lineRule="exact"/>
        <w:jc w:val="center"/>
        <w:rPr>
          <w:rFonts w:ascii="Times New Roman" w:hAnsi="Times New Roman" w:eastAsia="黑体"/>
          <w:bCs/>
          <w:sz w:val="24"/>
          <w:szCs w:val="24"/>
        </w:rPr>
      </w:pPr>
      <w:bookmarkStart w:id="1197" w:name="_Toc15266"/>
      <w:bookmarkStart w:id="1198" w:name="_Toc1186"/>
      <w:bookmarkStart w:id="1199" w:name="_Toc21600"/>
      <w:bookmarkStart w:id="1200" w:name="_Toc10622"/>
      <w:bookmarkStart w:id="1201" w:name="_Toc1240"/>
      <w:bookmarkStart w:id="1202" w:name="_Toc24333"/>
      <w:bookmarkStart w:id="1203" w:name="_Toc10299"/>
      <w:bookmarkStart w:id="1204" w:name="_Toc17901"/>
      <w:r>
        <w:rPr>
          <w:rFonts w:ascii="Times New Roman" w:hAnsi="Times New Roman" w:eastAsia="黑体"/>
          <w:b/>
          <w:sz w:val="24"/>
          <w:szCs w:val="24"/>
        </w:rPr>
        <w:t>7.2</w:t>
      </w:r>
      <w:r>
        <w:rPr>
          <w:rFonts w:ascii="Times New Roman" w:hAnsi="Times New Roman" w:eastAsia="黑体"/>
          <w:bCs/>
          <w:sz w:val="24"/>
          <w:szCs w:val="24"/>
        </w:rPr>
        <w:t xml:space="preserve"> </w:t>
      </w:r>
      <w:r>
        <w:rPr>
          <w:rFonts w:hint="eastAsia" w:ascii="Times New Roman" w:hAnsi="Times New Roman" w:eastAsia="黑体"/>
          <w:bCs/>
          <w:sz w:val="24"/>
          <w:szCs w:val="24"/>
          <w:lang w:val="en-US"/>
        </w:rPr>
        <w:t xml:space="preserve"> </w:t>
      </w:r>
      <w:r>
        <w:rPr>
          <w:rFonts w:ascii="Times New Roman" w:hAnsi="Times New Roman" w:eastAsia="黑体"/>
          <w:bCs/>
          <w:sz w:val="24"/>
          <w:szCs w:val="24"/>
        </w:rPr>
        <w:t>屋面工程</w:t>
      </w:r>
      <w:bookmarkEnd w:id="1197"/>
      <w:bookmarkEnd w:id="1198"/>
      <w:bookmarkEnd w:id="1199"/>
      <w:bookmarkEnd w:id="1200"/>
      <w:bookmarkEnd w:id="1201"/>
      <w:bookmarkEnd w:id="1202"/>
      <w:bookmarkEnd w:id="1203"/>
      <w:bookmarkEnd w:id="1204"/>
    </w:p>
    <w:p w14:paraId="20AB193B">
      <w:pPr>
        <w:spacing w:line="400" w:lineRule="exact"/>
        <w:ind w:firstLine="420" w:firstLineChars="200"/>
        <w:rPr>
          <w:color w:val="000000"/>
          <w:szCs w:val="21"/>
        </w:rPr>
      </w:pPr>
      <w:r>
        <w:rPr>
          <w:color w:val="000000"/>
          <w:szCs w:val="21"/>
        </w:rPr>
        <w:t>屋面工程是很重要的一个分部工程，其质量影响到建筑物的使用功能。</w:t>
      </w:r>
    </w:p>
    <w:p w14:paraId="42F952FF">
      <w:pPr>
        <w:spacing w:line="400" w:lineRule="exact"/>
        <w:rPr>
          <w:bCs/>
          <w:color w:val="000000"/>
          <w:szCs w:val="21"/>
        </w:rPr>
      </w:pPr>
      <w:r>
        <w:rPr>
          <w:b/>
          <w:color w:val="000000"/>
          <w:szCs w:val="21"/>
        </w:rPr>
        <w:t xml:space="preserve">7.2.1  </w:t>
      </w:r>
      <w:r>
        <w:rPr>
          <w:bCs/>
          <w:color w:val="000000"/>
          <w:szCs w:val="21"/>
        </w:rPr>
        <w:t>规定了对屋面工程的总体质量要求。</w:t>
      </w:r>
    </w:p>
    <w:p w14:paraId="77BAEE17">
      <w:pPr>
        <w:spacing w:line="400" w:lineRule="exact"/>
        <w:rPr>
          <w:color w:val="000000"/>
          <w:szCs w:val="21"/>
        </w:rPr>
      </w:pPr>
      <w:r>
        <w:rPr>
          <w:b/>
          <w:color w:val="000000"/>
          <w:szCs w:val="21"/>
        </w:rPr>
        <w:t xml:space="preserve">7.2.2  </w:t>
      </w:r>
      <w:r>
        <w:rPr>
          <w:bCs/>
          <w:color w:val="000000"/>
          <w:szCs w:val="21"/>
        </w:rPr>
        <w:t>规定了对屋面</w:t>
      </w:r>
      <w:r>
        <w:rPr>
          <w:color w:val="000000"/>
          <w:szCs w:val="21"/>
        </w:rPr>
        <w:t>防水层的保护层的质量要求，对细石混凝土保护层分格缝间距按照GB50207修订版进行了要求。</w:t>
      </w:r>
    </w:p>
    <w:p w14:paraId="2415C140">
      <w:pPr>
        <w:spacing w:line="400" w:lineRule="exact"/>
        <w:rPr>
          <w:bCs/>
          <w:color w:val="000000"/>
          <w:szCs w:val="21"/>
        </w:rPr>
      </w:pPr>
      <w:r>
        <w:rPr>
          <w:b/>
          <w:color w:val="000000"/>
          <w:szCs w:val="21"/>
        </w:rPr>
        <w:t xml:space="preserve">7.2.3  </w:t>
      </w:r>
      <w:r>
        <w:rPr>
          <w:bCs/>
          <w:color w:val="000000"/>
          <w:szCs w:val="21"/>
        </w:rPr>
        <w:t>本条源自</w:t>
      </w:r>
      <w:r>
        <w:rPr>
          <w:color w:val="000000"/>
          <w:szCs w:val="21"/>
        </w:rPr>
        <w:t>《屋面工程质量验收规范》GB 50207，</w:t>
      </w:r>
      <w:r>
        <w:rPr>
          <w:bCs/>
          <w:color w:val="000000"/>
          <w:szCs w:val="21"/>
        </w:rPr>
        <w:t>在本标准中严格执行。</w:t>
      </w:r>
    </w:p>
    <w:p w14:paraId="7963C182">
      <w:pPr>
        <w:spacing w:line="400" w:lineRule="exact"/>
        <w:rPr>
          <w:b/>
          <w:color w:val="000000"/>
          <w:szCs w:val="21"/>
        </w:rPr>
      </w:pPr>
      <w:r>
        <w:rPr>
          <w:b/>
          <w:color w:val="000000"/>
          <w:szCs w:val="21"/>
        </w:rPr>
        <w:t xml:space="preserve">7.2.5  </w:t>
      </w:r>
      <w:r>
        <w:rPr>
          <w:color w:val="000000"/>
          <w:szCs w:val="21"/>
        </w:rPr>
        <w:t>屋面玻璃必须使用安全玻璃，建筑长城杯评审时应抽查资料进行核实，安全玻璃应有3C认证。</w:t>
      </w:r>
    </w:p>
    <w:p w14:paraId="701E545F">
      <w:pPr>
        <w:spacing w:line="400" w:lineRule="exact"/>
        <w:rPr>
          <w:color w:val="000000"/>
          <w:sz w:val="24"/>
          <w:szCs w:val="24"/>
        </w:rPr>
      </w:pPr>
      <w:r>
        <w:rPr>
          <w:b/>
          <w:bCs/>
          <w:color w:val="000000"/>
          <w:szCs w:val="21"/>
        </w:rPr>
        <w:t xml:space="preserve">7.2.7 </w:t>
      </w:r>
      <w:r>
        <w:rPr>
          <w:color w:val="000000"/>
          <w:szCs w:val="21"/>
        </w:rPr>
        <w:t xml:space="preserve"> 雨水落斗、穿过防水层的各种管道及屋面上各种设施的根部，是屋面施工中容易发生漏水、渗水之处，应严格按照规范规定和设计要求施工。</w:t>
      </w:r>
    </w:p>
    <w:p w14:paraId="19835C65">
      <w:pPr>
        <w:spacing w:line="400" w:lineRule="exact"/>
        <w:rPr>
          <w:color w:val="000000"/>
          <w:szCs w:val="21"/>
        </w:rPr>
      </w:pPr>
      <w:r>
        <w:rPr>
          <w:b/>
          <w:bCs/>
          <w:color w:val="000000"/>
          <w:szCs w:val="21"/>
        </w:rPr>
        <w:t xml:space="preserve">7.2.8  </w:t>
      </w:r>
      <w:r>
        <w:rPr>
          <w:color w:val="000000"/>
          <w:szCs w:val="21"/>
        </w:rPr>
        <w:t>本条对屋面设置检修口和爬梯进行了规定。</w:t>
      </w:r>
    </w:p>
    <w:p w14:paraId="5050EB8E">
      <w:pPr>
        <w:spacing w:line="400" w:lineRule="exact"/>
        <w:rPr>
          <w:color w:val="000000"/>
          <w:szCs w:val="21"/>
        </w:rPr>
      </w:pPr>
      <w:r>
        <w:rPr>
          <w:b/>
          <w:bCs/>
          <w:color w:val="000000"/>
          <w:szCs w:val="21"/>
        </w:rPr>
        <w:t xml:space="preserve">7.2.9  </w:t>
      </w:r>
      <w:r>
        <w:rPr>
          <w:color w:val="000000"/>
          <w:szCs w:val="21"/>
        </w:rPr>
        <w:t>本条对屋面使用光伏发电的光伏组件与屋面细部节点的连接构造进行了规定。</w:t>
      </w:r>
    </w:p>
    <w:p w14:paraId="7DA84526">
      <w:pPr>
        <w:pStyle w:val="4"/>
        <w:keepNext/>
        <w:keepLines/>
        <w:autoSpaceDE/>
        <w:spacing w:before="20" w:after="20" w:line="400" w:lineRule="exact"/>
        <w:jc w:val="center"/>
        <w:rPr>
          <w:rFonts w:ascii="Times New Roman" w:hAnsi="Times New Roman" w:eastAsia="黑体"/>
          <w:bCs/>
          <w:sz w:val="24"/>
          <w:szCs w:val="24"/>
        </w:rPr>
      </w:pPr>
    </w:p>
    <w:p w14:paraId="2EA3E6F9">
      <w:pPr>
        <w:pStyle w:val="4"/>
        <w:keepNext/>
        <w:keepLines/>
        <w:autoSpaceDE/>
        <w:spacing w:before="20" w:after="20" w:line="400" w:lineRule="exact"/>
        <w:jc w:val="center"/>
        <w:rPr>
          <w:rFonts w:ascii="Times New Roman" w:hAnsi="Times New Roman" w:eastAsia="黑体"/>
          <w:bCs/>
          <w:sz w:val="24"/>
          <w:szCs w:val="24"/>
        </w:rPr>
      </w:pPr>
      <w:bookmarkStart w:id="1205" w:name="_Toc8917"/>
      <w:bookmarkStart w:id="1206" w:name="_Toc3457"/>
      <w:bookmarkStart w:id="1207" w:name="_Toc3257"/>
      <w:bookmarkStart w:id="1208" w:name="_Toc24516"/>
      <w:bookmarkStart w:id="1209" w:name="_Toc5147"/>
      <w:bookmarkStart w:id="1210" w:name="_Toc10359"/>
      <w:bookmarkStart w:id="1211" w:name="_Toc22206"/>
      <w:bookmarkStart w:id="1212" w:name="_Toc10511"/>
      <w:r>
        <w:rPr>
          <w:rFonts w:ascii="Times New Roman" w:hAnsi="Times New Roman" w:eastAsia="黑体"/>
          <w:b/>
          <w:sz w:val="24"/>
          <w:szCs w:val="24"/>
        </w:rPr>
        <w:t>7.3</w:t>
      </w:r>
      <w:r>
        <w:rPr>
          <w:rFonts w:ascii="Times New Roman" w:hAnsi="Times New Roman" w:eastAsia="黑体"/>
          <w:bCs/>
          <w:sz w:val="24"/>
          <w:szCs w:val="24"/>
        </w:rPr>
        <w:t xml:space="preserve">  外装修工程</w:t>
      </w:r>
      <w:bookmarkEnd w:id="1205"/>
      <w:bookmarkEnd w:id="1206"/>
      <w:bookmarkEnd w:id="1207"/>
      <w:bookmarkEnd w:id="1208"/>
      <w:bookmarkEnd w:id="1209"/>
      <w:bookmarkEnd w:id="1210"/>
      <w:bookmarkEnd w:id="1211"/>
      <w:bookmarkEnd w:id="1212"/>
    </w:p>
    <w:p w14:paraId="61FA4DC7">
      <w:pPr>
        <w:spacing w:line="400" w:lineRule="exact"/>
        <w:rPr>
          <w:color w:val="000000"/>
          <w:szCs w:val="21"/>
        </w:rPr>
      </w:pPr>
      <w:r>
        <w:rPr>
          <w:b/>
          <w:color w:val="000000"/>
          <w:szCs w:val="21"/>
        </w:rPr>
        <w:t xml:space="preserve">7.3.1  </w:t>
      </w:r>
      <w:r>
        <w:rPr>
          <w:color w:val="000000"/>
          <w:szCs w:val="21"/>
        </w:rPr>
        <w:t>外装修工程质量的总体要求。 设置滴水线、槽的目的是让雨水顺着滴水线外侧直接落下，减少雨水对墙体的侵蚀和污染，因此，应做滴水线的部位都要做，不应遗漏。</w:t>
      </w:r>
    </w:p>
    <w:p w14:paraId="75778446">
      <w:pPr>
        <w:spacing w:line="520" w:lineRule="exact"/>
        <w:jc w:val="center"/>
        <w:rPr>
          <w:b/>
          <w:color w:val="000000"/>
          <w:sz w:val="24"/>
          <w:szCs w:val="24"/>
        </w:rPr>
      </w:pPr>
    </w:p>
    <w:p w14:paraId="75B78634">
      <w:pPr>
        <w:pStyle w:val="4"/>
        <w:keepNext/>
        <w:keepLines/>
        <w:autoSpaceDE/>
        <w:spacing w:before="20" w:after="20" w:line="400" w:lineRule="exact"/>
        <w:jc w:val="center"/>
        <w:rPr>
          <w:rFonts w:ascii="Times New Roman" w:hAnsi="Times New Roman" w:eastAsia="黑体"/>
          <w:bCs/>
          <w:sz w:val="24"/>
          <w:szCs w:val="24"/>
        </w:rPr>
      </w:pPr>
      <w:bookmarkStart w:id="1213" w:name="_Toc8202"/>
      <w:bookmarkStart w:id="1214" w:name="_Toc26088"/>
      <w:bookmarkStart w:id="1215" w:name="_Toc25832"/>
      <w:bookmarkStart w:id="1216" w:name="_Toc2031"/>
      <w:bookmarkStart w:id="1217" w:name="_Toc9324"/>
      <w:bookmarkStart w:id="1218" w:name="_Toc14022"/>
      <w:bookmarkStart w:id="1219" w:name="_Toc14859"/>
      <w:bookmarkStart w:id="1220" w:name="_Toc12122"/>
      <w:r>
        <w:rPr>
          <w:rFonts w:ascii="Times New Roman" w:hAnsi="Times New Roman" w:eastAsia="黑体"/>
          <w:b/>
          <w:sz w:val="24"/>
          <w:szCs w:val="24"/>
        </w:rPr>
        <w:t>7.4</w:t>
      </w:r>
      <w:r>
        <w:rPr>
          <w:rFonts w:ascii="Times New Roman" w:hAnsi="Times New Roman"/>
          <w:b/>
          <w:sz w:val="24"/>
          <w:szCs w:val="24"/>
          <w:lang w:val="en-US"/>
        </w:rPr>
        <w:t xml:space="preserve">  </w:t>
      </w:r>
      <w:r>
        <w:rPr>
          <w:rFonts w:ascii="Times New Roman" w:hAnsi="Times New Roman" w:eastAsia="黑体"/>
          <w:bCs/>
          <w:sz w:val="24"/>
          <w:szCs w:val="24"/>
        </w:rPr>
        <w:t>涂饰工程</w:t>
      </w:r>
      <w:bookmarkEnd w:id="1213"/>
      <w:bookmarkEnd w:id="1214"/>
      <w:bookmarkEnd w:id="1215"/>
      <w:bookmarkEnd w:id="1216"/>
      <w:bookmarkEnd w:id="1217"/>
      <w:bookmarkEnd w:id="1218"/>
      <w:bookmarkEnd w:id="1219"/>
      <w:bookmarkEnd w:id="1220"/>
    </w:p>
    <w:p w14:paraId="4FDA37FC">
      <w:pPr>
        <w:spacing w:line="400" w:lineRule="exact"/>
        <w:rPr>
          <w:color w:val="000000"/>
          <w:szCs w:val="21"/>
        </w:rPr>
      </w:pPr>
      <w:r>
        <w:rPr>
          <w:b/>
          <w:bCs/>
          <w:color w:val="000000"/>
          <w:szCs w:val="21"/>
        </w:rPr>
        <w:t>7.4.1</w:t>
      </w:r>
      <w:r>
        <w:rPr>
          <w:color w:val="000000"/>
          <w:szCs w:val="21"/>
        </w:rPr>
        <w:t xml:space="preserve">  条规定了涂饰工程原材料的质量要求，包括涂料、腻子和底漆。</w:t>
      </w:r>
    </w:p>
    <w:p w14:paraId="01E10A75">
      <w:pPr>
        <w:spacing w:line="400" w:lineRule="exact"/>
        <w:rPr>
          <w:color w:val="000000"/>
          <w:szCs w:val="21"/>
        </w:rPr>
      </w:pPr>
      <w:r>
        <w:rPr>
          <w:b/>
          <w:bCs/>
          <w:color w:val="000000"/>
          <w:szCs w:val="21"/>
        </w:rPr>
        <w:t>7.4.2</w:t>
      </w:r>
      <w:r>
        <w:rPr>
          <w:color w:val="000000"/>
          <w:szCs w:val="21"/>
        </w:rPr>
        <w:t xml:space="preserve">  条对涂饰工程的找平层处理提出了要求。</w:t>
      </w:r>
    </w:p>
    <w:p w14:paraId="60FCD7A6">
      <w:pPr>
        <w:spacing w:line="400" w:lineRule="exact"/>
        <w:rPr>
          <w:color w:val="000000"/>
          <w:szCs w:val="21"/>
        </w:rPr>
      </w:pPr>
      <w:r>
        <w:rPr>
          <w:b/>
          <w:bCs/>
          <w:color w:val="000000"/>
          <w:szCs w:val="21"/>
        </w:rPr>
        <w:t>7.4.3</w:t>
      </w:r>
      <w:r>
        <w:rPr>
          <w:color w:val="000000"/>
          <w:szCs w:val="21"/>
        </w:rPr>
        <w:t xml:space="preserve">  条按照GB 50210第12章涂饰工程主控项目，对涂饰工程的质量提出了要求。涂饰工程的材料要环保，施工观感质量要好。建筑长城杯评审时主要是观感检查，除大面的观感质量外，还要看一些细部及涂层与其他装修材料和设备的衔接处、分界处的观感质量。</w:t>
      </w:r>
    </w:p>
    <w:p w14:paraId="46718828">
      <w:pPr>
        <w:pStyle w:val="4"/>
        <w:keepNext/>
        <w:keepLines/>
        <w:autoSpaceDE/>
        <w:spacing w:before="20" w:after="20" w:line="400" w:lineRule="exact"/>
        <w:jc w:val="center"/>
        <w:rPr>
          <w:rFonts w:ascii="Times New Roman" w:hAnsi="Times New Roman" w:eastAsia="黑体"/>
          <w:bCs/>
          <w:sz w:val="24"/>
          <w:szCs w:val="24"/>
        </w:rPr>
      </w:pPr>
      <w:bookmarkStart w:id="1221" w:name="_Toc9126"/>
      <w:bookmarkStart w:id="1222" w:name="_Toc2643"/>
      <w:bookmarkStart w:id="1223" w:name="_Toc13524"/>
      <w:bookmarkStart w:id="1224" w:name="_Toc18329"/>
      <w:bookmarkStart w:id="1225" w:name="_Toc4107"/>
      <w:bookmarkStart w:id="1226" w:name="_Toc13256"/>
      <w:bookmarkStart w:id="1227" w:name="_Toc14231"/>
      <w:bookmarkStart w:id="1228" w:name="_Toc7856"/>
      <w:r>
        <w:rPr>
          <w:rFonts w:ascii="Times New Roman" w:hAnsi="Times New Roman" w:eastAsia="黑体"/>
          <w:b/>
          <w:sz w:val="24"/>
          <w:szCs w:val="24"/>
        </w:rPr>
        <w:t>7.5</w:t>
      </w:r>
      <w:r>
        <w:rPr>
          <w:rFonts w:ascii="Times New Roman" w:hAnsi="Times New Roman" w:eastAsia="黑体"/>
          <w:bCs/>
          <w:sz w:val="24"/>
          <w:szCs w:val="24"/>
        </w:rPr>
        <w:t xml:space="preserve">  抹灰工程</w:t>
      </w:r>
      <w:bookmarkEnd w:id="1221"/>
      <w:bookmarkEnd w:id="1222"/>
      <w:bookmarkEnd w:id="1223"/>
      <w:bookmarkEnd w:id="1224"/>
      <w:bookmarkEnd w:id="1225"/>
      <w:bookmarkEnd w:id="1226"/>
      <w:bookmarkEnd w:id="1227"/>
      <w:bookmarkEnd w:id="1228"/>
    </w:p>
    <w:p w14:paraId="110A23E7">
      <w:pPr>
        <w:spacing w:line="400" w:lineRule="exact"/>
        <w:rPr>
          <w:color w:val="000000"/>
          <w:szCs w:val="21"/>
        </w:rPr>
      </w:pPr>
      <w:r>
        <w:rPr>
          <w:b/>
          <w:color w:val="000000"/>
          <w:szCs w:val="21"/>
        </w:rPr>
        <w:t xml:space="preserve">7.5.1  </w:t>
      </w:r>
      <w:r>
        <w:rPr>
          <w:color w:val="000000"/>
          <w:szCs w:val="21"/>
        </w:rPr>
        <w:t>对抹灰工程的总体质量要求。</w:t>
      </w:r>
    </w:p>
    <w:p w14:paraId="0178C283">
      <w:pPr>
        <w:spacing w:line="400" w:lineRule="exact"/>
        <w:rPr>
          <w:color w:val="000000"/>
          <w:szCs w:val="21"/>
        </w:rPr>
      </w:pPr>
      <w:r>
        <w:rPr>
          <w:b/>
          <w:color w:val="000000"/>
          <w:szCs w:val="21"/>
        </w:rPr>
        <w:t>7.5.2</w:t>
      </w:r>
      <w:r>
        <w:rPr>
          <w:color w:val="000000"/>
          <w:szCs w:val="21"/>
        </w:rPr>
        <w:t xml:space="preserve">  对窗台、窗套、装饰线抹灰质量要求。</w:t>
      </w:r>
    </w:p>
    <w:p w14:paraId="55325954">
      <w:pPr>
        <w:spacing w:line="520" w:lineRule="exact"/>
        <w:jc w:val="center"/>
        <w:rPr>
          <w:b/>
          <w:color w:val="000000"/>
          <w:sz w:val="24"/>
          <w:szCs w:val="24"/>
        </w:rPr>
      </w:pPr>
    </w:p>
    <w:p w14:paraId="4C58C9DB">
      <w:pPr>
        <w:pStyle w:val="4"/>
        <w:keepNext/>
        <w:keepLines/>
        <w:autoSpaceDE/>
        <w:spacing w:before="20" w:after="20" w:line="400" w:lineRule="exact"/>
        <w:jc w:val="center"/>
        <w:rPr>
          <w:rFonts w:ascii="Times New Roman" w:hAnsi="Times New Roman" w:eastAsia="黑体"/>
          <w:bCs/>
          <w:sz w:val="24"/>
          <w:szCs w:val="24"/>
        </w:rPr>
      </w:pPr>
      <w:bookmarkStart w:id="1229" w:name="_Toc19946"/>
      <w:bookmarkStart w:id="1230" w:name="_Toc23921"/>
      <w:bookmarkStart w:id="1231" w:name="_Toc30533"/>
      <w:bookmarkStart w:id="1232" w:name="_Toc28352"/>
      <w:bookmarkStart w:id="1233" w:name="_Toc11167"/>
      <w:bookmarkStart w:id="1234" w:name="_Toc298"/>
      <w:bookmarkStart w:id="1235" w:name="_Toc19314"/>
      <w:bookmarkStart w:id="1236" w:name="_Toc14817"/>
      <w:r>
        <w:rPr>
          <w:rFonts w:ascii="Times New Roman" w:hAnsi="Times New Roman" w:eastAsia="黑体"/>
          <w:b/>
          <w:sz w:val="24"/>
          <w:szCs w:val="24"/>
        </w:rPr>
        <w:t>7.6</w:t>
      </w:r>
      <w:r>
        <w:rPr>
          <w:rFonts w:ascii="Times New Roman" w:hAnsi="Times New Roman" w:eastAsia="黑体"/>
          <w:bCs/>
          <w:sz w:val="24"/>
          <w:szCs w:val="24"/>
        </w:rPr>
        <w:t xml:space="preserve">  饰面砖、饰面板工程</w:t>
      </w:r>
      <w:bookmarkEnd w:id="1229"/>
      <w:bookmarkEnd w:id="1230"/>
      <w:bookmarkEnd w:id="1231"/>
      <w:bookmarkEnd w:id="1232"/>
      <w:bookmarkEnd w:id="1233"/>
      <w:bookmarkEnd w:id="1234"/>
      <w:bookmarkEnd w:id="1235"/>
      <w:bookmarkEnd w:id="1236"/>
    </w:p>
    <w:p w14:paraId="0E4AB717">
      <w:pPr>
        <w:spacing w:line="400" w:lineRule="exact"/>
        <w:rPr>
          <w:color w:val="000000"/>
          <w:szCs w:val="21"/>
        </w:rPr>
      </w:pPr>
      <w:r>
        <w:rPr>
          <w:b/>
          <w:color w:val="000000"/>
          <w:szCs w:val="21"/>
        </w:rPr>
        <w:t xml:space="preserve">7.6.1  </w:t>
      </w:r>
      <w:r>
        <w:rPr>
          <w:color w:val="000000"/>
          <w:szCs w:val="21"/>
        </w:rPr>
        <w:t>饰面砖粘贴必须牢固，特别是外墙饰面砖，如粘接不牢固会形成脱落伤人隐患，建筑长城杯评审必须抽查拉拔试验报告。外墙饰面砖工程质量直接影响到外装修工程的质量。</w:t>
      </w:r>
    </w:p>
    <w:p w14:paraId="620EA359">
      <w:pPr>
        <w:spacing w:line="400" w:lineRule="exact"/>
        <w:rPr>
          <w:color w:val="000000"/>
          <w:szCs w:val="21"/>
        </w:rPr>
      </w:pPr>
      <w:r>
        <w:rPr>
          <w:b/>
          <w:color w:val="000000"/>
          <w:szCs w:val="21"/>
        </w:rPr>
        <w:t xml:space="preserve">7.6.2  </w:t>
      </w:r>
      <w:r>
        <w:rPr>
          <w:color w:val="000000"/>
          <w:szCs w:val="21"/>
        </w:rPr>
        <w:t>对饰面板工程施工质量的要求，饰面板工程的策划应从加工</w:t>
      </w:r>
      <w:r>
        <w:rPr>
          <w:rFonts w:hint="eastAsia"/>
          <w:color w:val="000000"/>
          <w:szCs w:val="21"/>
        </w:rPr>
        <w:t>订</w:t>
      </w:r>
      <w:r>
        <w:rPr>
          <w:color w:val="000000"/>
          <w:szCs w:val="21"/>
        </w:rPr>
        <w:t>货开始。</w:t>
      </w:r>
    </w:p>
    <w:p w14:paraId="539F60EA">
      <w:pPr>
        <w:pStyle w:val="4"/>
        <w:keepNext/>
        <w:keepLines/>
        <w:autoSpaceDE/>
        <w:spacing w:before="20" w:after="20" w:line="400" w:lineRule="exact"/>
        <w:jc w:val="center"/>
        <w:rPr>
          <w:rFonts w:ascii="Times New Roman" w:hAnsi="Times New Roman" w:eastAsia="黑体"/>
          <w:bCs/>
          <w:sz w:val="24"/>
          <w:szCs w:val="24"/>
        </w:rPr>
      </w:pPr>
    </w:p>
    <w:p w14:paraId="55575BC6">
      <w:pPr>
        <w:pStyle w:val="4"/>
        <w:keepNext/>
        <w:keepLines/>
        <w:autoSpaceDE/>
        <w:spacing w:before="20" w:after="20" w:line="400" w:lineRule="exact"/>
        <w:jc w:val="center"/>
        <w:rPr>
          <w:rFonts w:ascii="Times New Roman" w:hAnsi="Times New Roman" w:eastAsia="黑体"/>
          <w:bCs/>
          <w:sz w:val="24"/>
          <w:szCs w:val="24"/>
        </w:rPr>
      </w:pPr>
      <w:bookmarkStart w:id="1237" w:name="_Toc12153"/>
      <w:bookmarkStart w:id="1238" w:name="_Toc5570"/>
      <w:bookmarkStart w:id="1239" w:name="_Toc12291"/>
      <w:bookmarkStart w:id="1240" w:name="_Toc15400"/>
      <w:bookmarkStart w:id="1241" w:name="_Toc6271"/>
      <w:bookmarkStart w:id="1242" w:name="_Toc3894"/>
      <w:bookmarkStart w:id="1243" w:name="_Toc29577"/>
      <w:bookmarkStart w:id="1244" w:name="_Toc28073"/>
      <w:r>
        <w:rPr>
          <w:rFonts w:ascii="Times New Roman" w:hAnsi="Times New Roman" w:eastAsia="黑体"/>
          <w:b/>
          <w:sz w:val="24"/>
          <w:szCs w:val="24"/>
        </w:rPr>
        <w:t>7.7</w:t>
      </w:r>
      <w:r>
        <w:rPr>
          <w:rFonts w:ascii="Times New Roman" w:hAnsi="Times New Roman" w:eastAsia="黑体"/>
          <w:bCs/>
          <w:sz w:val="24"/>
          <w:szCs w:val="24"/>
        </w:rPr>
        <w:t xml:space="preserve">  墙面裱糊与软包铺装工程</w:t>
      </w:r>
      <w:bookmarkEnd w:id="1237"/>
      <w:bookmarkEnd w:id="1238"/>
      <w:bookmarkEnd w:id="1239"/>
      <w:bookmarkEnd w:id="1240"/>
      <w:bookmarkEnd w:id="1241"/>
      <w:bookmarkEnd w:id="1242"/>
      <w:bookmarkEnd w:id="1243"/>
      <w:bookmarkEnd w:id="1244"/>
    </w:p>
    <w:p w14:paraId="76769671">
      <w:pPr>
        <w:spacing w:line="400" w:lineRule="exact"/>
        <w:rPr>
          <w:color w:val="000000"/>
          <w:szCs w:val="21"/>
        </w:rPr>
      </w:pPr>
      <w:r>
        <w:rPr>
          <w:b/>
          <w:color w:val="000000"/>
          <w:szCs w:val="21"/>
        </w:rPr>
        <w:t xml:space="preserve">7.7.1  </w:t>
      </w:r>
      <w:r>
        <w:rPr>
          <w:color w:val="000000"/>
          <w:szCs w:val="21"/>
        </w:rPr>
        <w:t>对墙面裱糊工程的壁纸、墙布的种类、规格、图案、颜色和燃烧性能等，以及裱糊工程观感质量的要求。</w:t>
      </w:r>
    </w:p>
    <w:p w14:paraId="354D869E">
      <w:pPr>
        <w:spacing w:line="400" w:lineRule="exact"/>
        <w:rPr>
          <w:color w:val="000000"/>
          <w:szCs w:val="21"/>
        </w:rPr>
      </w:pPr>
      <w:r>
        <w:rPr>
          <w:b/>
          <w:color w:val="000000"/>
          <w:szCs w:val="21"/>
        </w:rPr>
        <w:t xml:space="preserve">7.7.2  </w:t>
      </w:r>
      <w:r>
        <w:rPr>
          <w:color w:val="000000"/>
          <w:szCs w:val="21"/>
        </w:rPr>
        <w:t>对软包铺装工程的龙骨、衬板和边框安装及软包工程观感质量的要求。</w:t>
      </w:r>
    </w:p>
    <w:p w14:paraId="2F2B0538">
      <w:pPr>
        <w:spacing w:line="400" w:lineRule="exact"/>
        <w:rPr>
          <w:color w:val="000000"/>
          <w:szCs w:val="21"/>
        </w:rPr>
      </w:pPr>
    </w:p>
    <w:p w14:paraId="11365292">
      <w:pPr>
        <w:pStyle w:val="4"/>
        <w:keepNext/>
        <w:keepLines/>
        <w:autoSpaceDE/>
        <w:spacing w:before="20" w:after="20" w:line="400" w:lineRule="exact"/>
        <w:jc w:val="center"/>
        <w:rPr>
          <w:rFonts w:ascii="Times New Roman" w:hAnsi="Times New Roman" w:eastAsia="黑体"/>
          <w:bCs/>
          <w:sz w:val="24"/>
          <w:szCs w:val="24"/>
        </w:rPr>
      </w:pPr>
      <w:bookmarkStart w:id="1245" w:name="_Toc14111"/>
      <w:bookmarkStart w:id="1246" w:name="_Toc27643"/>
      <w:bookmarkStart w:id="1247" w:name="_Toc27113"/>
      <w:bookmarkStart w:id="1248" w:name="_Toc12233"/>
      <w:bookmarkStart w:id="1249" w:name="_Toc30431"/>
      <w:bookmarkStart w:id="1250" w:name="_Toc12358"/>
      <w:bookmarkStart w:id="1251" w:name="_Toc7290"/>
      <w:bookmarkStart w:id="1252" w:name="_Toc20566"/>
      <w:r>
        <w:rPr>
          <w:rFonts w:ascii="Times New Roman" w:hAnsi="Times New Roman" w:eastAsia="黑体"/>
          <w:bCs/>
          <w:sz w:val="24"/>
          <w:szCs w:val="24"/>
        </w:rPr>
        <w:t>7.8  门窗安装工程</w:t>
      </w:r>
      <w:bookmarkEnd w:id="1245"/>
      <w:bookmarkEnd w:id="1246"/>
      <w:bookmarkEnd w:id="1247"/>
      <w:bookmarkEnd w:id="1248"/>
      <w:bookmarkEnd w:id="1249"/>
      <w:bookmarkEnd w:id="1250"/>
      <w:bookmarkEnd w:id="1251"/>
      <w:bookmarkEnd w:id="1252"/>
    </w:p>
    <w:p w14:paraId="0B1EEBE0">
      <w:pPr>
        <w:spacing w:line="400" w:lineRule="exact"/>
        <w:rPr>
          <w:color w:val="000000"/>
          <w:szCs w:val="21"/>
        </w:rPr>
      </w:pPr>
      <w:r>
        <w:rPr>
          <w:b/>
          <w:color w:val="000000"/>
          <w:szCs w:val="21"/>
        </w:rPr>
        <w:t xml:space="preserve">7.8.1 </w:t>
      </w:r>
      <w:r>
        <w:rPr>
          <w:color w:val="000000"/>
          <w:szCs w:val="21"/>
        </w:rPr>
        <w:t xml:space="preserve"> 对门窗安装工程质量的总体要求。另外对节点部位易出现渗漏的部位，应着重进行设防。</w:t>
      </w:r>
    </w:p>
    <w:p w14:paraId="18E67CD4">
      <w:pPr>
        <w:spacing w:line="400" w:lineRule="exact"/>
        <w:rPr>
          <w:bCs/>
          <w:color w:val="000000"/>
          <w:szCs w:val="21"/>
        </w:rPr>
      </w:pPr>
      <w:r>
        <w:rPr>
          <w:b/>
          <w:color w:val="000000"/>
          <w:szCs w:val="21"/>
        </w:rPr>
        <w:t xml:space="preserve">7.8.2  </w:t>
      </w:r>
      <w:r>
        <w:rPr>
          <w:bCs/>
          <w:color w:val="000000"/>
          <w:szCs w:val="21"/>
        </w:rPr>
        <w:t>对门窗扇安装质量的要求。</w:t>
      </w:r>
    </w:p>
    <w:p w14:paraId="6F2411CF">
      <w:pPr>
        <w:spacing w:line="400" w:lineRule="exact"/>
        <w:rPr>
          <w:b/>
          <w:color w:val="000000"/>
          <w:szCs w:val="21"/>
        </w:rPr>
      </w:pPr>
      <w:r>
        <w:rPr>
          <w:b/>
          <w:color w:val="000000"/>
          <w:szCs w:val="21"/>
        </w:rPr>
        <w:t xml:space="preserve">7.8.3  </w:t>
      </w:r>
      <w:r>
        <w:rPr>
          <w:bCs/>
          <w:color w:val="000000"/>
          <w:szCs w:val="21"/>
        </w:rPr>
        <w:t>对门窗玻璃安装质量的要求。</w:t>
      </w:r>
    </w:p>
    <w:p w14:paraId="04B5AEC8">
      <w:pPr>
        <w:spacing w:line="520" w:lineRule="exact"/>
        <w:jc w:val="center"/>
        <w:rPr>
          <w:b/>
          <w:color w:val="000000"/>
          <w:szCs w:val="21"/>
        </w:rPr>
      </w:pPr>
    </w:p>
    <w:p w14:paraId="2784AC51">
      <w:pPr>
        <w:pStyle w:val="4"/>
        <w:keepNext/>
        <w:keepLines/>
        <w:autoSpaceDE/>
        <w:spacing w:before="20" w:after="20" w:line="400" w:lineRule="exact"/>
        <w:jc w:val="center"/>
        <w:rPr>
          <w:rFonts w:ascii="Times New Roman" w:hAnsi="Times New Roman" w:eastAsia="黑体"/>
          <w:bCs/>
          <w:sz w:val="24"/>
          <w:szCs w:val="24"/>
        </w:rPr>
      </w:pPr>
      <w:bookmarkStart w:id="1253" w:name="_Toc26869"/>
      <w:bookmarkStart w:id="1254" w:name="_Toc18469"/>
      <w:bookmarkStart w:id="1255" w:name="_Toc20696"/>
      <w:bookmarkStart w:id="1256" w:name="_Toc12972"/>
      <w:bookmarkStart w:id="1257" w:name="_Toc28830"/>
      <w:bookmarkStart w:id="1258" w:name="_Toc24853"/>
      <w:bookmarkStart w:id="1259" w:name="_Toc1792"/>
      <w:bookmarkStart w:id="1260" w:name="_Toc29257"/>
      <w:r>
        <w:rPr>
          <w:rFonts w:ascii="Times New Roman" w:hAnsi="Times New Roman" w:eastAsia="黑体"/>
          <w:bCs/>
          <w:sz w:val="24"/>
          <w:szCs w:val="24"/>
        </w:rPr>
        <w:t>7.9  幕墙工程</w:t>
      </w:r>
      <w:bookmarkEnd w:id="1253"/>
      <w:bookmarkEnd w:id="1254"/>
      <w:bookmarkEnd w:id="1255"/>
      <w:bookmarkEnd w:id="1256"/>
      <w:bookmarkEnd w:id="1257"/>
      <w:bookmarkEnd w:id="1258"/>
      <w:bookmarkEnd w:id="1259"/>
      <w:bookmarkEnd w:id="1260"/>
    </w:p>
    <w:p w14:paraId="3EBAE678">
      <w:pPr>
        <w:spacing w:line="400" w:lineRule="exact"/>
        <w:rPr>
          <w:color w:val="000000"/>
          <w:szCs w:val="21"/>
        </w:rPr>
      </w:pPr>
      <w:r>
        <w:rPr>
          <w:b/>
          <w:color w:val="000000"/>
          <w:szCs w:val="21"/>
        </w:rPr>
        <w:t xml:space="preserve">7.9.1  </w:t>
      </w:r>
      <w:r>
        <w:rPr>
          <w:color w:val="000000"/>
          <w:szCs w:val="21"/>
        </w:rPr>
        <w:t>对幕墙工程的总体质量要求。规定了在建筑长城杯检查时除对外观质量进行抽查外，还应抽查的主要内容和质量要求。幕墙工程质量影响到外装修工程的质量。</w:t>
      </w:r>
    </w:p>
    <w:p w14:paraId="64A953AC">
      <w:pPr>
        <w:spacing w:line="400" w:lineRule="exact"/>
        <w:rPr>
          <w:color w:val="000000"/>
          <w:szCs w:val="21"/>
        </w:rPr>
      </w:pPr>
      <w:r>
        <w:rPr>
          <w:b/>
          <w:color w:val="000000"/>
          <w:szCs w:val="21"/>
        </w:rPr>
        <w:t xml:space="preserve">7.9.2  </w:t>
      </w:r>
      <w:r>
        <w:rPr>
          <w:bCs/>
          <w:color w:val="000000"/>
          <w:szCs w:val="21"/>
        </w:rPr>
        <w:t>对玻璃幕墙观感检查的主要内容和质量要求。</w:t>
      </w:r>
    </w:p>
    <w:p w14:paraId="2CCEF990">
      <w:pPr>
        <w:spacing w:line="400" w:lineRule="exact"/>
        <w:rPr>
          <w:b/>
          <w:color w:val="000000"/>
          <w:szCs w:val="21"/>
        </w:rPr>
      </w:pPr>
      <w:r>
        <w:rPr>
          <w:b/>
          <w:color w:val="000000"/>
          <w:szCs w:val="21"/>
        </w:rPr>
        <w:t xml:space="preserve">7.9.3  </w:t>
      </w:r>
      <w:r>
        <w:rPr>
          <w:bCs/>
          <w:color w:val="000000"/>
          <w:szCs w:val="21"/>
        </w:rPr>
        <w:t>对金属幕墙观感检查的主要内容和质量要求。</w:t>
      </w:r>
    </w:p>
    <w:p w14:paraId="11C5707F">
      <w:pPr>
        <w:spacing w:line="400" w:lineRule="exact"/>
        <w:rPr>
          <w:color w:val="000000"/>
          <w:szCs w:val="21"/>
        </w:rPr>
      </w:pPr>
      <w:r>
        <w:rPr>
          <w:b/>
          <w:color w:val="000000"/>
          <w:szCs w:val="21"/>
        </w:rPr>
        <w:t xml:space="preserve">7.9.4  </w:t>
      </w:r>
      <w:r>
        <w:rPr>
          <w:bCs/>
          <w:color w:val="000000"/>
          <w:szCs w:val="21"/>
        </w:rPr>
        <w:t>对石材幕墙观感检查的主要内容和质量要求。</w:t>
      </w:r>
    </w:p>
    <w:p w14:paraId="03BCE336">
      <w:pPr>
        <w:spacing w:line="400" w:lineRule="exact"/>
        <w:rPr>
          <w:b/>
          <w:color w:val="000000"/>
          <w:szCs w:val="21"/>
        </w:rPr>
      </w:pPr>
    </w:p>
    <w:p w14:paraId="79F4766D">
      <w:pPr>
        <w:pStyle w:val="4"/>
        <w:keepNext/>
        <w:keepLines/>
        <w:autoSpaceDE/>
        <w:spacing w:before="20" w:after="20" w:line="400" w:lineRule="exact"/>
        <w:jc w:val="center"/>
        <w:rPr>
          <w:rFonts w:ascii="Times New Roman" w:hAnsi="Times New Roman" w:eastAsia="黑体"/>
          <w:bCs/>
          <w:sz w:val="24"/>
          <w:szCs w:val="24"/>
        </w:rPr>
      </w:pPr>
      <w:bookmarkStart w:id="1261" w:name="_Toc4012"/>
      <w:bookmarkStart w:id="1262" w:name="_Toc24854"/>
      <w:bookmarkStart w:id="1263" w:name="_Toc24156"/>
      <w:bookmarkStart w:id="1264" w:name="_Toc23803"/>
      <w:bookmarkStart w:id="1265" w:name="_Toc5111"/>
      <w:bookmarkStart w:id="1266" w:name="_Toc29411"/>
      <w:bookmarkStart w:id="1267" w:name="_Toc30018"/>
      <w:bookmarkStart w:id="1268" w:name="_Toc4037"/>
      <w:r>
        <w:rPr>
          <w:rFonts w:ascii="Times New Roman" w:hAnsi="Times New Roman" w:eastAsia="黑体"/>
          <w:bCs/>
          <w:sz w:val="24"/>
          <w:szCs w:val="24"/>
        </w:rPr>
        <w:t>7.10  地面工程</w:t>
      </w:r>
      <w:bookmarkEnd w:id="1261"/>
      <w:bookmarkEnd w:id="1262"/>
      <w:bookmarkEnd w:id="1263"/>
      <w:bookmarkEnd w:id="1264"/>
      <w:bookmarkEnd w:id="1265"/>
      <w:bookmarkEnd w:id="1266"/>
      <w:bookmarkEnd w:id="1267"/>
      <w:bookmarkEnd w:id="1268"/>
    </w:p>
    <w:p w14:paraId="32B16541">
      <w:pPr>
        <w:spacing w:line="400" w:lineRule="exact"/>
        <w:rPr>
          <w:color w:val="000000"/>
          <w:szCs w:val="21"/>
        </w:rPr>
      </w:pPr>
      <w:r>
        <w:rPr>
          <w:b/>
          <w:color w:val="000000"/>
          <w:szCs w:val="21"/>
        </w:rPr>
        <w:t xml:space="preserve">7.10.2  </w:t>
      </w:r>
      <w:r>
        <w:rPr>
          <w:color w:val="000000"/>
          <w:szCs w:val="21"/>
        </w:rPr>
        <w:t>跑、冒、滴、漏是要严格防止的质量通病。有防水要求的建筑地面，必须严格按照现行国家标准《建筑地面工程施工质量验收规范》GB 50209的规定和设计要求施工。建筑长城杯评审时，工程不得有渗漏现象，同时要抽查地面防水工程的隐检记录和蓄水试验记录。在蓄水试验记录中，蓄水高度、下水口封闭方法、蓄水时间应填写清楚并应符合规范要求。特别是下水口封闭方法一定要正确，要能检查到下水口四周是否有渗漏。在蓄水时将地漏周围用砂浆围挡的方法是错误的。</w:t>
      </w:r>
    </w:p>
    <w:p w14:paraId="524DD574">
      <w:pPr>
        <w:spacing w:line="400" w:lineRule="exact"/>
        <w:rPr>
          <w:color w:val="000000"/>
          <w:szCs w:val="21"/>
        </w:rPr>
      </w:pPr>
      <w:r>
        <w:rPr>
          <w:b/>
          <w:bCs/>
          <w:color w:val="000000"/>
          <w:szCs w:val="21"/>
        </w:rPr>
        <w:t xml:space="preserve">7.10.3  </w:t>
      </w:r>
      <w:r>
        <w:rPr>
          <w:color w:val="000000"/>
          <w:szCs w:val="21"/>
        </w:rPr>
        <w:t>对整体地面的强度予以要求。</w:t>
      </w:r>
    </w:p>
    <w:p w14:paraId="5EEBBD27">
      <w:pPr>
        <w:spacing w:line="400" w:lineRule="exact"/>
        <w:rPr>
          <w:color w:val="000000"/>
          <w:szCs w:val="21"/>
        </w:rPr>
      </w:pPr>
      <w:r>
        <w:rPr>
          <w:b/>
          <w:bCs/>
          <w:color w:val="000000"/>
          <w:szCs w:val="21"/>
        </w:rPr>
        <w:t xml:space="preserve">7.10.4~7.10.15  </w:t>
      </w:r>
      <w:r>
        <w:rPr>
          <w:color w:val="000000"/>
          <w:szCs w:val="21"/>
        </w:rPr>
        <w:t>对不同地面做法的质量要求。</w:t>
      </w:r>
    </w:p>
    <w:p w14:paraId="01DE6D8C">
      <w:pPr>
        <w:spacing w:line="520" w:lineRule="exact"/>
        <w:jc w:val="center"/>
        <w:rPr>
          <w:b/>
          <w:color w:val="000000"/>
          <w:szCs w:val="21"/>
        </w:rPr>
      </w:pPr>
    </w:p>
    <w:p w14:paraId="1F98A098">
      <w:pPr>
        <w:pStyle w:val="4"/>
        <w:keepNext/>
        <w:keepLines/>
        <w:autoSpaceDE/>
        <w:spacing w:before="20" w:after="20" w:line="400" w:lineRule="exact"/>
        <w:ind w:left="0" w:firstLine="0"/>
        <w:jc w:val="center"/>
        <w:rPr>
          <w:rFonts w:ascii="Times New Roman" w:hAnsi="Times New Roman" w:eastAsia="黑体"/>
          <w:bCs/>
          <w:sz w:val="24"/>
          <w:szCs w:val="24"/>
        </w:rPr>
      </w:pPr>
      <w:bookmarkStart w:id="1269" w:name="_Toc27444"/>
      <w:bookmarkStart w:id="1270" w:name="_Toc23065"/>
      <w:bookmarkStart w:id="1271" w:name="_Toc19812"/>
      <w:bookmarkStart w:id="1272" w:name="_Toc18206"/>
      <w:bookmarkStart w:id="1273" w:name="_Toc5972"/>
      <w:bookmarkStart w:id="1274" w:name="_Toc13579"/>
      <w:bookmarkStart w:id="1275" w:name="_Toc12952"/>
      <w:bookmarkStart w:id="1276" w:name="_Toc26705"/>
      <w:r>
        <w:rPr>
          <w:rFonts w:ascii="Times New Roman" w:hAnsi="Times New Roman" w:eastAsia="黑体"/>
          <w:bCs/>
          <w:sz w:val="24"/>
          <w:szCs w:val="24"/>
        </w:rPr>
        <w:t>7.11  吊顶工程</w:t>
      </w:r>
      <w:bookmarkEnd w:id="1269"/>
      <w:bookmarkEnd w:id="1270"/>
      <w:bookmarkEnd w:id="1271"/>
      <w:bookmarkEnd w:id="1272"/>
      <w:bookmarkEnd w:id="1273"/>
      <w:bookmarkEnd w:id="1274"/>
      <w:bookmarkEnd w:id="1275"/>
      <w:bookmarkEnd w:id="1276"/>
    </w:p>
    <w:p w14:paraId="3316E13A">
      <w:pPr>
        <w:spacing w:line="400" w:lineRule="exact"/>
        <w:rPr>
          <w:color w:val="000000"/>
          <w:szCs w:val="21"/>
        </w:rPr>
      </w:pPr>
      <w:r>
        <w:rPr>
          <w:b/>
          <w:color w:val="000000"/>
          <w:szCs w:val="21"/>
        </w:rPr>
        <w:t>7.11.1</w:t>
      </w:r>
      <w:r>
        <w:rPr>
          <w:color w:val="000000"/>
          <w:szCs w:val="21"/>
        </w:rPr>
        <w:t xml:space="preserve">  吊顶工程的总体质量要求和吊顶的吊杆、龙骨的质量要求。</w:t>
      </w:r>
    </w:p>
    <w:p w14:paraId="3994A3D3">
      <w:pPr>
        <w:spacing w:line="400" w:lineRule="exact"/>
        <w:rPr>
          <w:color w:val="000000"/>
          <w:szCs w:val="21"/>
        </w:rPr>
      </w:pPr>
      <w:r>
        <w:rPr>
          <w:b/>
          <w:color w:val="000000"/>
          <w:szCs w:val="21"/>
        </w:rPr>
        <w:t xml:space="preserve">7.11.2  </w:t>
      </w:r>
      <w:r>
        <w:rPr>
          <w:color w:val="000000"/>
          <w:szCs w:val="21"/>
        </w:rPr>
        <w:t>吊顶工程的饰面材料的质量要求。石膏板做饰面材料时容易出现板面因温度变化而开裂的质量通病，因此创建筑长城杯的工程在质量策划时应采取措施防止石膏板吊顶板面开裂。</w:t>
      </w:r>
    </w:p>
    <w:p w14:paraId="71DEB9FB">
      <w:pPr>
        <w:spacing w:line="520" w:lineRule="exact"/>
        <w:jc w:val="center"/>
        <w:rPr>
          <w:b/>
          <w:color w:val="000000"/>
          <w:szCs w:val="21"/>
        </w:rPr>
      </w:pPr>
    </w:p>
    <w:p w14:paraId="01FCB523">
      <w:pPr>
        <w:pStyle w:val="4"/>
        <w:keepNext/>
        <w:keepLines/>
        <w:autoSpaceDE/>
        <w:spacing w:before="20" w:after="20" w:line="400" w:lineRule="exact"/>
        <w:ind w:left="0" w:firstLine="0"/>
        <w:jc w:val="center"/>
        <w:rPr>
          <w:rFonts w:ascii="Times New Roman" w:hAnsi="Times New Roman" w:eastAsia="黑体"/>
          <w:bCs/>
          <w:sz w:val="24"/>
          <w:szCs w:val="24"/>
        </w:rPr>
      </w:pPr>
      <w:bookmarkStart w:id="1277" w:name="_Toc13222"/>
      <w:bookmarkStart w:id="1278" w:name="_Toc28610"/>
      <w:bookmarkStart w:id="1279" w:name="_Toc13777"/>
      <w:bookmarkStart w:id="1280" w:name="_Toc25692"/>
      <w:bookmarkStart w:id="1281" w:name="_Toc28604"/>
      <w:bookmarkStart w:id="1282" w:name="_Toc1008"/>
      <w:bookmarkStart w:id="1283" w:name="_Toc10116"/>
      <w:bookmarkStart w:id="1284" w:name="_Toc13124"/>
      <w:r>
        <w:rPr>
          <w:rFonts w:ascii="Times New Roman" w:hAnsi="Times New Roman" w:eastAsia="黑体"/>
          <w:bCs/>
          <w:sz w:val="24"/>
          <w:szCs w:val="24"/>
        </w:rPr>
        <w:t>7.12  轻质隔墙工程</w:t>
      </w:r>
      <w:bookmarkEnd w:id="1277"/>
      <w:bookmarkEnd w:id="1278"/>
      <w:bookmarkEnd w:id="1279"/>
      <w:bookmarkEnd w:id="1280"/>
      <w:bookmarkEnd w:id="1281"/>
      <w:bookmarkEnd w:id="1282"/>
      <w:bookmarkEnd w:id="1283"/>
      <w:bookmarkEnd w:id="1284"/>
    </w:p>
    <w:p w14:paraId="099BD5FD">
      <w:pPr>
        <w:spacing w:line="400" w:lineRule="exact"/>
        <w:rPr>
          <w:color w:val="000000"/>
          <w:szCs w:val="21"/>
        </w:rPr>
      </w:pPr>
      <w:r>
        <w:rPr>
          <w:b/>
          <w:color w:val="000000"/>
          <w:szCs w:val="21"/>
        </w:rPr>
        <w:t>7.12.1</w:t>
      </w:r>
      <w:r>
        <w:rPr>
          <w:color w:val="000000"/>
          <w:szCs w:val="21"/>
        </w:rPr>
        <w:t xml:space="preserve">  轻质隔墙总体安装质量要求。在建筑长城杯评审时主要抽查观感质量。应安装牢固、表面平整，不应有开裂现象。轻质隔墙工程最容易出现表面因温度变化而开裂的质量通病，因此创建筑长城杯的工程在质量策划时应采取措施防止墙面开裂。</w:t>
      </w:r>
    </w:p>
    <w:p w14:paraId="66AF534B">
      <w:pPr>
        <w:spacing w:line="520" w:lineRule="exact"/>
        <w:jc w:val="center"/>
        <w:rPr>
          <w:b/>
          <w:color w:val="000000"/>
          <w:szCs w:val="21"/>
        </w:rPr>
      </w:pPr>
    </w:p>
    <w:p w14:paraId="52D60F53">
      <w:pPr>
        <w:pStyle w:val="4"/>
        <w:keepNext/>
        <w:keepLines/>
        <w:autoSpaceDE/>
        <w:spacing w:before="20" w:after="20" w:line="400" w:lineRule="exact"/>
        <w:jc w:val="center"/>
        <w:rPr>
          <w:rFonts w:ascii="Times New Roman" w:hAnsi="Times New Roman" w:eastAsia="黑体"/>
          <w:bCs/>
          <w:sz w:val="24"/>
          <w:szCs w:val="24"/>
        </w:rPr>
      </w:pPr>
      <w:bookmarkStart w:id="1285" w:name="_Toc15276"/>
      <w:bookmarkStart w:id="1286" w:name="_Toc10637"/>
      <w:bookmarkStart w:id="1287" w:name="_Toc11717"/>
      <w:bookmarkStart w:id="1288" w:name="_Toc29134"/>
      <w:bookmarkStart w:id="1289" w:name="_Toc8966"/>
      <w:bookmarkStart w:id="1290" w:name="_Toc30004"/>
      <w:bookmarkStart w:id="1291" w:name="_Toc5496"/>
      <w:bookmarkStart w:id="1292" w:name="_Toc20172"/>
      <w:r>
        <w:rPr>
          <w:rFonts w:ascii="Times New Roman" w:hAnsi="Times New Roman" w:eastAsia="黑体"/>
          <w:bCs/>
          <w:sz w:val="24"/>
          <w:szCs w:val="24"/>
        </w:rPr>
        <w:t>7.13  细部工程</w:t>
      </w:r>
      <w:bookmarkEnd w:id="1285"/>
      <w:bookmarkEnd w:id="1286"/>
      <w:bookmarkEnd w:id="1287"/>
      <w:bookmarkEnd w:id="1288"/>
      <w:bookmarkEnd w:id="1289"/>
      <w:bookmarkEnd w:id="1290"/>
      <w:bookmarkEnd w:id="1291"/>
      <w:bookmarkEnd w:id="1292"/>
    </w:p>
    <w:p w14:paraId="00695D62">
      <w:pPr>
        <w:spacing w:line="400" w:lineRule="exact"/>
        <w:rPr>
          <w:b/>
          <w:color w:val="000000"/>
          <w:szCs w:val="21"/>
        </w:rPr>
      </w:pPr>
      <w:r>
        <w:rPr>
          <w:b/>
          <w:bCs/>
          <w:color w:val="000000"/>
          <w:szCs w:val="21"/>
        </w:rPr>
        <w:t xml:space="preserve">7.13.1  </w:t>
      </w:r>
      <w:r>
        <w:rPr>
          <w:color w:val="000000"/>
          <w:szCs w:val="21"/>
        </w:rPr>
        <w:t>对橱柜、窗帘盒、窗台板、散热器罩、门窗套制作与安装所用材料的要求。</w:t>
      </w:r>
    </w:p>
    <w:p w14:paraId="4388D42B">
      <w:pPr>
        <w:spacing w:line="400" w:lineRule="exact"/>
        <w:rPr>
          <w:b/>
          <w:color w:val="000000"/>
          <w:szCs w:val="21"/>
        </w:rPr>
      </w:pPr>
      <w:r>
        <w:rPr>
          <w:b/>
          <w:color w:val="000000"/>
          <w:szCs w:val="21"/>
        </w:rPr>
        <w:t xml:space="preserve">7.13.3 </w:t>
      </w:r>
      <w:r>
        <w:rPr>
          <w:color w:val="000000"/>
          <w:szCs w:val="21"/>
        </w:rPr>
        <w:t xml:space="preserve"> 对栏杆高度的要求。建筑长城杯评审时，建筑物栏杆高度是必查项目</w:t>
      </w:r>
      <w:r>
        <w:rPr>
          <w:rFonts w:hint="eastAsia"/>
          <w:color w:val="000000"/>
          <w:szCs w:val="21"/>
        </w:rPr>
        <w:t>，室外及屋面防护栏杆应延长度方向每15</w:t>
      </w:r>
      <w:r>
        <w:rPr>
          <w:color w:val="000000"/>
          <w:szCs w:val="21"/>
        </w:rPr>
        <w:t xml:space="preserve"> m</w:t>
      </w:r>
      <w:r>
        <w:rPr>
          <w:rFonts w:hint="eastAsia" w:ascii="宋体" w:hAnsi="宋体"/>
          <w:color w:val="000000"/>
          <w:szCs w:val="21"/>
        </w:rPr>
        <w:t>～</w:t>
      </w:r>
      <w:r>
        <w:rPr>
          <w:rFonts w:hint="eastAsia"/>
          <w:color w:val="000000"/>
          <w:szCs w:val="21"/>
        </w:rPr>
        <w:t>20</w:t>
      </w:r>
      <w:r>
        <w:rPr>
          <w:color w:val="000000"/>
          <w:szCs w:val="21"/>
        </w:rPr>
        <w:t xml:space="preserve"> </w:t>
      </w:r>
      <w:r>
        <w:rPr>
          <w:rFonts w:hint="eastAsia"/>
          <w:color w:val="000000"/>
          <w:szCs w:val="21"/>
        </w:rPr>
        <w:t>m，需做变形构造将扶手断开设置两侧加支撑立柱，兼做防雷设施时应做跨接处理。</w:t>
      </w:r>
    </w:p>
    <w:p w14:paraId="24696535">
      <w:pPr>
        <w:spacing w:line="400" w:lineRule="exact"/>
        <w:rPr>
          <w:b/>
          <w:color w:val="000000"/>
          <w:szCs w:val="21"/>
        </w:rPr>
      </w:pPr>
      <w:r>
        <w:rPr>
          <w:b/>
          <w:color w:val="000000"/>
          <w:szCs w:val="21"/>
        </w:rPr>
        <w:t xml:space="preserve">7.13.4  </w:t>
      </w:r>
      <w:r>
        <w:rPr>
          <w:color w:val="000000"/>
          <w:szCs w:val="21"/>
        </w:rPr>
        <w:t>有可能有少年儿童的场所，不仅栏杆高度应符合设计和规范规定，栏杆的制作型式应注意不得有横杆，防止少年儿童攀登；立杆杆件净距不得大于0.11 m，防止幼儿钻出栏杆发生危险。</w:t>
      </w:r>
    </w:p>
    <w:p w14:paraId="4050F7A0">
      <w:pPr>
        <w:spacing w:line="400" w:lineRule="exact"/>
        <w:rPr>
          <w:b/>
          <w:color w:val="000000"/>
          <w:szCs w:val="21"/>
        </w:rPr>
      </w:pPr>
      <w:r>
        <w:rPr>
          <w:b/>
          <w:color w:val="000000"/>
          <w:szCs w:val="21"/>
        </w:rPr>
        <w:t>7.13.6</w:t>
      </w:r>
      <w:r>
        <w:rPr>
          <w:color w:val="000000"/>
          <w:szCs w:val="21"/>
        </w:rPr>
        <w:t xml:space="preserve">  室内隔断和栏板使用的安全玻璃的种类、厚度和最大使用面积，应符合</w:t>
      </w:r>
      <w:r>
        <w:rPr>
          <w:rFonts w:hint="eastAsia"/>
          <w:color w:val="000000"/>
          <w:szCs w:val="21"/>
        </w:rPr>
        <w:t>下列</w:t>
      </w:r>
      <w:r>
        <w:rPr>
          <w:color w:val="000000"/>
          <w:szCs w:val="21"/>
        </w:rPr>
        <w:t>规定：</w:t>
      </w:r>
    </w:p>
    <w:p w14:paraId="5E8A7D0D">
      <w:pPr>
        <w:spacing w:line="400" w:lineRule="exact"/>
        <w:ind w:firstLine="422" w:firstLineChars="200"/>
        <w:rPr>
          <w:color w:val="000000"/>
          <w:szCs w:val="21"/>
        </w:rPr>
      </w:pPr>
      <w:r>
        <w:rPr>
          <w:b/>
          <w:color w:val="000000"/>
          <w:szCs w:val="21"/>
        </w:rPr>
        <w:t>1</w:t>
      </w:r>
      <w:r>
        <w:rPr>
          <w:color w:val="000000"/>
          <w:szCs w:val="21"/>
        </w:rPr>
        <w:t xml:space="preserve"> 室内隔断有框玻璃应使用公称厚度不小于5 mm的钢化玻璃或公称厚度不小于6.38 mm的平胶玻璃，无框玻璃应使用厚度不小于10 mm的钢化玻璃；</w:t>
      </w:r>
    </w:p>
    <w:p w14:paraId="0A3425B2">
      <w:pPr>
        <w:spacing w:line="400" w:lineRule="exact"/>
        <w:ind w:firstLine="422" w:firstLineChars="200"/>
        <w:rPr>
          <w:color w:val="000000"/>
          <w:szCs w:val="21"/>
        </w:rPr>
      </w:pPr>
      <w:r>
        <w:rPr>
          <w:b/>
          <w:color w:val="000000"/>
          <w:szCs w:val="21"/>
        </w:rPr>
        <w:t>2</w:t>
      </w:r>
      <w:r>
        <w:rPr>
          <w:color w:val="000000"/>
          <w:szCs w:val="21"/>
        </w:rPr>
        <w:t xml:space="preserve"> 不承受水平荷载的栏板玻璃应符合相关规范规定，应使用公称厚度不小于5 mm的钢化玻璃或公称厚度不小于6.38 mm的夹层玻璃；  </w:t>
      </w:r>
    </w:p>
    <w:p w14:paraId="5B6D9ACC">
      <w:pPr>
        <w:spacing w:line="400" w:lineRule="exact"/>
        <w:ind w:firstLine="422" w:firstLineChars="200"/>
        <w:rPr>
          <w:color w:val="000000"/>
          <w:szCs w:val="21"/>
        </w:rPr>
      </w:pPr>
      <w:r>
        <w:rPr>
          <w:b/>
          <w:color w:val="000000"/>
          <w:szCs w:val="21"/>
        </w:rPr>
        <w:t>3</w:t>
      </w:r>
      <w:r>
        <w:rPr>
          <w:color w:val="000000"/>
          <w:szCs w:val="21"/>
        </w:rPr>
        <w:t xml:space="preserve"> 承受水平荷载的栏板玻璃应符合相关规范规定，宜使用公称厚度不小于12 mm的钢化玻璃或公称厚度不小于16.7 mm的钢化夹层玻璃。 </w:t>
      </w:r>
    </w:p>
    <w:p w14:paraId="2E5C9613">
      <w:pPr>
        <w:spacing w:line="400" w:lineRule="exact"/>
        <w:rPr>
          <w:color w:val="000000"/>
          <w:szCs w:val="21"/>
        </w:rPr>
      </w:pPr>
      <w:r>
        <w:rPr>
          <w:b/>
          <w:color w:val="000000"/>
          <w:szCs w:val="21"/>
        </w:rPr>
        <w:t xml:space="preserve">7.13.8  </w:t>
      </w:r>
      <w:r>
        <w:rPr>
          <w:color w:val="000000"/>
          <w:szCs w:val="21"/>
        </w:rPr>
        <w:t>栏杆的安装必须牢固可靠，防止出现因栏杆安装不牢造成人员伤亡的安全事故。应有安装节点的隐检记录。</w:t>
      </w:r>
    </w:p>
    <w:p w14:paraId="692C2B1B">
      <w:pPr>
        <w:spacing w:line="400" w:lineRule="exact"/>
        <w:rPr>
          <w:color w:val="000000"/>
          <w:szCs w:val="21"/>
        </w:rPr>
      </w:pPr>
      <w:r>
        <w:rPr>
          <w:b/>
          <w:bCs/>
          <w:color w:val="000000"/>
          <w:szCs w:val="21"/>
        </w:rPr>
        <w:t>7.1</w:t>
      </w:r>
      <w:r>
        <w:rPr>
          <w:rFonts w:hint="eastAsia"/>
          <w:b/>
          <w:bCs/>
          <w:color w:val="000000"/>
          <w:szCs w:val="21"/>
        </w:rPr>
        <w:t>3</w:t>
      </w:r>
      <w:r>
        <w:rPr>
          <w:b/>
          <w:bCs/>
          <w:color w:val="000000"/>
          <w:szCs w:val="21"/>
        </w:rPr>
        <w:t xml:space="preserve">.11  </w:t>
      </w:r>
      <w:r>
        <w:rPr>
          <w:color w:val="000000"/>
          <w:szCs w:val="21"/>
        </w:rPr>
        <w:t>上屋面处、电缆夹层、污水池壁、混凝土消防水池、狭小空间直梯，应考虑存在安全隐患，因此该部位的后置埋件应做拉拔试验。</w:t>
      </w:r>
    </w:p>
    <w:p w14:paraId="38BCE4FB">
      <w:pPr>
        <w:pStyle w:val="2"/>
        <w:ind w:left="134" w:firstLine="283"/>
      </w:pPr>
    </w:p>
    <w:p w14:paraId="21DDF722">
      <w:pPr>
        <w:pStyle w:val="4"/>
        <w:keepNext/>
        <w:keepLines/>
        <w:autoSpaceDE/>
        <w:spacing w:before="20" w:after="20" w:line="400" w:lineRule="exact"/>
        <w:jc w:val="center"/>
        <w:rPr>
          <w:rFonts w:ascii="Times New Roman" w:hAnsi="Times New Roman" w:eastAsia="黑体"/>
          <w:bCs/>
          <w:sz w:val="24"/>
          <w:szCs w:val="24"/>
        </w:rPr>
      </w:pPr>
      <w:bookmarkStart w:id="1293" w:name="_Toc27004"/>
      <w:bookmarkStart w:id="1294" w:name="_Toc26333"/>
      <w:bookmarkStart w:id="1295" w:name="_Toc1356"/>
      <w:bookmarkStart w:id="1296" w:name="_Toc15243"/>
      <w:bookmarkStart w:id="1297" w:name="_Toc12710"/>
      <w:bookmarkStart w:id="1298" w:name="_Toc2418"/>
      <w:bookmarkStart w:id="1299" w:name="_Toc24770"/>
      <w:bookmarkStart w:id="1300" w:name="_Toc22337"/>
      <w:r>
        <w:rPr>
          <w:rFonts w:ascii="Times New Roman" w:hAnsi="Times New Roman" w:eastAsia="黑体"/>
          <w:b/>
          <w:sz w:val="24"/>
          <w:szCs w:val="24"/>
        </w:rPr>
        <w:t>7.1</w:t>
      </w:r>
      <w:r>
        <w:rPr>
          <w:rFonts w:hint="eastAsia" w:ascii="Times New Roman" w:hAnsi="Times New Roman" w:eastAsia="黑体"/>
          <w:b/>
          <w:sz w:val="24"/>
          <w:szCs w:val="24"/>
          <w:lang w:val="en-US"/>
        </w:rPr>
        <w:t>4</w:t>
      </w:r>
      <w:r>
        <w:rPr>
          <w:rFonts w:ascii="Times New Roman" w:hAnsi="Times New Roman" w:eastAsia="黑体"/>
          <w:bCs/>
          <w:sz w:val="24"/>
          <w:szCs w:val="24"/>
        </w:rPr>
        <w:t xml:space="preserve">  无障碍设施</w:t>
      </w:r>
      <w:bookmarkEnd w:id="1293"/>
      <w:bookmarkEnd w:id="1294"/>
      <w:bookmarkEnd w:id="1295"/>
      <w:bookmarkEnd w:id="1296"/>
      <w:bookmarkEnd w:id="1297"/>
      <w:bookmarkEnd w:id="1298"/>
      <w:bookmarkEnd w:id="1299"/>
      <w:bookmarkEnd w:id="1300"/>
    </w:p>
    <w:p w14:paraId="7BEC16C9">
      <w:pPr>
        <w:spacing w:line="400" w:lineRule="exact"/>
        <w:rPr>
          <w:color w:val="000000"/>
          <w:szCs w:val="21"/>
        </w:rPr>
      </w:pPr>
      <w:r>
        <w:rPr>
          <w:b/>
          <w:color w:val="000000"/>
          <w:szCs w:val="21"/>
        </w:rPr>
        <w:t>7.1</w:t>
      </w:r>
      <w:r>
        <w:rPr>
          <w:rFonts w:hint="eastAsia"/>
          <w:b/>
          <w:color w:val="000000"/>
          <w:szCs w:val="21"/>
        </w:rPr>
        <w:t>4</w:t>
      </w:r>
      <w:r>
        <w:rPr>
          <w:b/>
          <w:color w:val="000000"/>
          <w:szCs w:val="21"/>
        </w:rPr>
        <w:t xml:space="preserve">.1  </w:t>
      </w:r>
      <w:r>
        <w:rPr>
          <w:color w:val="000000"/>
          <w:szCs w:val="21"/>
        </w:rPr>
        <w:t>建筑工程无障碍设施应按设计要求施工。</w:t>
      </w:r>
    </w:p>
    <w:p w14:paraId="77EC4BAC">
      <w:pPr>
        <w:pStyle w:val="2"/>
        <w:ind w:left="134" w:firstLine="283"/>
      </w:pPr>
    </w:p>
    <w:p w14:paraId="49CD5BAA">
      <w:pPr>
        <w:pStyle w:val="4"/>
        <w:keepNext/>
        <w:keepLines/>
        <w:autoSpaceDE/>
        <w:spacing w:before="20" w:after="20" w:line="400" w:lineRule="exact"/>
        <w:jc w:val="center"/>
        <w:rPr>
          <w:rFonts w:ascii="Times New Roman" w:hAnsi="Times New Roman" w:eastAsia="黑体"/>
          <w:bCs/>
          <w:sz w:val="24"/>
          <w:szCs w:val="24"/>
          <w:lang w:val="en-US"/>
        </w:rPr>
      </w:pPr>
      <w:bookmarkStart w:id="1301" w:name="_Toc16440"/>
      <w:r>
        <w:rPr>
          <w:rFonts w:hint="eastAsia" w:ascii="Times New Roman" w:hAnsi="Times New Roman" w:eastAsia="黑体"/>
          <w:b/>
          <w:sz w:val="24"/>
          <w:szCs w:val="24"/>
          <w:lang w:val="en-US"/>
        </w:rPr>
        <w:t>7.15</w:t>
      </w:r>
      <w:r>
        <w:rPr>
          <w:rFonts w:hint="eastAsia" w:ascii="Times New Roman" w:hAnsi="Times New Roman" w:eastAsia="黑体"/>
          <w:bCs/>
          <w:sz w:val="24"/>
          <w:szCs w:val="24"/>
          <w:lang w:val="en-US"/>
        </w:rPr>
        <w:t xml:space="preserve">  建筑防火</w:t>
      </w:r>
      <w:bookmarkEnd w:id="1301"/>
    </w:p>
    <w:p w14:paraId="2AE25F57">
      <w:pPr>
        <w:spacing w:line="400" w:lineRule="exact"/>
        <w:rPr>
          <w:color w:val="000000"/>
          <w:szCs w:val="21"/>
        </w:rPr>
      </w:pPr>
      <w:bookmarkStart w:id="1302" w:name="_Toc6743"/>
      <w:bookmarkStart w:id="1303" w:name="_Toc12057"/>
      <w:bookmarkStart w:id="1304" w:name="_Toc29002"/>
      <w:bookmarkStart w:id="1305" w:name="_Toc24217"/>
      <w:bookmarkStart w:id="1306" w:name="_Toc11724"/>
      <w:bookmarkStart w:id="1307" w:name="_Toc8107"/>
      <w:bookmarkStart w:id="1308" w:name="_Toc13351"/>
      <w:r>
        <w:rPr>
          <w:rFonts w:hint="eastAsia"/>
          <w:b/>
          <w:bCs/>
          <w:color w:val="000000"/>
          <w:szCs w:val="21"/>
        </w:rPr>
        <w:t>7.15.1-7.15.3</w:t>
      </w:r>
      <w:r>
        <w:rPr>
          <w:rFonts w:hint="eastAsia"/>
          <w:color w:val="000000"/>
          <w:szCs w:val="21"/>
        </w:rPr>
        <w:t xml:space="preserve">  建筑的设置满足在建筑发生火灾时人员安全疏散的要求，建筑内部和外部的防火分隔应能在设定时间内阻止火灾蔓延至相邻建筑或建筑内的其他防火分隔区域。建筑安全出口、疏散通道、疏散门以及建筑防火分隔等的设置应满足相关防火设计规范。</w:t>
      </w:r>
    </w:p>
    <w:p w14:paraId="7DF4EF12">
      <w:pPr>
        <w:spacing w:line="400" w:lineRule="exact"/>
        <w:rPr>
          <w:color w:val="000000"/>
          <w:szCs w:val="21"/>
        </w:rPr>
      </w:pPr>
      <w:r>
        <w:rPr>
          <w:rFonts w:hint="eastAsia"/>
          <w:b/>
          <w:bCs/>
          <w:color w:val="000000"/>
          <w:szCs w:val="21"/>
        </w:rPr>
        <w:t xml:space="preserve">7.15.4 </w:t>
      </w:r>
      <w:r>
        <w:rPr>
          <w:rFonts w:hint="eastAsia"/>
          <w:color w:val="000000"/>
          <w:szCs w:val="21"/>
        </w:rPr>
        <w:t>火灾时的最小清晰高度是为了保证室内人员安全疏散和方便消防人员的扑救而提出的最低要求，也是排烟系统设计时必须达到的最低要求。</w:t>
      </w:r>
      <w:r>
        <w:rPr>
          <w:color w:val="000000"/>
          <w:szCs w:val="21"/>
        </w:rPr>
        <w:t>走道、室内空间净高不大于3 m的区域，其最小清晰高度不宜小于其净高的1/2，其他区域的最小清晰高度应按下式计算：</w:t>
      </w:r>
    </w:p>
    <w:p w14:paraId="52305AA9">
      <w:pPr>
        <w:spacing w:line="400" w:lineRule="exact"/>
        <w:ind w:firstLine="420" w:firstLineChars="200"/>
        <w:rPr>
          <w:color w:val="000000"/>
          <w:szCs w:val="21"/>
        </w:rPr>
      </w:pPr>
      <w:r>
        <w:rPr>
          <w:color w:val="000000"/>
          <w:szCs w:val="21"/>
        </w:rPr>
        <w:t xml:space="preserve">Hq =1.6 +0.1·H ′            </w:t>
      </w:r>
    </w:p>
    <w:p w14:paraId="74036263">
      <w:pPr>
        <w:spacing w:line="400" w:lineRule="exact"/>
        <w:ind w:firstLine="420" w:firstLineChars="200"/>
        <w:rPr>
          <w:color w:val="000000"/>
          <w:szCs w:val="21"/>
        </w:rPr>
      </w:pPr>
      <w:r>
        <w:rPr>
          <w:color w:val="000000"/>
          <w:szCs w:val="21"/>
        </w:rPr>
        <w:t>式中：Hq——最小清晰高度（m）；</w:t>
      </w:r>
    </w:p>
    <w:p w14:paraId="08814204">
      <w:pPr>
        <w:spacing w:line="400" w:lineRule="exact"/>
        <w:ind w:firstLine="420" w:firstLineChars="200"/>
        <w:rPr>
          <w:color w:val="000000"/>
          <w:szCs w:val="21"/>
        </w:rPr>
      </w:pPr>
      <w:r>
        <w:rPr>
          <w:color w:val="000000"/>
          <w:szCs w:val="21"/>
        </w:rPr>
        <w:t xml:space="preserve">      H′——对于单层空间，取排烟空间的建筑净高度（m）；对于多层空间，取最高疏散楼层的层高（m）</w:t>
      </w:r>
    </w:p>
    <w:p w14:paraId="7F8C8A0D">
      <w:pPr>
        <w:pStyle w:val="2"/>
        <w:ind w:left="134" w:firstLine="283"/>
      </w:pPr>
    </w:p>
    <w:p w14:paraId="53764D53">
      <w:pPr>
        <w:pStyle w:val="4"/>
        <w:keepNext/>
        <w:keepLines/>
        <w:autoSpaceDE/>
        <w:spacing w:before="20" w:after="20" w:line="400" w:lineRule="exact"/>
        <w:jc w:val="center"/>
        <w:rPr>
          <w:rFonts w:ascii="Times New Roman" w:hAnsi="Times New Roman" w:eastAsia="黑体"/>
          <w:bCs/>
          <w:sz w:val="24"/>
          <w:szCs w:val="24"/>
          <w:lang w:val="en-US"/>
        </w:rPr>
      </w:pPr>
      <w:bookmarkStart w:id="1309" w:name="_Toc149"/>
      <w:r>
        <w:rPr>
          <w:rFonts w:ascii="Times New Roman" w:hAnsi="Times New Roman" w:eastAsia="黑体"/>
          <w:b/>
          <w:sz w:val="24"/>
          <w:szCs w:val="24"/>
        </w:rPr>
        <w:t>7.1</w:t>
      </w:r>
      <w:r>
        <w:rPr>
          <w:rFonts w:hint="eastAsia" w:ascii="Times New Roman" w:hAnsi="Times New Roman" w:eastAsia="黑体"/>
          <w:b/>
          <w:sz w:val="24"/>
          <w:szCs w:val="24"/>
          <w:lang w:val="en-US"/>
        </w:rPr>
        <w:t>6</w:t>
      </w:r>
      <w:r>
        <w:rPr>
          <w:rFonts w:ascii="Times New Roman" w:hAnsi="Times New Roman" w:eastAsia="黑体"/>
          <w:bCs/>
          <w:sz w:val="24"/>
          <w:szCs w:val="24"/>
          <w:lang w:val="en-US"/>
        </w:rPr>
        <w:t xml:space="preserve">  </w:t>
      </w:r>
      <w:r>
        <w:rPr>
          <w:rFonts w:ascii="Times New Roman" w:hAnsi="Times New Roman" w:eastAsia="黑体"/>
          <w:bCs/>
          <w:sz w:val="24"/>
          <w:szCs w:val="24"/>
        </w:rPr>
        <w:t>装配式装修</w:t>
      </w:r>
      <w:r>
        <w:rPr>
          <w:rFonts w:ascii="Times New Roman" w:hAnsi="Times New Roman" w:eastAsia="黑体"/>
          <w:bCs/>
          <w:sz w:val="24"/>
          <w:szCs w:val="24"/>
          <w:lang w:val="en-US"/>
        </w:rPr>
        <w:t>工程</w:t>
      </w:r>
      <w:bookmarkEnd w:id="1302"/>
      <w:bookmarkEnd w:id="1303"/>
      <w:bookmarkEnd w:id="1304"/>
      <w:bookmarkEnd w:id="1305"/>
      <w:bookmarkEnd w:id="1306"/>
      <w:bookmarkEnd w:id="1307"/>
      <w:bookmarkEnd w:id="1308"/>
      <w:bookmarkEnd w:id="1309"/>
    </w:p>
    <w:p w14:paraId="4C5CD8F2">
      <w:pPr>
        <w:spacing w:line="400" w:lineRule="exact"/>
        <w:rPr>
          <w:color w:val="000000"/>
          <w:szCs w:val="21"/>
        </w:rPr>
      </w:pPr>
      <w:r>
        <w:rPr>
          <w:b/>
          <w:bCs/>
          <w:color w:val="000000"/>
          <w:szCs w:val="21"/>
        </w:rPr>
        <w:t>7.1</w:t>
      </w:r>
      <w:r>
        <w:rPr>
          <w:rFonts w:hint="eastAsia"/>
          <w:b/>
          <w:bCs/>
          <w:color w:val="000000"/>
          <w:szCs w:val="21"/>
        </w:rPr>
        <w:t>6</w:t>
      </w:r>
      <w:r>
        <w:rPr>
          <w:b/>
          <w:bCs/>
          <w:color w:val="000000"/>
          <w:szCs w:val="21"/>
        </w:rPr>
        <w:t xml:space="preserve">.1  </w:t>
      </w:r>
      <w:r>
        <w:rPr>
          <w:color w:val="000000"/>
          <w:szCs w:val="21"/>
        </w:rPr>
        <w:t>装配式装修一般规定，遵循管线与结构分离的原则，运用集成化设计方法，统筹隔墙和墙面系统、吊顶系统、楼地面系统、厨房系统、卫生间系统、收纳系统、内门窗系统、设备和管线系统等，将工厂化生产的部品部件以干式工法为主进行施工安装的装修建造模品进场时应有产品合格证书、使用说明书及性能检测报告等质量证明。</w:t>
      </w:r>
    </w:p>
    <w:p w14:paraId="514A3927">
      <w:pPr>
        <w:spacing w:line="400" w:lineRule="exact"/>
        <w:rPr>
          <w:color w:val="000000"/>
          <w:szCs w:val="21"/>
        </w:rPr>
      </w:pPr>
      <w:r>
        <w:rPr>
          <w:b/>
          <w:bCs/>
          <w:color w:val="000000"/>
          <w:szCs w:val="21"/>
        </w:rPr>
        <w:t>7.1</w:t>
      </w:r>
      <w:r>
        <w:rPr>
          <w:rFonts w:hint="eastAsia"/>
          <w:b/>
          <w:bCs/>
          <w:color w:val="000000"/>
          <w:szCs w:val="21"/>
        </w:rPr>
        <w:t>6</w:t>
      </w:r>
      <w:r>
        <w:rPr>
          <w:b/>
          <w:bCs/>
          <w:color w:val="000000"/>
          <w:szCs w:val="21"/>
        </w:rPr>
        <w:t>.2</w:t>
      </w:r>
      <w:r>
        <w:rPr>
          <w:color w:val="000000"/>
          <w:szCs w:val="21"/>
        </w:rPr>
        <w:t xml:space="preserve">  装配式龙骨隔墙的天地龙骨应与基层构造连接牢固，并应平整、垂直、位置正确。</w:t>
      </w:r>
    </w:p>
    <w:p w14:paraId="4AFB1B1A">
      <w:pPr>
        <w:spacing w:line="400" w:lineRule="exact"/>
        <w:rPr>
          <w:color w:val="000000"/>
          <w:szCs w:val="21"/>
        </w:rPr>
      </w:pPr>
      <w:r>
        <w:rPr>
          <w:b/>
          <w:bCs/>
          <w:color w:val="000000"/>
          <w:szCs w:val="21"/>
        </w:rPr>
        <w:t>7.1</w:t>
      </w:r>
      <w:r>
        <w:rPr>
          <w:rFonts w:hint="eastAsia"/>
          <w:b/>
          <w:bCs/>
          <w:color w:val="000000"/>
          <w:szCs w:val="21"/>
        </w:rPr>
        <w:t>6</w:t>
      </w:r>
      <w:r>
        <w:rPr>
          <w:b/>
          <w:bCs/>
          <w:color w:val="000000"/>
          <w:szCs w:val="21"/>
        </w:rPr>
        <w:t xml:space="preserve">.3  </w:t>
      </w:r>
      <w:r>
        <w:rPr>
          <w:color w:val="000000"/>
          <w:szCs w:val="21"/>
        </w:rPr>
        <w:t>装配式吊顶板与墙或梁交接处，应设伸缩缝隙或收口线脚。所用饰面板的材质、品种、图案颜色、机械性能、燃烧性能等应符合设计要求及国家现行有关标准的规定。</w:t>
      </w:r>
    </w:p>
    <w:p w14:paraId="4EA563B5">
      <w:pPr>
        <w:spacing w:line="400" w:lineRule="exact"/>
        <w:rPr>
          <w:color w:val="000000"/>
          <w:szCs w:val="21"/>
        </w:rPr>
      </w:pPr>
      <w:r>
        <w:rPr>
          <w:b/>
          <w:bCs/>
          <w:color w:val="000000"/>
          <w:szCs w:val="21"/>
        </w:rPr>
        <w:t>7.1</w:t>
      </w:r>
      <w:r>
        <w:rPr>
          <w:rFonts w:hint="eastAsia"/>
          <w:b/>
          <w:bCs/>
          <w:color w:val="000000"/>
          <w:szCs w:val="21"/>
        </w:rPr>
        <w:t>6</w:t>
      </w:r>
      <w:r>
        <w:rPr>
          <w:b/>
          <w:bCs/>
          <w:color w:val="000000"/>
          <w:szCs w:val="21"/>
        </w:rPr>
        <w:t xml:space="preserve">.4  </w:t>
      </w:r>
      <w:r>
        <w:rPr>
          <w:color w:val="000000"/>
          <w:szCs w:val="21"/>
        </w:rPr>
        <w:t>装配式架空地面满足各项基本功能需求，放置重物的部位应采取加强措施。</w:t>
      </w:r>
    </w:p>
    <w:p w14:paraId="78607395">
      <w:pPr>
        <w:spacing w:line="400" w:lineRule="exact"/>
        <w:rPr>
          <w:color w:val="000000"/>
          <w:szCs w:val="21"/>
        </w:rPr>
      </w:pPr>
      <w:r>
        <w:rPr>
          <w:b/>
          <w:bCs/>
          <w:color w:val="000000"/>
          <w:szCs w:val="21"/>
        </w:rPr>
        <w:t>7.1</w:t>
      </w:r>
      <w:r>
        <w:rPr>
          <w:rFonts w:hint="eastAsia"/>
          <w:b/>
          <w:bCs/>
          <w:color w:val="000000"/>
          <w:szCs w:val="21"/>
        </w:rPr>
        <w:t>6</w:t>
      </w:r>
      <w:r>
        <w:rPr>
          <w:b/>
          <w:bCs/>
          <w:color w:val="000000"/>
          <w:szCs w:val="21"/>
        </w:rPr>
        <w:t xml:space="preserve">.5  </w:t>
      </w:r>
      <w:r>
        <w:rPr>
          <w:color w:val="000000"/>
          <w:szCs w:val="21"/>
        </w:rPr>
        <w:t>非架空干铺楼地面的基层应平整，当采用地面辐射供暖、供冷系统复合脆性面材地面时，应保证绝热层的强度。</w:t>
      </w:r>
    </w:p>
    <w:p w14:paraId="45991B69">
      <w:pPr>
        <w:spacing w:line="400" w:lineRule="exact"/>
        <w:rPr>
          <w:color w:val="000000"/>
          <w:szCs w:val="21"/>
        </w:rPr>
      </w:pPr>
      <w:r>
        <w:rPr>
          <w:b/>
          <w:bCs/>
          <w:color w:val="000000"/>
          <w:szCs w:val="21"/>
        </w:rPr>
        <w:t>7.1</w:t>
      </w:r>
      <w:r>
        <w:rPr>
          <w:rFonts w:hint="eastAsia"/>
          <w:b/>
          <w:bCs/>
          <w:color w:val="000000"/>
          <w:szCs w:val="21"/>
        </w:rPr>
        <w:t>6</w:t>
      </w:r>
      <w:r>
        <w:rPr>
          <w:b/>
          <w:bCs/>
          <w:color w:val="000000"/>
          <w:szCs w:val="21"/>
        </w:rPr>
        <w:t xml:space="preserve">.6  </w:t>
      </w:r>
      <w:r>
        <w:rPr>
          <w:color w:val="000000"/>
          <w:szCs w:val="21"/>
        </w:rPr>
        <w:t>集成式厨房的给水排水、燃气、排烟、电气等预留接口、检修口或检修门、孔洞的数量、位置、尺寸应符合设计要求。</w:t>
      </w:r>
    </w:p>
    <w:p w14:paraId="7D37FA30">
      <w:pPr>
        <w:spacing w:line="400" w:lineRule="exact"/>
        <w:rPr>
          <w:color w:val="000000"/>
          <w:szCs w:val="21"/>
        </w:rPr>
      </w:pPr>
      <w:r>
        <w:rPr>
          <w:color w:val="000000"/>
          <w:szCs w:val="21"/>
        </w:rPr>
        <w:t>集成式厨房安装的允许偏差、检验方法应符合现行行业标准《住宅室内装饰装修工程质量验收规范》JGJ/T 304的相关规定。</w:t>
      </w:r>
    </w:p>
    <w:p w14:paraId="1C83088F">
      <w:pPr>
        <w:spacing w:line="400" w:lineRule="exact"/>
        <w:rPr>
          <w:color w:val="000000"/>
          <w:szCs w:val="21"/>
        </w:rPr>
      </w:pPr>
      <w:r>
        <w:rPr>
          <w:b/>
          <w:bCs/>
          <w:color w:val="000000"/>
          <w:szCs w:val="21"/>
        </w:rPr>
        <w:t>7.1</w:t>
      </w:r>
      <w:r>
        <w:rPr>
          <w:rFonts w:hint="eastAsia"/>
          <w:b/>
          <w:bCs/>
          <w:color w:val="000000"/>
          <w:szCs w:val="21"/>
        </w:rPr>
        <w:t>6</w:t>
      </w:r>
      <w:r>
        <w:rPr>
          <w:b/>
          <w:bCs/>
          <w:color w:val="000000"/>
          <w:szCs w:val="21"/>
        </w:rPr>
        <w:t xml:space="preserve">.7  </w:t>
      </w:r>
      <w:r>
        <w:rPr>
          <w:color w:val="000000"/>
          <w:szCs w:val="21"/>
        </w:rPr>
        <w:t>集成式卫生间板块面层的排列应合理、美观，部品部件、设备安装的允许偏差和检验方法应符合表7.1</w:t>
      </w:r>
      <w:r>
        <w:rPr>
          <w:rFonts w:hint="eastAsia"/>
          <w:color w:val="000000"/>
          <w:szCs w:val="21"/>
        </w:rPr>
        <w:t>6</w:t>
      </w:r>
      <w:r>
        <w:rPr>
          <w:color w:val="000000"/>
          <w:szCs w:val="21"/>
        </w:rPr>
        <w:t>.7的规定。</w:t>
      </w:r>
    </w:p>
    <w:p w14:paraId="2ED54FDB">
      <w:pPr>
        <w:spacing w:line="400" w:lineRule="exact"/>
        <w:jc w:val="center"/>
        <w:rPr>
          <w:color w:val="000000"/>
          <w:szCs w:val="21"/>
        </w:rPr>
      </w:pPr>
    </w:p>
    <w:p w14:paraId="7CE4DCA9">
      <w:pPr>
        <w:spacing w:line="400" w:lineRule="exact"/>
        <w:jc w:val="center"/>
        <w:rPr>
          <w:color w:val="000000"/>
          <w:szCs w:val="21"/>
        </w:rPr>
      </w:pPr>
      <w:r>
        <w:rPr>
          <w:color w:val="000000"/>
          <w:szCs w:val="21"/>
        </w:rPr>
        <w:t>表</w:t>
      </w:r>
      <w:r>
        <w:rPr>
          <w:b/>
          <w:bCs/>
          <w:color w:val="000000"/>
          <w:szCs w:val="21"/>
        </w:rPr>
        <w:t>7.1</w:t>
      </w:r>
      <w:r>
        <w:rPr>
          <w:rFonts w:hint="eastAsia"/>
          <w:b/>
          <w:bCs/>
          <w:color w:val="000000"/>
          <w:szCs w:val="21"/>
        </w:rPr>
        <w:t>6</w:t>
      </w:r>
      <w:r>
        <w:rPr>
          <w:b/>
          <w:bCs/>
          <w:color w:val="000000"/>
          <w:szCs w:val="21"/>
        </w:rPr>
        <w:t xml:space="preserve">.7   </w:t>
      </w:r>
      <w:r>
        <w:rPr>
          <w:color w:val="000000"/>
          <w:szCs w:val="21"/>
        </w:rPr>
        <w:t>集成式卫生间安装允许偏差和检验方法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1051"/>
        <w:gridCol w:w="1115"/>
        <w:gridCol w:w="1086"/>
        <w:gridCol w:w="3231"/>
      </w:tblGrid>
      <w:tr w14:paraId="6520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035" w:type="dxa"/>
            <w:vMerge w:val="restart"/>
            <w:vAlign w:val="center"/>
          </w:tcPr>
          <w:p w14:paraId="573EBC66">
            <w:pPr>
              <w:spacing w:line="400" w:lineRule="exact"/>
              <w:jc w:val="center"/>
              <w:rPr>
                <w:color w:val="000000"/>
                <w:szCs w:val="21"/>
              </w:rPr>
            </w:pPr>
            <w:r>
              <w:rPr>
                <w:color w:val="000000"/>
                <w:szCs w:val="21"/>
              </w:rPr>
              <w:t>项目</w:t>
            </w:r>
          </w:p>
        </w:tc>
        <w:tc>
          <w:tcPr>
            <w:tcW w:w="3252" w:type="dxa"/>
            <w:gridSpan w:val="3"/>
            <w:vAlign w:val="center"/>
          </w:tcPr>
          <w:p w14:paraId="7607B201">
            <w:pPr>
              <w:spacing w:line="400" w:lineRule="exact"/>
              <w:jc w:val="center"/>
              <w:rPr>
                <w:color w:val="000000"/>
                <w:szCs w:val="21"/>
              </w:rPr>
            </w:pPr>
            <w:r>
              <w:rPr>
                <w:color w:val="000000"/>
                <w:szCs w:val="21"/>
              </w:rPr>
              <w:t>允许偏差</w:t>
            </w:r>
          </w:p>
        </w:tc>
        <w:tc>
          <w:tcPr>
            <w:tcW w:w="3231" w:type="dxa"/>
            <w:vMerge w:val="restart"/>
            <w:vAlign w:val="center"/>
          </w:tcPr>
          <w:p w14:paraId="30C6D24F">
            <w:pPr>
              <w:spacing w:line="400" w:lineRule="exact"/>
              <w:jc w:val="center"/>
              <w:rPr>
                <w:color w:val="000000"/>
                <w:szCs w:val="21"/>
              </w:rPr>
            </w:pPr>
            <w:r>
              <w:rPr>
                <w:color w:val="000000"/>
                <w:szCs w:val="21"/>
              </w:rPr>
              <w:t>检验方法</w:t>
            </w:r>
          </w:p>
        </w:tc>
      </w:tr>
      <w:tr w14:paraId="2B4A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Merge w:val="continue"/>
            <w:vAlign w:val="center"/>
          </w:tcPr>
          <w:p w14:paraId="3D9248B9">
            <w:pPr>
              <w:spacing w:line="400" w:lineRule="exact"/>
              <w:jc w:val="center"/>
              <w:rPr>
                <w:color w:val="000000"/>
                <w:szCs w:val="21"/>
              </w:rPr>
            </w:pPr>
          </w:p>
        </w:tc>
        <w:tc>
          <w:tcPr>
            <w:tcW w:w="1051" w:type="dxa"/>
            <w:vAlign w:val="center"/>
          </w:tcPr>
          <w:p w14:paraId="5403E432">
            <w:pPr>
              <w:spacing w:line="400" w:lineRule="exact"/>
              <w:jc w:val="center"/>
              <w:rPr>
                <w:color w:val="000000"/>
                <w:szCs w:val="21"/>
              </w:rPr>
            </w:pPr>
            <w:r>
              <w:rPr>
                <w:color w:val="000000"/>
                <w:szCs w:val="21"/>
              </w:rPr>
              <w:t>防水盘</w:t>
            </w:r>
          </w:p>
        </w:tc>
        <w:tc>
          <w:tcPr>
            <w:tcW w:w="1115" w:type="dxa"/>
            <w:vAlign w:val="center"/>
          </w:tcPr>
          <w:p w14:paraId="75733C5C">
            <w:pPr>
              <w:spacing w:line="400" w:lineRule="exact"/>
              <w:jc w:val="center"/>
              <w:rPr>
                <w:color w:val="000000"/>
                <w:szCs w:val="21"/>
              </w:rPr>
            </w:pPr>
            <w:r>
              <w:rPr>
                <w:color w:val="000000"/>
                <w:szCs w:val="21"/>
              </w:rPr>
              <w:t>壁板</w:t>
            </w:r>
          </w:p>
        </w:tc>
        <w:tc>
          <w:tcPr>
            <w:tcW w:w="1086" w:type="dxa"/>
            <w:vAlign w:val="center"/>
          </w:tcPr>
          <w:p w14:paraId="332FC249">
            <w:pPr>
              <w:spacing w:line="400" w:lineRule="exact"/>
              <w:jc w:val="center"/>
              <w:rPr>
                <w:color w:val="000000"/>
                <w:szCs w:val="21"/>
              </w:rPr>
            </w:pPr>
            <w:r>
              <w:rPr>
                <w:color w:val="000000"/>
                <w:szCs w:val="21"/>
              </w:rPr>
              <w:t>顶板</w:t>
            </w:r>
          </w:p>
        </w:tc>
        <w:tc>
          <w:tcPr>
            <w:tcW w:w="3231" w:type="dxa"/>
            <w:vMerge w:val="continue"/>
            <w:vAlign w:val="center"/>
          </w:tcPr>
          <w:p w14:paraId="081F8179">
            <w:pPr>
              <w:spacing w:line="400" w:lineRule="exact"/>
              <w:jc w:val="center"/>
              <w:rPr>
                <w:color w:val="000000"/>
                <w:szCs w:val="21"/>
              </w:rPr>
            </w:pPr>
          </w:p>
        </w:tc>
      </w:tr>
      <w:tr w14:paraId="3105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14:paraId="67523B27">
            <w:pPr>
              <w:spacing w:line="400" w:lineRule="exact"/>
              <w:jc w:val="center"/>
              <w:rPr>
                <w:color w:val="000000"/>
                <w:szCs w:val="21"/>
              </w:rPr>
            </w:pPr>
            <w:r>
              <w:rPr>
                <w:color w:val="000000"/>
                <w:szCs w:val="21"/>
              </w:rPr>
              <w:t>内外设计标高差</w:t>
            </w:r>
          </w:p>
        </w:tc>
        <w:tc>
          <w:tcPr>
            <w:tcW w:w="1051" w:type="dxa"/>
            <w:vAlign w:val="center"/>
          </w:tcPr>
          <w:p w14:paraId="1412DC98">
            <w:pPr>
              <w:spacing w:line="400" w:lineRule="exact"/>
              <w:jc w:val="center"/>
              <w:rPr>
                <w:color w:val="000000"/>
                <w:szCs w:val="21"/>
              </w:rPr>
            </w:pPr>
            <w:r>
              <w:rPr>
                <w:color w:val="000000"/>
                <w:szCs w:val="21"/>
              </w:rPr>
              <w:t>2.0</w:t>
            </w:r>
          </w:p>
        </w:tc>
        <w:tc>
          <w:tcPr>
            <w:tcW w:w="1115" w:type="dxa"/>
            <w:vAlign w:val="center"/>
          </w:tcPr>
          <w:p w14:paraId="5EF522EA">
            <w:pPr>
              <w:spacing w:line="400" w:lineRule="exact"/>
              <w:jc w:val="center"/>
              <w:rPr>
                <w:color w:val="000000"/>
                <w:szCs w:val="21"/>
              </w:rPr>
            </w:pPr>
            <w:r>
              <w:rPr>
                <w:color w:val="000000"/>
                <w:szCs w:val="21"/>
              </w:rPr>
              <w:t>—</w:t>
            </w:r>
          </w:p>
        </w:tc>
        <w:tc>
          <w:tcPr>
            <w:tcW w:w="1086" w:type="dxa"/>
            <w:vAlign w:val="center"/>
          </w:tcPr>
          <w:p w14:paraId="142F8880">
            <w:pPr>
              <w:spacing w:line="400" w:lineRule="exact"/>
              <w:jc w:val="center"/>
              <w:rPr>
                <w:color w:val="000000"/>
                <w:szCs w:val="21"/>
              </w:rPr>
            </w:pPr>
            <w:r>
              <w:rPr>
                <w:color w:val="000000"/>
                <w:szCs w:val="21"/>
              </w:rPr>
              <w:t>—</w:t>
            </w:r>
          </w:p>
        </w:tc>
        <w:tc>
          <w:tcPr>
            <w:tcW w:w="3231" w:type="dxa"/>
            <w:vAlign w:val="center"/>
          </w:tcPr>
          <w:p w14:paraId="367EE064">
            <w:pPr>
              <w:spacing w:line="400" w:lineRule="exact"/>
              <w:jc w:val="center"/>
              <w:rPr>
                <w:color w:val="000000"/>
                <w:szCs w:val="21"/>
              </w:rPr>
            </w:pPr>
            <w:r>
              <w:rPr>
                <w:color w:val="000000"/>
                <w:szCs w:val="21"/>
              </w:rPr>
              <w:t>用钢直尺检查</w:t>
            </w:r>
          </w:p>
        </w:tc>
      </w:tr>
      <w:tr w14:paraId="5481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14:paraId="6D9B8C2B">
            <w:pPr>
              <w:spacing w:line="400" w:lineRule="exact"/>
              <w:jc w:val="center"/>
              <w:rPr>
                <w:color w:val="000000"/>
                <w:szCs w:val="21"/>
              </w:rPr>
            </w:pPr>
            <w:r>
              <w:rPr>
                <w:color w:val="000000"/>
                <w:szCs w:val="21"/>
              </w:rPr>
              <w:t>阴阳角方正</w:t>
            </w:r>
          </w:p>
        </w:tc>
        <w:tc>
          <w:tcPr>
            <w:tcW w:w="1051" w:type="dxa"/>
            <w:vAlign w:val="center"/>
          </w:tcPr>
          <w:p w14:paraId="13D93789">
            <w:pPr>
              <w:spacing w:line="400" w:lineRule="exact"/>
              <w:jc w:val="center"/>
              <w:rPr>
                <w:color w:val="000000"/>
                <w:szCs w:val="21"/>
              </w:rPr>
            </w:pPr>
            <w:r>
              <w:rPr>
                <w:color w:val="000000"/>
                <w:szCs w:val="21"/>
              </w:rPr>
              <w:t>—</w:t>
            </w:r>
          </w:p>
        </w:tc>
        <w:tc>
          <w:tcPr>
            <w:tcW w:w="1115" w:type="dxa"/>
            <w:vAlign w:val="center"/>
          </w:tcPr>
          <w:p w14:paraId="75276B9D">
            <w:pPr>
              <w:spacing w:line="400" w:lineRule="exact"/>
              <w:jc w:val="center"/>
              <w:rPr>
                <w:color w:val="000000"/>
                <w:szCs w:val="21"/>
              </w:rPr>
            </w:pPr>
            <w:r>
              <w:rPr>
                <w:color w:val="000000"/>
                <w:szCs w:val="21"/>
              </w:rPr>
              <w:t>3.0</w:t>
            </w:r>
          </w:p>
        </w:tc>
        <w:tc>
          <w:tcPr>
            <w:tcW w:w="1086" w:type="dxa"/>
            <w:vAlign w:val="center"/>
          </w:tcPr>
          <w:p w14:paraId="099FE272">
            <w:pPr>
              <w:spacing w:line="400" w:lineRule="exact"/>
              <w:jc w:val="center"/>
              <w:rPr>
                <w:color w:val="000000"/>
                <w:szCs w:val="21"/>
              </w:rPr>
            </w:pPr>
            <w:r>
              <w:rPr>
                <w:color w:val="000000"/>
                <w:szCs w:val="21"/>
              </w:rPr>
              <w:t>—</w:t>
            </w:r>
          </w:p>
        </w:tc>
        <w:tc>
          <w:tcPr>
            <w:tcW w:w="3231" w:type="dxa"/>
            <w:vAlign w:val="center"/>
          </w:tcPr>
          <w:p w14:paraId="55C54D72">
            <w:pPr>
              <w:spacing w:line="400" w:lineRule="exact"/>
              <w:jc w:val="center"/>
              <w:rPr>
                <w:color w:val="000000"/>
                <w:szCs w:val="21"/>
              </w:rPr>
            </w:pPr>
            <w:r>
              <w:rPr>
                <w:color w:val="000000"/>
                <w:szCs w:val="21"/>
              </w:rPr>
              <w:t>用200 mm直角检测尺检查</w:t>
            </w:r>
          </w:p>
        </w:tc>
      </w:tr>
      <w:tr w14:paraId="2083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14:paraId="7BDCAC5B">
            <w:pPr>
              <w:spacing w:line="400" w:lineRule="exact"/>
              <w:jc w:val="center"/>
              <w:rPr>
                <w:color w:val="000000"/>
                <w:szCs w:val="21"/>
              </w:rPr>
            </w:pPr>
          </w:p>
        </w:tc>
        <w:tc>
          <w:tcPr>
            <w:tcW w:w="1051" w:type="dxa"/>
            <w:vAlign w:val="center"/>
          </w:tcPr>
          <w:p w14:paraId="0D700859">
            <w:pPr>
              <w:spacing w:line="400" w:lineRule="exact"/>
              <w:jc w:val="center"/>
              <w:rPr>
                <w:color w:val="000000"/>
                <w:szCs w:val="21"/>
              </w:rPr>
            </w:pPr>
            <w:r>
              <w:rPr>
                <w:color w:val="000000"/>
                <w:szCs w:val="21"/>
              </w:rPr>
              <w:t>—</w:t>
            </w:r>
          </w:p>
        </w:tc>
        <w:tc>
          <w:tcPr>
            <w:tcW w:w="1115" w:type="dxa"/>
            <w:vAlign w:val="center"/>
          </w:tcPr>
          <w:p w14:paraId="087E82EA">
            <w:pPr>
              <w:spacing w:line="400" w:lineRule="exact"/>
              <w:jc w:val="center"/>
              <w:rPr>
                <w:color w:val="000000"/>
                <w:szCs w:val="21"/>
              </w:rPr>
            </w:pPr>
            <w:r>
              <w:rPr>
                <w:color w:val="000000"/>
                <w:szCs w:val="21"/>
              </w:rPr>
              <w:t>3.0</w:t>
            </w:r>
          </w:p>
        </w:tc>
        <w:tc>
          <w:tcPr>
            <w:tcW w:w="1086" w:type="dxa"/>
            <w:vAlign w:val="center"/>
          </w:tcPr>
          <w:p w14:paraId="6390CA00">
            <w:pPr>
              <w:spacing w:line="400" w:lineRule="exact"/>
              <w:jc w:val="center"/>
              <w:rPr>
                <w:color w:val="000000"/>
                <w:szCs w:val="21"/>
              </w:rPr>
            </w:pPr>
            <w:r>
              <w:rPr>
                <w:color w:val="000000"/>
                <w:szCs w:val="21"/>
              </w:rPr>
              <w:t>—</w:t>
            </w:r>
          </w:p>
        </w:tc>
        <w:tc>
          <w:tcPr>
            <w:tcW w:w="3231" w:type="dxa"/>
            <w:vAlign w:val="center"/>
          </w:tcPr>
          <w:p w14:paraId="11D4B3DA">
            <w:pPr>
              <w:spacing w:line="400" w:lineRule="exact"/>
              <w:jc w:val="center"/>
              <w:rPr>
                <w:color w:val="000000"/>
                <w:szCs w:val="21"/>
              </w:rPr>
            </w:pPr>
            <w:r>
              <w:rPr>
                <w:color w:val="000000"/>
                <w:szCs w:val="21"/>
              </w:rPr>
              <w:t>用2 m垂直检测尺检查</w:t>
            </w:r>
          </w:p>
        </w:tc>
      </w:tr>
      <w:tr w14:paraId="08F8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14:paraId="7041EB18">
            <w:pPr>
              <w:spacing w:line="400" w:lineRule="exact"/>
              <w:jc w:val="center"/>
              <w:rPr>
                <w:color w:val="000000"/>
                <w:szCs w:val="21"/>
              </w:rPr>
            </w:pPr>
          </w:p>
        </w:tc>
        <w:tc>
          <w:tcPr>
            <w:tcW w:w="1051" w:type="dxa"/>
            <w:vAlign w:val="center"/>
          </w:tcPr>
          <w:p w14:paraId="41B659CC">
            <w:pPr>
              <w:spacing w:line="400" w:lineRule="exact"/>
              <w:jc w:val="center"/>
              <w:rPr>
                <w:color w:val="000000"/>
                <w:szCs w:val="21"/>
              </w:rPr>
            </w:pPr>
            <w:r>
              <w:rPr>
                <w:color w:val="000000"/>
                <w:szCs w:val="21"/>
              </w:rPr>
              <w:t>—</w:t>
            </w:r>
          </w:p>
        </w:tc>
        <w:tc>
          <w:tcPr>
            <w:tcW w:w="1115" w:type="dxa"/>
            <w:vAlign w:val="center"/>
          </w:tcPr>
          <w:p w14:paraId="20E67DF5">
            <w:pPr>
              <w:spacing w:line="400" w:lineRule="exact"/>
              <w:jc w:val="center"/>
              <w:rPr>
                <w:color w:val="000000"/>
                <w:szCs w:val="21"/>
              </w:rPr>
            </w:pPr>
            <w:r>
              <w:rPr>
                <w:color w:val="000000"/>
                <w:szCs w:val="21"/>
              </w:rPr>
              <w:t>3.0</w:t>
            </w:r>
          </w:p>
        </w:tc>
        <w:tc>
          <w:tcPr>
            <w:tcW w:w="1086" w:type="dxa"/>
            <w:vAlign w:val="center"/>
          </w:tcPr>
          <w:p w14:paraId="71A9969B">
            <w:pPr>
              <w:spacing w:line="400" w:lineRule="exact"/>
              <w:jc w:val="center"/>
              <w:rPr>
                <w:color w:val="000000"/>
                <w:szCs w:val="21"/>
              </w:rPr>
            </w:pPr>
            <w:r>
              <w:rPr>
                <w:color w:val="000000"/>
                <w:szCs w:val="21"/>
              </w:rPr>
              <w:t>3.0</w:t>
            </w:r>
          </w:p>
        </w:tc>
        <w:tc>
          <w:tcPr>
            <w:tcW w:w="3231" w:type="dxa"/>
            <w:vAlign w:val="center"/>
          </w:tcPr>
          <w:p w14:paraId="353AAB24">
            <w:pPr>
              <w:spacing w:line="400" w:lineRule="exact"/>
              <w:jc w:val="center"/>
              <w:rPr>
                <w:color w:val="000000"/>
                <w:szCs w:val="21"/>
              </w:rPr>
            </w:pPr>
            <w:r>
              <w:rPr>
                <w:color w:val="000000"/>
                <w:szCs w:val="21"/>
              </w:rPr>
              <w:t>用2 m靠尺和塞尺检查</w:t>
            </w:r>
          </w:p>
        </w:tc>
      </w:tr>
      <w:tr w14:paraId="0104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14:paraId="15B295AA">
            <w:pPr>
              <w:spacing w:line="400" w:lineRule="exact"/>
              <w:jc w:val="center"/>
              <w:rPr>
                <w:color w:val="000000"/>
                <w:szCs w:val="21"/>
              </w:rPr>
            </w:pPr>
          </w:p>
        </w:tc>
        <w:tc>
          <w:tcPr>
            <w:tcW w:w="1051" w:type="dxa"/>
            <w:vAlign w:val="center"/>
          </w:tcPr>
          <w:p w14:paraId="78F37D60">
            <w:pPr>
              <w:spacing w:line="400" w:lineRule="exact"/>
              <w:jc w:val="center"/>
              <w:rPr>
                <w:color w:val="000000"/>
                <w:szCs w:val="21"/>
              </w:rPr>
            </w:pPr>
            <w:r>
              <w:rPr>
                <w:color w:val="000000"/>
                <w:szCs w:val="21"/>
              </w:rPr>
              <w:t>—</w:t>
            </w:r>
          </w:p>
        </w:tc>
        <w:tc>
          <w:tcPr>
            <w:tcW w:w="1115" w:type="dxa"/>
            <w:vAlign w:val="center"/>
          </w:tcPr>
          <w:p w14:paraId="52F5577D">
            <w:pPr>
              <w:spacing w:line="400" w:lineRule="exact"/>
              <w:jc w:val="center"/>
              <w:rPr>
                <w:color w:val="000000"/>
                <w:szCs w:val="21"/>
              </w:rPr>
            </w:pPr>
            <w:r>
              <w:rPr>
                <w:color w:val="000000"/>
                <w:szCs w:val="21"/>
              </w:rPr>
              <w:t>1.0</w:t>
            </w:r>
          </w:p>
        </w:tc>
        <w:tc>
          <w:tcPr>
            <w:tcW w:w="1086" w:type="dxa"/>
            <w:vAlign w:val="center"/>
          </w:tcPr>
          <w:p w14:paraId="4DC3D431">
            <w:pPr>
              <w:spacing w:line="400" w:lineRule="exact"/>
              <w:jc w:val="center"/>
              <w:rPr>
                <w:color w:val="000000"/>
                <w:szCs w:val="21"/>
              </w:rPr>
            </w:pPr>
            <w:r>
              <w:rPr>
                <w:color w:val="000000"/>
                <w:szCs w:val="21"/>
              </w:rPr>
              <w:t>1.0</w:t>
            </w:r>
          </w:p>
        </w:tc>
        <w:tc>
          <w:tcPr>
            <w:tcW w:w="3231" w:type="dxa"/>
            <w:vAlign w:val="center"/>
          </w:tcPr>
          <w:p w14:paraId="172C2A36">
            <w:pPr>
              <w:spacing w:line="400" w:lineRule="exact"/>
              <w:jc w:val="center"/>
              <w:rPr>
                <w:color w:val="000000"/>
                <w:szCs w:val="21"/>
              </w:rPr>
            </w:pPr>
            <w:r>
              <w:rPr>
                <w:color w:val="000000"/>
                <w:szCs w:val="21"/>
              </w:rPr>
              <w:t>用钢直尺和塞尺检查</w:t>
            </w:r>
          </w:p>
        </w:tc>
      </w:tr>
      <w:tr w14:paraId="5865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14:paraId="3EBFF74B">
            <w:pPr>
              <w:spacing w:line="400" w:lineRule="exact"/>
              <w:jc w:val="center"/>
              <w:rPr>
                <w:color w:val="000000"/>
                <w:szCs w:val="21"/>
              </w:rPr>
            </w:pPr>
          </w:p>
        </w:tc>
        <w:tc>
          <w:tcPr>
            <w:tcW w:w="1051" w:type="dxa"/>
            <w:vAlign w:val="center"/>
          </w:tcPr>
          <w:p w14:paraId="6AE17E71">
            <w:pPr>
              <w:spacing w:line="400" w:lineRule="exact"/>
              <w:jc w:val="center"/>
              <w:rPr>
                <w:color w:val="000000"/>
                <w:szCs w:val="21"/>
              </w:rPr>
            </w:pPr>
            <w:r>
              <w:rPr>
                <w:color w:val="000000"/>
                <w:szCs w:val="21"/>
              </w:rPr>
              <w:t>—</w:t>
            </w:r>
          </w:p>
        </w:tc>
        <w:tc>
          <w:tcPr>
            <w:tcW w:w="1115" w:type="dxa"/>
            <w:vAlign w:val="center"/>
          </w:tcPr>
          <w:p w14:paraId="0F782677">
            <w:pPr>
              <w:spacing w:line="400" w:lineRule="exact"/>
              <w:jc w:val="center"/>
              <w:rPr>
                <w:color w:val="000000"/>
                <w:szCs w:val="21"/>
              </w:rPr>
            </w:pPr>
            <w:r>
              <w:rPr>
                <w:color w:val="000000"/>
                <w:szCs w:val="21"/>
              </w:rPr>
              <w:t>1.0</w:t>
            </w:r>
          </w:p>
        </w:tc>
        <w:tc>
          <w:tcPr>
            <w:tcW w:w="1086" w:type="dxa"/>
            <w:vAlign w:val="center"/>
          </w:tcPr>
          <w:p w14:paraId="0EC55F86">
            <w:pPr>
              <w:spacing w:line="400" w:lineRule="exact"/>
              <w:jc w:val="center"/>
              <w:rPr>
                <w:color w:val="000000"/>
                <w:szCs w:val="21"/>
              </w:rPr>
            </w:pPr>
            <w:r>
              <w:rPr>
                <w:color w:val="000000"/>
                <w:szCs w:val="21"/>
              </w:rPr>
              <w:t>2.0</w:t>
            </w:r>
          </w:p>
        </w:tc>
        <w:tc>
          <w:tcPr>
            <w:tcW w:w="3231" w:type="dxa"/>
            <w:vAlign w:val="center"/>
          </w:tcPr>
          <w:p w14:paraId="2DCDFA63">
            <w:pPr>
              <w:spacing w:line="400" w:lineRule="exact"/>
              <w:jc w:val="center"/>
              <w:rPr>
                <w:color w:val="000000"/>
                <w:szCs w:val="21"/>
              </w:rPr>
            </w:pPr>
            <w:r>
              <w:rPr>
                <w:color w:val="000000"/>
                <w:szCs w:val="21"/>
              </w:rPr>
              <w:t>用钢直尺检查</w:t>
            </w:r>
          </w:p>
        </w:tc>
      </w:tr>
    </w:tbl>
    <w:p w14:paraId="7D675183">
      <w:pPr>
        <w:spacing w:line="400" w:lineRule="exact"/>
        <w:rPr>
          <w:color w:val="000000"/>
          <w:szCs w:val="21"/>
        </w:rPr>
      </w:pPr>
      <w:r>
        <w:rPr>
          <w:b/>
          <w:bCs/>
          <w:color w:val="000000"/>
          <w:szCs w:val="21"/>
        </w:rPr>
        <w:t>7.1</w:t>
      </w:r>
      <w:r>
        <w:rPr>
          <w:rFonts w:hint="eastAsia"/>
          <w:b/>
          <w:bCs/>
          <w:color w:val="000000"/>
          <w:szCs w:val="21"/>
        </w:rPr>
        <w:t>6</w:t>
      </w:r>
      <w:r>
        <w:rPr>
          <w:b/>
          <w:bCs/>
          <w:color w:val="000000"/>
          <w:szCs w:val="21"/>
        </w:rPr>
        <w:t>.8</w:t>
      </w:r>
      <w:r>
        <w:rPr>
          <w:color w:val="000000"/>
          <w:szCs w:val="21"/>
        </w:rPr>
        <w:t xml:space="preserve">  收纳系统应结合建筑功能空间进行布置，收纳物品种类和数量满足设计要求。</w:t>
      </w:r>
    </w:p>
    <w:p w14:paraId="54019AB1">
      <w:pPr>
        <w:spacing w:line="400" w:lineRule="exact"/>
        <w:rPr>
          <w:color w:val="000000"/>
          <w:szCs w:val="21"/>
        </w:rPr>
      </w:pPr>
      <w:r>
        <w:rPr>
          <w:b/>
          <w:bCs/>
          <w:color w:val="000000"/>
          <w:szCs w:val="21"/>
        </w:rPr>
        <w:t>7.1</w:t>
      </w:r>
      <w:r>
        <w:rPr>
          <w:rFonts w:hint="eastAsia"/>
          <w:b/>
          <w:bCs/>
          <w:color w:val="000000"/>
          <w:szCs w:val="21"/>
        </w:rPr>
        <w:t>6</w:t>
      </w:r>
      <w:r>
        <w:rPr>
          <w:b/>
          <w:bCs/>
          <w:color w:val="000000"/>
          <w:szCs w:val="21"/>
        </w:rPr>
        <w:t xml:space="preserve">.9  </w:t>
      </w:r>
      <w:r>
        <w:rPr>
          <w:color w:val="000000"/>
          <w:szCs w:val="21"/>
        </w:rPr>
        <w:t>对有耐火要求的门窗，应符合现行国家标准《建筑设计防火规范》GB 50016的规定。</w:t>
      </w:r>
    </w:p>
    <w:p w14:paraId="34CAD468">
      <w:pPr>
        <w:pStyle w:val="3"/>
        <w:rPr>
          <w:rFonts w:ascii="Times New Roman" w:hAnsi="Times New Roman" w:eastAsia="黑体"/>
          <w:sz w:val="28"/>
          <w:szCs w:val="28"/>
          <w:lang w:val="en-US"/>
        </w:rPr>
      </w:pPr>
      <w:bookmarkStart w:id="1310" w:name="_Toc31485"/>
      <w:bookmarkStart w:id="1311" w:name="_Toc23254"/>
      <w:bookmarkStart w:id="1312" w:name="_Toc14449"/>
      <w:bookmarkStart w:id="1313" w:name="_Toc16655"/>
      <w:bookmarkStart w:id="1314" w:name="_Toc9786"/>
      <w:r>
        <w:rPr>
          <w:rFonts w:ascii="Times New Roman" w:hAnsi="Times New Roman" w:eastAsia="黑体"/>
          <w:b/>
          <w:bCs/>
          <w:sz w:val="28"/>
          <w:szCs w:val="28"/>
          <w:lang w:val="en-US"/>
        </w:rPr>
        <w:t>8</w:t>
      </w:r>
      <w:r>
        <w:rPr>
          <w:rFonts w:ascii="Times New Roman" w:hAnsi="Times New Roman" w:eastAsia="黑体"/>
          <w:sz w:val="28"/>
          <w:szCs w:val="28"/>
          <w:lang w:val="en-US"/>
        </w:rPr>
        <w:t xml:space="preserve">  建筑电气设备安装工程</w:t>
      </w:r>
      <w:bookmarkEnd w:id="1310"/>
      <w:bookmarkEnd w:id="1311"/>
      <w:bookmarkEnd w:id="1312"/>
      <w:bookmarkEnd w:id="1313"/>
      <w:bookmarkEnd w:id="1314"/>
    </w:p>
    <w:p w14:paraId="699E6BCC">
      <w:pPr>
        <w:pStyle w:val="4"/>
        <w:keepNext/>
        <w:keepLines/>
        <w:autoSpaceDE/>
        <w:spacing w:before="20" w:after="20" w:line="400" w:lineRule="exact"/>
        <w:jc w:val="center"/>
        <w:rPr>
          <w:rFonts w:ascii="Times New Roman" w:hAnsi="Times New Roman" w:eastAsia="黑体"/>
          <w:bCs/>
          <w:sz w:val="24"/>
          <w:szCs w:val="24"/>
        </w:rPr>
      </w:pPr>
      <w:bookmarkStart w:id="1315" w:name="_Toc8278"/>
      <w:bookmarkStart w:id="1316" w:name="_Toc22083"/>
      <w:bookmarkStart w:id="1317" w:name="_Toc32186"/>
      <w:bookmarkStart w:id="1318" w:name="_Toc12332"/>
      <w:bookmarkStart w:id="1319" w:name="_Toc5102"/>
      <w:bookmarkStart w:id="1320" w:name="_Toc7129"/>
      <w:bookmarkStart w:id="1321" w:name="_Toc29601"/>
      <w:bookmarkStart w:id="1322" w:name="_Toc19879"/>
      <w:r>
        <w:rPr>
          <w:rFonts w:ascii="Times New Roman" w:hAnsi="Times New Roman" w:eastAsia="黑体"/>
          <w:b/>
          <w:sz w:val="24"/>
          <w:szCs w:val="24"/>
          <w:lang w:val="en-US"/>
        </w:rPr>
        <w:t>8.1</w:t>
      </w:r>
      <w:r>
        <w:rPr>
          <w:rFonts w:hint="eastAsia" w:ascii="Times New Roman" w:hAnsi="Times New Roman" w:eastAsia="黑体"/>
          <w:bCs/>
          <w:sz w:val="24"/>
          <w:szCs w:val="24"/>
          <w:lang w:val="en-US"/>
        </w:rPr>
        <w:t xml:space="preserve">  一</w:t>
      </w:r>
      <w:r>
        <w:rPr>
          <w:rFonts w:ascii="Times New Roman" w:hAnsi="Times New Roman" w:eastAsia="黑体"/>
          <w:bCs/>
          <w:sz w:val="24"/>
          <w:szCs w:val="24"/>
        </w:rPr>
        <w:t>般规定</w:t>
      </w:r>
      <w:bookmarkEnd w:id="1315"/>
      <w:bookmarkEnd w:id="1316"/>
      <w:bookmarkEnd w:id="1317"/>
      <w:bookmarkEnd w:id="1318"/>
      <w:bookmarkEnd w:id="1319"/>
      <w:bookmarkEnd w:id="1320"/>
      <w:bookmarkEnd w:id="1321"/>
      <w:bookmarkEnd w:id="1322"/>
    </w:p>
    <w:p w14:paraId="6D6691C6">
      <w:pPr>
        <w:spacing w:line="400" w:lineRule="exact"/>
        <w:ind w:firstLine="420" w:firstLineChars="200"/>
        <w:rPr>
          <w:color w:val="000000"/>
          <w:szCs w:val="21"/>
        </w:rPr>
      </w:pPr>
      <w:r>
        <w:rPr>
          <w:color w:val="000000"/>
          <w:szCs w:val="21"/>
        </w:rPr>
        <w:t>建筑电气设备安装工程划分为</w:t>
      </w:r>
      <w:r>
        <w:rPr>
          <w:rFonts w:hint="eastAsia"/>
          <w:color w:val="000000"/>
          <w:szCs w:val="21"/>
        </w:rPr>
        <w:t>“</w:t>
      </w:r>
      <w:r>
        <w:rPr>
          <w:color w:val="000000"/>
          <w:szCs w:val="21"/>
        </w:rPr>
        <w:t>建筑电气</w:t>
      </w:r>
      <w:r>
        <w:rPr>
          <w:rFonts w:hint="eastAsia"/>
          <w:color w:val="000000"/>
          <w:szCs w:val="21"/>
        </w:rPr>
        <w:t>”“</w:t>
      </w:r>
      <w:r>
        <w:rPr>
          <w:color w:val="000000"/>
          <w:szCs w:val="21"/>
        </w:rPr>
        <w:t>智能建筑</w:t>
      </w:r>
      <w:r>
        <w:rPr>
          <w:rFonts w:hint="eastAsia"/>
          <w:color w:val="000000"/>
          <w:szCs w:val="21"/>
        </w:rPr>
        <w:t>”“</w:t>
      </w:r>
      <w:r>
        <w:rPr>
          <w:color w:val="000000"/>
          <w:szCs w:val="21"/>
        </w:rPr>
        <w:t>电梯</w:t>
      </w:r>
      <w:r>
        <w:rPr>
          <w:rFonts w:hint="eastAsia"/>
          <w:color w:val="000000"/>
          <w:szCs w:val="21"/>
        </w:rPr>
        <w:t>”</w:t>
      </w:r>
      <w:r>
        <w:rPr>
          <w:color w:val="000000"/>
          <w:szCs w:val="21"/>
        </w:rPr>
        <w:t>三个分部工程。本标准将各分部工程中的共性问题汇总在一般规定中，避免相同内容在质量评审标准中重复过多，故一般规定中的条文适用于建筑电气设备安装工程的各分部工程。</w:t>
      </w:r>
    </w:p>
    <w:p w14:paraId="4F72E2CD">
      <w:pPr>
        <w:spacing w:line="400" w:lineRule="exact"/>
        <w:rPr>
          <w:color w:val="000000"/>
          <w:szCs w:val="21"/>
        </w:rPr>
      </w:pPr>
      <w:r>
        <w:rPr>
          <w:b/>
          <w:color w:val="000000"/>
          <w:szCs w:val="21"/>
        </w:rPr>
        <w:t>8.1.1</w:t>
      </w:r>
      <w:r>
        <w:rPr>
          <w:color w:val="000000"/>
          <w:szCs w:val="21"/>
        </w:rPr>
        <w:t xml:space="preserve">  建筑电气设备安装工程的使用功能和用电安全是最重要的，在施工中应放在首位，建筑长城杯工程应在满足上述要求的基础上，做到施工质量观感好。 </w:t>
      </w:r>
    </w:p>
    <w:p w14:paraId="45CCD1BD">
      <w:pPr>
        <w:spacing w:line="400" w:lineRule="exact"/>
        <w:rPr>
          <w:color w:val="000000"/>
          <w:szCs w:val="21"/>
        </w:rPr>
      </w:pPr>
      <w:r>
        <w:rPr>
          <w:b/>
          <w:color w:val="000000"/>
          <w:szCs w:val="21"/>
        </w:rPr>
        <w:t>8.1.2</w:t>
      </w:r>
      <w:r>
        <w:rPr>
          <w:color w:val="000000"/>
          <w:szCs w:val="21"/>
        </w:rPr>
        <w:t xml:space="preserve">  此条为了满足防火的要求。 </w:t>
      </w:r>
    </w:p>
    <w:p w14:paraId="19A4D188">
      <w:pPr>
        <w:spacing w:line="400" w:lineRule="exact"/>
        <w:rPr>
          <w:color w:val="000000"/>
          <w:szCs w:val="21"/>
        </w:rPr>
      </w:pPr>
      <w:r>
        <w:rPr>
          <w:b/>
          <w:color w:val="000000"/>
          <w:szCs w:val="21"/>
        </w:rPr>
        <w:t>8.1.3</w:t>
      </w:r>
      <w:r>
        <w:rPr>
          <w:color w:val="000000"/>
          <w:szCs w:val="21"/>
        </w:rPr>
        <w:t xml:space="preserve">  电气的防火封堵很重要，在万一发生火灾时可避免火情迅速扩大，槽盒或金属导管贯穿防火分区时，防火封堵组件在正常或发生火灾时，应保持本身结构的稳定性，不应出现脱落、移位和开裂现象。要求封堵严密，封堵严密的程度是不仅火无法通过，烟也无法通过。当防火组件达不到相应的绝热性能或贯穿孔附近有可燃物时，应在贯穿口两侧不小于1 m的管道或槽盒长度上刷防火涂料。槽盒内、外均需封堵严密。</w:t>
      </w:r>
    </w:p>
    <w:p w14:paraId="76FD1AC1">
      <w:pPr>
        <w:spacing w:line="400" w:lineRule="exact"/>
        <w:ind w:firstLine="2"/>
        <w:rPr>
          <w:color w:val="000000"/>
          <w:szCs w:val="21"/>
        </w:rPr>
      </w:pPr>
      <w:r>
        <w:rPr>
          <w:b/>
          <w:color w:val="000000"/>
          <w:szCs w:val="21"/>
        </w:rPr>
        <w:t>8.1.4</w:t>
      </w:r>
      <w:r>
        <w:rPr>
          <w:color w:val="000000"/>
          <w:szCs w:val="21"/>
        </w:rPr>
        <w:t xml:space="preserve">  电气竖井及电气设备间已有挡水措施的，如地面已抬高或门口已有</w:t>
      </w:r>
      <w:r>
        <w:rPr>
          <w:rFonts w:hint="eastAsia"/>
          <w:color w:val="000000" w:themeColor="text1"/>
          <w:szCs w:val="21"/>
          <w14:textFill>
            <w14:solidFill>
              <w14:schemeClr w14:val="tx1"/>
            </w14:solidFill>
          </w14:textFill>
        </w:rPr>
        <w:t>挡</w:t>
      </w:r>
      <w:r>
        <w:rPr>
          <w:color w:val="000000"/>
          <w:szCs w:val="21"/>
        </w:rPr>
        <w:t>水台的，可不在槽盒、梯架周围设</w:t>
      </w:r>
      <w:r>
        <w:rPr>
          <w:rFonts w:hint="eastAsia"/>
          <w:color w:val="000000" w:themeColor="text1"/>
          <w:szCs w:val="21"/>
          <w14:textFill>
            <w14:solidFill>
              <w14:schemeClr w14:val="tx1"/>
            </w14:solidFill>
          </w14:textFill>
        </w:rPr>
        <w:t>挡</w:t>
      </w:r>
      <w:r>
        <w:rPr>
          <w:color w:val="000000"/>
          <w:szCs w:val="21"/>
        </w:rPr>
        <w:t>水台。</w:t>
      </w:r>
    </w:p>
    <w:p w14:paraId="2BB51B00">
      <w:pPr>
        <w:spacing w:line="400" w:lineRule="exact"/>
        <w:ind w:firstLine="2"/>
        <w:rPr>
          <w:color w:val="000000"/>
          <w:szCs w:val="21"/>
        </w:rPr>
      </w:pPr>
      <w:r>
        <w:rPr>
          <w:b/>
          <w:color w:val="000000"/>
          <w:szCs w:val="21"/>
        </w:rPr>
        <w:t>8.1.5</w:t>
      </w:r>
      <w:r>
        <w:rPr>
          <w:color w:val="000000"/>
          <w:szCs w:val="21"/>
        </w:rPr>
        <w:t xml:space="preserve">  为了防止电磁干扰和保证重要负荷的安全供电。如设计在同一槽盒中，但采取了相应措施，如要求在槽盒中设隔板等，则应严格按照设计要求的措施施工。</w:t>
      </w:r>
    </w:p>
    <w:p w14:paraId="6E6DA96B">
      <w:pPr>
        <w:spacing w:line="400" w:lineRule="exact"/>
        <w:rPr>
          <w:color w:val="000000"/>
          <w:szCs w:val="21"/>
        </w:rPr>
      </w:pPr>
      <w:r>
        <w:rPr>
          <w:b/>
          <w:color w:val="000000"/>
          <w:szCs w:val="21"/>
        </w:rPr>
        <w:t>8.1.6</w:t>
      </w:r>
      <w:r>
        <w:rPr>
          <w:color w:val="000000"/>
          <w:szCs w:val="21"/>
        </w:rPr>
        <w:t xml:space="preserve">  电气工程线缆护套颜色在规范中有明确规定的，应按规范规定使用：保护导体（PE）应用黄-绿双色线，中性导体（N）用淡蓝色线，相线L1、L2、L3分别用黄色、绿色、红色线；消防电源正极为红色，负极为蓝色或黑色。规范中没有明确规定护套颜色的线缆，在同一工程中功能相同的线缆颜色应一致，在施工方案中应做出明确规定。</w:t>
      </w:r>
    </w:p>
    <w:p w14:paraId="4882BDE1">
      <w:pPr>
        <w:spacing w:line="400" w:lineRule="exact"/>
        <w:rPr>
          <w:color w:val="000000"/>
          <w:szCs w:val="21"/>
        </w:rPr>
      </w:pPr>
      <w:r>
        <w:rPr>
          <w:b/>
          <w:color w:val="000000"/>
          <w:szCs w:val="21"/>
        </w:rPr>
        <w:t>8.1.7</w:t>
      </w:r>
      <w:r>
        <w:rPr>
          <w:color w:val="000000"/>
          <w:szCs w:val="21"/>
        </w:rPr>
        <w:t xml:space="preserve">  主要是为了美观，但应在保证各自使用功能前提下。</w:t>
      </w:r>
    </w:p>
    <w:p w14:paraId="1ACD585F">
      <w:pPr>
        <w:spacing w:line="400" w:lineRule="exact"/>
        <w:rPr>
          <w:color w:val="000000"/>
          <w:szCs w:val="21"/>
        </w:rPr>
      </w:pPr>
      <w:r>
        <w:rPr>
          <w:b/>
          <w:color w:val="000000"/>
          <w:szCs w:val="21"/>
        </w:rPr>
        <w:t>8.1.10</w:t>
      </w:r>
      <w:r>
        <w:rPr>
          <w:color w:val="000000"/>
          <w:szCs w:val="21"/>
        </w:rPr>
        <w:t xml:space="preserve">  金属软管在电气工程中使用较多，其安装和接地存在问题也比较多，如厂家提供的连接配件有时不符合现场实际需求，或电气预埋位置不当造成软管长度过长，金属软管接地遗漏或接地遗漏等问题。</w:t>
      </w:r>
    </w:p>
    <w:p w14:paraId="5E56A881">
      <w:pPr>
        <w:spacing w:line="400" w:lineRule="exact"/>
        <w:rPr>
          <w:color w:val="000000"/>
          <w:szCs w:val="21"/>
        </w:rPr>
      </w:pPr>
      <w:r>
        <w:rPr>
          <w:b/>
          <w:color w:val="000000"/>
          <w:szCs w:val="21"/>
        </w:rPr>
        <w:t>8.1.11</w:t>
      </w:r>
      <w:r>
        <w:rPr>
          <w:color w:val="000000"/>
          <w:szCs w:val="21"/>
        </w:rPr>
        <w:t xml:space="preserve">  本条规定主要是为了方便维修。</w:t>
      </w:r>
    </w:p>
    <w:p w14:paraId="4A38CF23">
      <w:pPr>
        <w:spacing w:line="400" w:lineRule="exact"/>
        <w:rPr>
          <w:b/>
          <w:color w:val="000000"/>
          <w:sz w:val="28"/>
          <w:szCs w:val="28"/>
        </w:rPr>
      </w:pPr>
    </w:p>
    <w:p w14:paraId="5B5F7954">
      <w:pPr>
        <w:pStyle w:val="4"/>
        <w:keepNext/>
        <w:keepLines/>
        <w:autoSpaceDE/>
        <w:spacing w:before="20" w:after="20" w:line="400" w:lineRule="exact"/>
        <w:jc w:val="center"/>
        <w:rPr>
          <w:rFonts w:ascii="Times New Roman" w:hAnsi="Times New Roman" w:eastAsia="黑体"/>
          <w:bCs/>
          <w:sz w:val="24"/>
          <w:szCs w:val="24"/>
          <w:lang w:val="en-US"/>
        </w:rPr>
      </w:pPr>
      <w:bookmarkStart w:id="1323" w:name="_Toc25308"/>
      <w:bookmarkStart w:id="1324" w:name="_Toc29270"/>
      <w:bookmarkStart w:id="1325" w:name="_Toc29679"/>
      <w:bookmarkStart w:id="1326" w:name="_Toc21268"/>
      <w:bookmarkStart w:id="1327" w:name="_Toc27068"/>
      <w:bookmarkStart w:id="1328" w:name="_Toc9040"/>
      <w:bookmarkStart w:id="1329" w:name="_Toc19591"/>
      <w:bookmarkStart w:id="1330" w:name="_Toc5830"/>
      <w:r>
        <w:rPr>
          <w:rFonts w:ascii="Times New Roman" w:hAnsi="Times New Roman" w:eastAsia="黑体"/>
          <w:bCs/>
          <w:sz w:val="24"/>
          <w:szCs w:val="24"/>
          <w:lang w:val="en-US"/>
        </w:rPr>
        <w:t>8.2  建筑电气设备安装工程</w:t>
      </w:r>
      <w:bookmarkEnd w:id="1323"/>
      <w:bookmarkEnd w:id="1324"/>
      <w:bookmarkEnd w:id="1325"/>
      <w:bookmarkEnd w:id="1326"/>
      <w:bookmarkEnd w:id="1327"/>
      <w:bookmarkEnd w:id="1328"/>
      <w:bookmarkEnd w:id="1329"/>
      <w:bookmarkEnd w:id="1330"/>
    </w:p>
    <w:p w14:paraId="57D44CCB">
      <w:pPr>
        <w:spacing w:line="400" w:lineRule="exact"/>
        <w:rPr>
          <w:color w:val="000000"/>
          <w:szCs w:val="21"/>
        </w:rPr>
      </w:pPr>
      <w:r>
        <w:rPr>
          <w:b/>
          <w:color w:val="000000"/>
          <w:szCs w:val="21"/>
        </w:rPr>
        <w:t>8.2.1</w:t>
      </w:r>
      <w:r>
        <w:rPr>
          <w:color w:val="000000"/>
          <w:szCs w:val="21"/>
        </w:rPr>
        <w:t xml:space="preserve"> </w:t>
      </w:r>
      <w:r>
        <w:rPr>
          <w:rFonts w:hint="eastAsia"/>
          <w:color w:val="000000"/>
          <w:szCs w:val="21"/>
        </w:rPr>
        <w:t xml:space="preserve"> </w:t>
      </w:r>
      <w:r>
        <w:rPr>
          <w:color w:val="000000"/>
          <w:szCs w:val="21"/>
        </w:rPr>
        <w:t>建筑长城杯评审时，变配电室已通电运行。为了保证检查人员的安全，对高压部分只抽查本标准规定的几项内容。</w:t>
      </w:r>
    </w:p>
    <w:p w14:paraId="67C3625A">
      <w:pPr>
        <w:spacing w:line="400" w:lineRule="exact"/>
        <w:rPr>
          <w:color w:val="000000"/>
          <w:szCs w:val="21"/>
        </w:rPr>
      </w:pPr>
      <w:r>
        <w:rPr>
          <w:b/>
          <w:color w:val="000000"/>
          <w:szCs w:val="21"/>
        </w:rPr>
        <w:t>8.2.2</w:t>
      </w:r>
      <w:r>
        <w:rPr>
          <w:color w:val="000000"/>
          <w:szCs w:val="21"/>
        </w:rPr>
        <w:t xml:space="preserve"> </w:t>
      </w:r>
      <w:r>
        <w:rPr>
          <w:rFonts w:hint="eastAsia"/>
          <w:color w:val="000000"/>
          <w:szCs w:val="21"/>
        </w:rPr>
        <w:t xml:space="preserve"> </w:t>
      </w:r>
      <w:r>
        <w:rPr>
          <w:color w:val="000000"/>
          <w:szCs w:val="21"/>
        </w:rPr>
        <w:t>规定了1 kV及</w:t>
      </w:r>
      <w:r>
        <w:rPr>
          <w:rFonts w:hint="eastAsia"/>
          <w:color w:val="000000"/>
          <w:szCs w:val="21"/>
        </w:rPr>
        <w:t>下列</w:t>
      </w:r>
      <w:r>
        <w:rPr>
          <w:color w:val="000000"/>
          <w:szCs w:val="21"/>
        </w:rPr>
        <w:t>低压配电装置的安装要求。建筑长城杯</w:t>
      </w:r>
      <w:r>
        <w:rPr>
          <w:rFonts w:hint="eastAsia"/>
          <w:color w:val="000000"/>
          <w:szCs w:val="21"/>
        </w:rPr>
        <w:t>评审</w:t>
      </w:r>
      <w:r>
        <w:rPr>
          <w:color w:val="000000"/>
          <w:szCs w:val="21"/>
        </w:rPr>
        <w:t xml:space="preserve">检查时，在屋面、配电室、电气竖井、建筑设备间应抽查电源箱、柜和控制箱、柜的安装情况，在房间和走道抽查照明配电箱的安装情况，抽查包括箱体外观质量，内部开关安装、接线、接地等多项内容。 </w:t>
      </w:r>
    </w:p>
    <w:p w14:paraId="5D1AEB2B">
      <w:pPr>
        <w:spacing w:line="400" w:lineRule="exact"/>
        <w:rPr>
          <w:color w:val="000000"/>
          <w:szCs w:val="21"/>
        </w:rPr>
      </w:pPr>
      <w:r>
        <w:rPr>
          <w:color w:val="000000"/>
          <w:szCs w:val="21"/>
        </w:rPr>
        <w:t xml:space="preserve">    </w:t>
      </w:r>
      <w:r>
        <w:rPr>
          <w:b/>
          <w:bCs/>
          <w:color w:val="000000"/>
          <w:szCs w:val="21"/>
        </w:rPr>
        <w:t>1</w:t>
      </w:r>
      <w:r>
        <w:rPr>
          <w:color w:val="000000"/>
          <w:szCs w:val="21"/>
        </w:rPr>
        <w:t xml:space="preserve">  确保供电系统正确</w:t>
      </w:r>
      <w:r>
        <w:rPr>
          <w:rFonts w:hint="eastAsia"/>
          <w:color w:val="000000"/>
          <w:szCs w:val="21"/>
        </w:rPr>
        <w:t>；</w:t>
      </w:r>
    </w:p>
    <w:p w14:paraId="4C6BEED2">
      <w:pPr>
        <w:spacing w:line="400" w:lineRule="exact"/>
        <w:ind w:firstLine="422" w:firstLineChars="200"/>
        <w:rPr>
          <w:color w:val="000000"/>
          <w:szCs w:val="21"/>
        </w:rPr>
      </w:pPr>
      <w:r>
        <w:rPr>
          <w:b/>
          <w:bCs/>
          <w:color w:val="000000"/>
          <w:szCs w:val="21"/>
        </w:rPr>
        <w:t xml:space="preserve">3 </w:t>
      </w:r>
      <w:r>
        <w:rPr>
          <w:color w:val="000000"/>
          <w:szCs w:val="21"/>
        </w:rPr>
        <w:t xml:space="preserve"> 应检查配电箱、柜的接地是否齐全，压接牢固可靠。跨门地线应采用软铜线，原因是门要经常开、闭，跨门地线有时会被挤断，当采用裸编织线时，为防止关门时发生不安全因素，故本条规定宜加套透明塑料管</w:t>
      </w:r>
      <w:r>
        <w:rPr>
          <w:rFonts w:hint="eastAsia"/>
          <w:color w:val="000000"/>
          <w:szCs w:val="21"/>
        </w:rPr>
        <w:t>；</w:t>
      </w:r>
      <w:r>
        <w:rPr>
          <w:color w:val="000000"/>
          <w:szCs w:val="21"/>
        </w:rPr>
        <w:t xml:space="preserve"> </w:t>
      </w:r>
    </w:p>
    <w:p w14:paraId="60975222">
      <w:pPr>
        <w:spacing w:line="400" w:lineRule="exact"/>
        <w:ind w:firstLine="422" w:firstLineChars="200"/>
        <w:rPr>
          <w:color w:val="000000"/>
          <w:szCs w:val="21"/>
        </w:rPr>
      </w:pPr>
      <w:r>
        <w:rPr>
          <w:b/>
          <w:bCs/>
          <w:color w:val="000000"/>
          <w:szCs w:val="21"/>
        </w:rPr>
        <w:t xml:space="preserve">8 </w:t>
      </w:r>
      <w:r>
        <w:rPr>
          <w:color w:val="000000"/>
          <w:szCs w:val="21"/>
        </w:rPr>
        <w:t xml:space="preserve"> 配电箱、柜内裸露导体距无孔可开闭金属门最小距离不小于100 mm是为了确保安全</w:t>
      </w:r>
      <w:r>
        <w:rPr>
          <w:rFonts w:hint="eastAsia"/>
          <w:color w:val="000000"/>
          <w:szCs w:val="21"/>
        </w:rPr>
        <w:t>；</w:t>
      </w:r>
    </w:p>
    <w:p w14:paraId="00A8F9D2">
      <w:pPr>
        <w:spacing w:line="400" w:lineRule="exact"/>
        <w:ind w:firstLine="422" w:firstLineChars="200"/>
        <w:rPr>
          <w:color w:val="000000"/>
          <w:szCs w:val="21"/>
        </w:rPr>
      </w:pPr>
      <w:r>
        <w:rPr>
          <w:b/>
          <w:bCs/>
          <w:color w:val="000000"/>
          <w:szCs w:val="21"/>
        </w:rPr>
        <w:t xml:space="preserve">11 </w:t>
      </w:r>
      <w:r>
        <w:rPr>
          <w:color w:val="000000"/>
          <w:szCs w:val="21"/>
        </w:rPr>
        <w:t xml:space="preserve"> 配电箱、柜安装垂直度不应大于1.5 ‰，相互间接缝不应大于2 mm，成列盘面偏差不应大于5 mm</w:t>
      </w:r>
      <w:r>
        <w:rPr>
          <w:rFonts w:hint="eastAsia"/>
          <w:color w:val="000000"/>
          <w:szCs w:val="21"/>
        </w:rPr>
        <w:t>；</w:t>
      </w:r>
    </w:p>
    <w:p w14:paraId="337507B5">
      <w:pPr>
        <w:spacing w:line="400" w:lineRule="exact"/>
        <w:ind w:firstLine="422" w:firstLineChars="200"/>
        <w:rPr>
          <w:color w:val="000000"/>
          <w:szCs w:val="21"/>
        </w:rPr>
      </w:pPr>
      <w:r>
        <w:rPr>
          <w:b/>
          <w:bCs/>
          <w:color w:val="000000"/>
          <w:szCs w:val="21"/>
        </w:rPr>
        <w:t xml:space="preserve">12 </w:t>
      </w:r>
      <w:r>
        <w:rPr>
          <w:color w:val="000000"/>
          <w:szCs w:val="21"/>
        </w:rPr>
        <w:t xml:space="preserve"> 配电箱、柜在运输和安装过程中，如不采取措施加强防护，面漆会受损，极易锈蚀，观感质量差，因此本标准规定箱、柜表面应无损伤，涂层应完整。</w:t>
      </w:r>
    </w:p>
    <w:p w14:paraId="23062C34">
      <w:pPr>
        <w:spacing w:line="400" w:lineRule="exact"/>
        <w:rPr>
          <w:color w:val="000000"/>
          <w:szCs w:val="21"/>
        </w:rPr>
      </w:pPr>
      <w:r>
        <w:rPr>
          <w:b/>
          <w:color w:val="000000"/>
          <w:szCs w:val="21"/>
        </w:rPr>
        <w:t>8.2.3</w:t>
      </w:r>
      <w:r>
        <w:rPr>
          <w:color w:val="000000"/>
          <w:szCs w:val="21"/>
        </w:rPr>
        <w:t xml:space="preserve">  本条主要是金属导管的安装质量要求，在建筑长城杯评审时，暗敷导管的安装主要通过抽查隐检记录，现场主要抽查明敷导管的安装质量。</w:t>
      </w:r>
    </w:p>
    <w:p w14:paraId="1A3C09AC">
      <w:pPr>
        <w:spacing w:line="400" w:lineRule="exact"/>
        <w:ind w:firstLine="422" w:firstLineChars="200"/>
        <w:rPr>
          <w:color w:val="000000"/>
          <w:szCs w:val="21"/>
        </w:rPr>
      </w:pPr>
      <w:r>
        <w:rPr>
          <w:b/>
          <w:bCs/>
          <w:color w:val="000000"/>
          <w:szCs w:val="21"/>
        </w:rPr>
        <w:t xml:space="preserve">1  </w:t>
      </w:r>
      <w:r>
        <w:rPr>
          <w:color w:val="000000"/>
          <w:szCs w:val="21"/>
        </w:rPr>
        <w:t>潮湿场所明配或埋地暗配的导管壁厚不应小于2.0 mm，干燥场所明配或埋地暗配的导管壁厚不应小于1.5 mm</w:t>
      </w:r>
      <w:r>
        <w:rPr>
          <w:rFonts w:hint="eastAsia"/>
          <w:color w:val="000000"/>
          <w:szCs w:val="21"/>
        </w:rPr>
        <w:t>；</w:t>
      </w:r>
    </w:p>
    <w:p w14:paraId="7AD5E5F6">
      <w:pPr>
        <w:spacing w:line="400" w:lineRule="exact"/>
        <w:ind w:firstLine="422" w:firstLineChars="200"/>
        <w:rPr>
          <w:color w:val="000000"/>
          <w:szCs w:val="21"/>
        </w:rPr>
      </w:pPr>
      <w:r>
        <w:rPr>
          <w:b/>
          <w:bCs/>
          <w:color w:val="000000"/>
          <w:szCs w:val="21"/>
        </w:rPr>
        <w:t xml:space="preserve">2~3  </w:t>
      </w:r>
      <w:r>
        <w:rPr>
          <w:color w:val="000000"/>
          <w:szCs w:val="21"/>
        </w:rPr>
        <w:t xml:space="preserve">金属导管连接和接地的质量要求。镀锌钢管应采用接地卡，接地卡的材质过薄、过小会造成接地不牢固、 </w:t>
      </w:r>
      <w:r>
        <w:rPr>
          <w:rFonts w:hint="eastAsia"/>
          <w:color w:val="000000" w:themeColor="text1"/>
          <w:szCs w:val="21"/>
          <w14:textFill>
            <w14:solidFill>
              <w14:schemeClr w14:val="tx1"/>
            </w14:solidFill>
          </w14:textFill>
        </w:rPr>
        <w:t>易</w:t>
      </w:r>
      <w:r>
        <w:rPr>
          <w:color w:val="000000"/>
          <w:szCs w:val="21"/>
        </w:rPr>
        <w:t>脱落等问题</w:t>
      </w:r>
      <w:r>
        <w:rPr>
          <w:rFonts w:hint="eastAsia"/>
          <w:color w:val="000000"/>
          <w:szCs w:val="21"/>
        </w:rPr>
        <w:t>；</w:t>
      </w:r>
    </w:p>
    <w:p w14:paraId="17B83C09">
      <w:pPr>
        <w:spacing w:line="400" w:lineRule="exact"/>
        <w:ind w:firstLine="422" w:firstLineChars="200"/>
        <w:rPr>
          <w:color w:val="000000"/>
          <w:szCs w:val="21"/>
        </w:rPr>
      </w:pPr>
      <w:r>
        <w:rPr>
          <w:b/>
          <w:bCs/>
          <w:color w:val="000000"/>
          <w:szCs w:val="21"/>
        </w:rPr>
        <w:t xml:space="preserve">5  </w:t>
      </w:r>
      <w:r>
        <w:rPr>
          <w:color w:val="000000"/>
          <w:szCs w:val="21"/>
        </w:rPr>
        <w:t>暗配管时，管的保护层厚度不应小于15 mm，消防配管不应小于30 mm</w:t>
      </w:r>
      <w:r>
        <w:rPr>
          <w:rFonts w:hint="eastAsia"/>
          <w:color w:val="000000"/>
          <w:szCs w:val="21"/>
        </w:rPr>
        <w:t>；</w:t>
      </w:r>
    </w:p>
    <w:p w14:paraId="64D05065">
      <w:pPr>
        <w:spacing w:line="400" w:lineRule="exact"/>
        <w:rPr>
          <w:color w:val="000000"/>
          <w:szCs w:val="21"/>
        </w:rPr>
      </w:pPr>
      <w:r>
        <w:rPr>
          <w:color w:val="000000"/>
          <w:szCs w:val="21"/>
        </w:rPr>
        <w:t xml:space="preserve"> </w:t>
      </w:r>
      <w:r>
        <w:rPr>
          <w:b/>
          <w:color w:val="000000"/>
          <w:szCs w:val="21"/>
        </w:rPr>
        <w:t xml:space="preserve">  </w:t>
      </w:r>
      <w:r>
        <w:rPr>
          <w:b/>
          <w:bCs/>
          <w:color w:val="000000"/>
          <w:szCs w:val="21"/>
        </w:rPr>
        <w:t xml:space="preserve"> 7  </w:t>
      </w:r>
      <w:r>
        <w:rPr>
          <w:color w:val="000000"/>
          <w:szCs w:val="21"/>
        </w:rPr>
        <w:t>明配金属管安装的观感质量要求较暗配管高，但施工中往往重视不够，有的平直度不符合要求，有的未使用明管配件，而是使用暗配管的配件和暗装盒，观感质量差，尤其弱电施工问题较多。此条针对这些问题，提出了明确要求。规范规定，明配管水平或垂直偏差均不应大于1.5 ‰，全长偏差应不大于10 mm</w:t>
      </w:r>
      <w:r>
        <w:rPr>
          <w:rFonts w:hint="eastAsia"/>
          <w:color w:val="000000"/>
          <w:szCs w:val="21"/>
        </w:rPr>
        <w:t>；</w:t>
      </w:r>
    </w:p>
    <w:p w14:paraId="0A9A096F">
      <w:pPr>
        <w:spacing w:line="400" w:lineRule="exact"/>
        <w:rPr>
          <w:color w:val="000000"/>
          <w:szCs w:val="21"/>
        </w:rPr>
      </w:pPr>
      <w:r>
        <w:rPr>
          <w:color w:val="000000"/>
          <w:szCs w:val="21"/>
        </w:rPr>
        <w:t xml:space="preserve">   </w:t>
      </w:r>
      <w:r>
        <w:rPr>
          <w:b/>
          <w:bCs/>
          <w:color w:val="000000"/>
          <w:szCs w:val="21"/>
        </w:rPr>
        <w:t xml:space="preserve"> 9</w:t>
      </w:r>
      <w:r>
        <w:rPr>
          <w:color w:val="000000"/>
          <w:szCs w:val="21"/>
        </w:rPr>
        <w:t xml:space="preserve">  配电柜底部有挡板时，管口应进入柜内与挡板固定，目的为了方便维修。可以采用可挠金属管过渡连接，但要做好过渡管的接地。</w:t>
      </w:r>
    </w:p>
    <w:p w14:paraId="43B47AC4">
      <w:pPr>
        <w:spacing w:line="400" w:lineRule="exact"/>
        <w:rPr>
          <w:color w:val="000000"/>
          <w:szCs w:val="21"/>
        </w:rPr>
      </w:pPr>
      <w:r>
        <w:rPr>
          <w:b/>
          <w:color w:val="000000"/>
          <w:szCs w:val="21"/>
        </w:rPr>
        <w:t>8.2.4</w:t>
      </w:r>
      <w:r>
        <w:rPr>
          <w:color w:val="000000"/>
          <w:szCs w:val="21"/>
        </w:rPr>
        <w:t xml:space="preserve">  规定了套接紧定式钢导管的使用环境和安装方法及其接地要求。</w:t>
      </w:r>
    </w:p>
    <w:p w14:paraId="5BA55108">
      <w:pPr>
        <w:spacing w:line="400" w:lineRule="exact"/>
        <w:rPr>
          <w:color w:val="000000"/>
          <w:szCs w:val="21"/>
        </w:rPr>
      </w:pPr>
      <w:r>
        <w:rPr>
          <w:b/>
          <w:color w:val="000000"/>
          <w:szCs w:val="21"/>
        </w:rPr>
        <w:t xml:space="preserve">8.2.5  </w:t>
      </w:r>
      <w:r>
        <w:rPr>
          <w:bCs/>
          <w:color w:val="000000"/>
          <w:szCs w:val="21"/>
        </w:rPr>
        <w:t>金属软</w:t>
      </w:r>
      <w:r>
        <w:rPr>
          <w:color w:val="000000"/>
          <w:szCs w:val="21"/>
        </w:rPr>
        <w:t>管和可挠金属管两端均应采用自固接头或软管接头，且两端应采用软铜线连接。金属软管不应退绞、松散、有中间接头，不应埋入地下、混凝土内和墙体内，可敷设在干燥场所，其长度不宜大于2 m 。金属软管和可挠金属软管应接地良好，并不得作为接地的接续导体。 金属软管适宜敷设在吊顶内作为连接器具的过渡导管，在室外和潮湿场所应使用质量耐久的防水型可挠金属软管。</w:t>
      </w:r>
    </w:p>
    <w:p w14:paraId="0FDFD991">
      <w:pPr>
        <w:suppressAutoHyphens w:val="0"/>
        <w:spacing w:line="400" w:lineRule="exact"/>
        <w:rPr>
          <w:color w:val="000000"/>
          <w:szCs w:val="21"/>
        </w:rPr>
      </w:pPr>
      <w:r>
        <w:rPr>
          <w:b/>
          <w:color w:val="000000"/>
          <w:szCs w:val="21"/>
        </w:rPr>
        <w:t xml:space="preserve">8.2.6  </w:t>
      </w:r>
      <w:r>
        <w:rPr>
          <w:color w:val="000000"/>
          <w:szCs w:val="21"/>
        </w:rPr>
        <w:t>金属槽盒和电缆桥架在建筑电气设备安装工程中普遍使用，其安装质量和厂家的加工质量、施工的安装质量均有关。金属槽盒和电缆桥架的质量策划应从加工订货开始。</w:t>
      </w:r>
    </w:p>
    <w:p w14:paraId="17201452">
      <w:pPr>
        <w:spacing w:line="400" w:lineRule="exact"/>
        <w:ind w:firstLine="422" w:firstLineChars="200"/>
        <w:rPr>
          <w:color w:val="000000"/>
          <w:szCs w:val="21"/>
        </w:rPr>
      </w:pPr>
      <w:r>
        <w:rPr>
          <w:b/>
          <w:bCs/>
          <w:color w:val="000000"/>
          <w:szCs w:val="21"/>
        </w:rPr>
        <w:t>1</w:t>
      </w:r>
      <w:r>
        <w:rPr>
          <w:color w:val="000000"/>
          <w:szCs w:val="21"/>
        </w:rPr>
        <w:t xml:space="preserve">  金属槽盒、电缆桥架直线长度大于30 m应加伸缩节</w:t>
      </w:r>
      <w:r>
        <w:rPr>
          <w:rFonts w:hint="eastAsia"/>
          <w:color w:val="000000"/>
          <w:szCs w:val="21"/>
        </w:rPr>
        <w:t>；</w:t>
      </w:r>
    </w:p>
    <w:p w14:paraId="178DD292">
      <w:pPr>
        <w:spacing w:line="400" w:lineRule="exact"/>
        <w:ind w:firstLine="422" w:firstLineChars="200"/>
        <w:rPr>
          <w:color w:val="000000"/>
          <w:szCs w:val="21"/>
        </w:rPr>
      </w:pPr>
      <w:r>
        <w:rPr>
          <w:b/>
          <w:bCs/>
          <w:color w:val="000000"/>
          <w:szCs w:val="21"/>
        </w:rPr>
        <w:t>2</w:t>
      </w:r>
      <w:r>
        <w:rPr>
          <w:color w:val="000000"/>
          <w:szCs w:val="21"/>
        </w:rPr>
        <w:t xml:space="preserve">  对金属槽盒、电缆桥架的加工质量要求</w:t>
      </w:r>
      <w:r>
        <w:rPr>
          <w:rFonts w:hint="eastAsia"/>
          <w:color w:val="000000"/>
          <w:szCs w:val="21"/>
        </w:rPr>
        <w:t>；</w:t>
      </w:r>
    </w:p>
    <w:p w14:paraId="5672EAAE">
      <w:pPr>
        <w:spacing w:line="400" w:lineRule="exact"/>
        <w:ind w:firstLine="422" w:firstLineChars="200"/>
        <w:rPr>
          <w:color w:val="000000"/>
          <w:szCs w:val="21"/>
        </w:rPr>
      </w:pPr>
      <w:r>
        <w:rPr>
          <w:b/>
          <w:bCs/>
          <w:color w:val="000000"/>
          <w:szCs w:val="21"/>
        </w:rPr>
        <w:t>4</w:t>
      </w:r>
      <w:r>
        <w:rPr>
          <w:color w:val="000000"/>
          <w:szCs w:val="21"/>
        </w:rPr>
        <w:t xml:space="preserve">  除在电气竖井和设备间外，金属槽盒、电缆桥架水平敷设距地高度不宜小于2.5 m，垂直敷设距地不宜小于1.8 m。电力电缆桥架多层敷设时，间距应不小于0.3 m</w:t>
      </w:r>
      <w:r>
        <w:rPr>
          <w:rFonts w:hint="eastAsia"/>
          <w:color w:val="000000"/>
          <w:szCs w:val="21"/>
        </w:rPr>
        <w:t>；</w:t>
      </w:r>
    </w:p>
    <w:p w14:paraId="5F276568">
      <w:pPr>
        <w:spacing w:line="400" w:lineRule="exact"/>
        <w:ind w:firstLine="422" w:firstLineChars="200"/>
        <w:rPr>
          <w:color w:val="000000"/>
          <w:szCs w:val="21"/>
        </w:rPr>
      </w:pPr>
      <w:r>
        <w:rPr>
          <w:b/>
          <w:bCs/>
          <w:color w:val="000000"/>
          <w:szCs w:val="21"/>
        </w:rPr>
        <w:t xml:space="preserve">7 </w:t>
      </w:r>
      <w:r>
        <w:rPr>
          <w:color w:val="000000"/>
          <w:szCs w:val="21"/>
        </w:rPr>
        <w:t xml:space="preserve"> 金属槽盒敷设时，宜在直线段不大于2 m处；槽盒接头处；拐弯处；槽盒首端、终端及距箱、柜500 mm 处，设支架或吊架，且每段线槽槽盒或桥架不少于一处</w:t>
      </w:r>
      <w:r>
        <w:rPr>
          <w:rFonts w:hint="eastAsia"/>
          <w:color w:val="000000"/>
          <w:szCs w:val="21"/>
        </w:rPr>
        <w:t>；</w:t>
      </w:r>
    </w:p>
    <w:p w14:paraId="38983FA8">
      <w:pPr>
        <w:spacing w:line="400" w:lineRule="exact"/>
        <w:ind w:firstLine="422" w:firstLineChars="200"/>
        <w:rPr>
          <w:color w:val="000000"/>
          <w:szCs w:val="21"/>
        </w:rPr>
      </w:pPr>
      <w:r>
        <w:rPr>
          <w:b/>
          <w:bCs/>
          <w:color w:val="000000"/>
          <w:szCs w:val="21"/>
        </w:rPr>
        <w:t>8</w:t>
      </w:r>
      <w:r>
        <w:rPr>
          <w:color w:val="000000"/>
          <w:szCs w:val="21"/>
        </w:rPr>
        <w:t xml:space="preserve">  金属槽盒、电缆桥架安装时，设计未设通长接地扁钢时，每一处支、吊架均应和线槽、桥架可靠连接。</w:t>
      </w:r>
    </w:p>
    <w:p w14:paraId="095822DA">
      <w:pPr>
        <w:spacing w:line="400" w:lineRule="exact"/>
        <w:rPr>
          <w:b/>
          <w:color w:val="000000"/>
          <w:szCs w:val="21"/>
        </w:rPr>
      </w:pPr>
      <w:r>
        <w:rPr>
          <w:rFonts w:eastAsia="黑体"/>
          <w:b/>
          <w:color w:val="000000"/>
          <w:szCs w:val="21"/>
        </w:rPr>
        <w:t>8.2.7</w:t>
      </w:r>
      <w:r>
        <w:rPr>
          <w:color w:val="000000"/>
          <w:szCs w:val="21"/>
        </w:rPr>
        <w:t xml:space="preserve">  封闭式照明母线的安装要求应符合现行国家标准《建筑电气照明装置施工与验收规范》GB50617的规定。</w:t>
      </w:r>
    </w:p>
    <w:p w14:paraId="5450A48C">
      <w:pPr>
        <w:spacing w:line="400" w:lineRule="exact"/>
        <w:rPr>
          <w:color w:val="000000"/>
          <w:szCs w:val="21"/>
        </w:rPr>
      </w:pPr>
      <w:r>
        <w:rPr>
          <w:b/>
          <w:color w:val="000000"/>
          <w:szCs w:val="21"/>
        </w:rPr>
        <w:t xml:space="preserve">8.2.9 </w:t>
      </w:r>
      <w:r>
        <w:rPr>
          <w:color w:val="000000"/>
          <w:szCs w:val="21"/>
        </w:rPr>
        <w:t xml:space="preserve"> 管内电线包括外护层在内的总截面积不应大于导管内截面面积的40%，且电线总数不宜多于8根。槽盒内包括外护层在内的电线总截面积不应大于槽盒内截面面积的20%，且电线总数不宜多于30根。控制和信号线在槽盒内敷设，包括外护层在内的总截面积不应大于槽盒内截面面积的50%，电线根数不限。</w:t>
      </w:r>
    </w:p>
    <w:p w14:paraId="3F3C6A95">
      <w:pPr>
        <w:spacing w:line="400" w:lineRule="exact"/>
        <w:rPr>
          <w:color w:val="000000"/>
          <w:szCs w:val="21"/>
        </w:rPr>
      </w:pPr>
      <w:r>
        <w:rPr>
          <w:b/>
          <w:color w:val="000000"/>
          <w:szCs w:val="21"/>
        </w:rPr>
        <w:t>8.2.11</w:t>
      </w:r>
      <w:r>
        <w:rPr>
          <w:color w:val="000000"/>
          <w:szCs w:val="21"/>
        </w:rPr>
        <w:t xml:space="preserve">  明确了矿物绝缘电缆的施工质量要求。如用封闭的金属卡箍固定单芯矿物绝缘电缆线，或单芯矿物绝缘电缆线穿过封闭的铁壳孔洞、铁质套管时，当电缆中有电流通过时，会在铁质保护套管和卡箍中产生涡流而发热，严重时会使电缆绝缘层损坏。工程实际中必须穿金属套管时，可将金属套管锯开。矿物绝缘电缆有铜质外护套，应采用铜线固定。当设计采用电缆铜质外护套作PE线时，PE线的截面应不小于电缆芯线截面的1/2。</w:t>
      </w:r>
    </w:p>
    <w:p w14:paraId="2CA6ED25">
      <w:pPr>
        <w:spacing w:line="400" w:lineRule="exact"/>
        <w:rPr>
          <w:color w:val="000000"/>
          <w:szCs w:val="21"/>
        </w:rPr>
      </w:pPr>
      <w:r>
        <w:rPr>
          <w:b/>
          <w:color w:val="000000"/>
          <w:szCs w:val="21"/>
        </w:rPr>
        <w:t>8.2.12</w:t>
      </w:r>
      <w:r>
        <w:rPr>
          <w:color w:val="000000"/>
          <w:szCs w:val="21"/>
        </w:rPr>
        <w:t xml:space="preserve">  预分支电缆在敷设时应在竖井顶部安装吊环，将电缆整体吊装牢固。</w:t>
      </w:r>
    </w:p>
    <w:p w14:paraId="28EE914A">
      <w:pPr>
        <w:spacing w:line="400" w:lineRule="exact"/>
        <w:rPr>
          <w:color w:val="000000"/>
          <w:szCs w:val="21"/>
        </w:rPr>
      </w:pPr>
      <w:r>
        <w:rPr>
          <w:b/>
          <w:color w:val="000000"/>
          <w:szCs w:val="21"/>
        </w:rPr>
        <w:t>8.2.13</w:t>
      </w:r>
      <w:r>
        <w:rPr>
          <w:color w:val="000000"/>
          <w:szCs w:val="21"/>
        </w:rPr>
        <w:t xml:space="preserve">  电气竖井内配电箱、柜前的操作距离应不小于0.8 m，达不到时可以借用竖井前的走道，但要注意竖井门的大小和位置必须满足操作要求。</w:t>
      </w:r>
    </w:p>
    <w:p w14:paraId="2E1A7185">
      <w:pPr>
        <w:spacing w:line="400" w:lineRule="exact"/>
        <w:rPr>
          <w:color w:val="000000"/>
          <w:szCs w:val="21"/>
        </w:rPr>
      </w:pPr>
      <w:r>
        <w:rPr>
          <w:b/>
          <w:color w:val="000000"/>
          <w:szCs w:val="21"/>
        </w:rPr>
        <w:t>8.2.18</w:t>
      </w:r>
      <w:r>
        <w:rPr>
          <w:color w:val="000000"/>
          <w:szCs w:val="21"/>
        </w:rPr>
        <w:t xml:space="preserve">  有隔音要求的机房墙面装有隔音材料时，明配管线或槽盒安装时应注意隔音材料的厚度，避免出现沿墙敷设时管或槽盒半明半暗，既影响了观感质量，又影响了墙体的隔音效果。</w:t>
      </w:r>
    </w:p>
    <w:p w14:paraId="026F6285">
      <w:pPr>
        <w:spacing w:line="400" w:lineRule="exact"/>
        <w:rPr>
          <w:color w:val="000000"/>
          <w:szCs w:val="21"/>
        </w:rPr>
      </w:pPr>
      <w:r>
        <w:rPr>
          <w:b/>
          <w:color w:val="000000"/>
          <w:szCs w:val="21"/>
        </w:rPr>
        <w:t>8.2.19</w:t>
      </w:r>
      <w:r>
        <w:rPr>
          <w:color w:val="000000"/>
          <w:szCs w:val="21"/>
        </w:rPr>
        <w:t xml:space="preserve">  不同功能的建筑物对应急照明电源的切换时间和正常电源断电后，应急电源持续通电时间有不同要求。应根据设计要求选用应急电源柜，应急电源柜的出厂合格证明中应有切换时间和应急照明时间等指标。</w:t>
      </w:r>
    </w:p>
    <w:p w14:paraId="493AAF98">
      <w:pPr>
        <w:spacing w:line="400" w:lineRule="exact"/>
        <w:rPr>
          <w:color w:val="000000"/>
          <w:szCs w:val="21"/>
        </w:rPr>
      </w:pPr>
      <w:r>
        <w:rPr>
          <w:b/>
          <w:color w:val="000000"/>
          <w:szCs w:val="21"/>
        </w:rPr>
        <w:t>8.2.20</w:t>
      </w:r>
      <w:r>
        <w:rPr>
          <w:color w:val="000000"/>
          <w:szCs w:val="21"/>
        </w:rPr>
        <w:t xml:space="preserve"> </w:t>
      </w:r>
      <w:r>
        <w:rPr>
          <w:rFonts w:hint="eastAsia"/>
          <w:color w:val="000000"/>
          <w:szCs w:val="21"/>
        </w:rPr>
        <w:t xml:space="preserve"> </w:t>
      </w:r>
      <w:r>
        <w:rPr>
          <w:color w:val="000000"/>
          <w:szCs w:val="21"/>
        </w:rPr>
        <w:t>建筑长城杯工程</w:t>
      </w:r>
      <w:r>
        <w:rPr>
          <w:rFonts w:hint="eastAsia"/>
          <w:color w:val="000000"/>
          <w:szCs w:val="21"/>
        </w:rPr>
        <w:t>评审</w:t>
      </w:r>
      <w:r>
        <w:rPr>
          <w:color w:val="000000"/>
          <w:szCs w:val="21"/>
        </w:rPr>
        <w:t>时，对柴油发电机的电气部分进行抽查，主要抽查控制柜的安装情况，中性点接地情况和柴油发电机的保护接地、防静电接地情况。柴油发电机的接地系统应符合设计要求。</w:t>
      </w:r>
    </w:p>
    <w:p w14:paraId="0C2BC22E">
      <w:pPr>
        <w:spacing w:line="400" w:lineRule="exact"/>
        <w:rPr>
          <w:color w:val="000000"/>
          <w:szCs w:val="21"/>
        </w:rPr>
      </w:pPr>
      <w:r>
        <w:rPr>
          <w:b/>
          <w:color w:val="000000"/>
          <w:szCs w:val="21"/>
        </w:rPr>
        <w:t>8.2.21</w:t>
      </w:r>
      <w:r>
        <w:rPr>
          <w:color w:val="000000"/>
          <w:szCs w:val="21"/>
        </w:rPr>
        <w:t xml:space="preserve"> 本条是建筑物防雷施工的要求，是建筑长城杯工程初评的重点检查内容。</w:t>
      </w:r>
    </w:p>
    <w:p w14:paraId="0F67BB17">
      <w:pPr>
        <w:spacing w:line="400" w:lineRule="exact"/>
        <w:ind w:firstLine="422" w:firstLineChars="200"/>
        <w:rPr>
          <w:color w:val="000000"/>
          <w:szCs w:val="21"/>
        </w:rPr>
      </w:pPr>
      <w:r>
        <w:rPr>
          <w:b/>
          <w:bCs/>
          <w:color w:val="000000"/>
          <w:szCs w:val="21"/>
        </w:rPr>
        <w:t>5</w:t>
      </w:r>
      <w:r>
        <w:rPr>
          <w:color w:val="000000"/>
          <w:szCs w:val="21"/>
        </w:rPr>
        <w:t xml:space="preserve">  当利用金属栏杆做接闪器时，金属栏杆的加工应按防雷接闪器的要求进行加工。用于栏杆的钢管壁厚不应小于2.5 mm，用于栏杆的不锈钢钢管壁厚不应小于2 mm</w:t>
      </w:r>
      <w:r>
        <w:rPr>
          <w:rFonts w:hint="eastAsia"/>
          <w:color w:val="000000"/>
          <w:szCs w:val="21"/>
        </w:rPr>
        <w:t>；</w:t>
      </w:r>
    </w:p>
    <w:p w14:paraId="53FAB3D2">
      <w:pPr>
        <w:spacing w:line="400" w:lineRule="exact"/>
        <w:ind w:firstLine="422" w:firstLineChars="200"/>
        <w:rPr>
          <w:color w:val="000000"/>
          <w:szCs w:val="21"/>
        </w:rPr>
      </w:pPr>
      <w:r>
        <w:rPr>
          <w:b/>
          <w:bCs/>
          <w:color w:val="000000"/>
          <w:szCs w:val="21"/>
        </w:rPr>
        <w:t>6</w:t>
      </w:r>
      <w:r>
        <w:rPr>
          <w:color w:val="000000"/>
          <w:szCs w:val="21"/>
        </w:rPr>
        <w:t xml:space="preserve">  除设计要求外，兼做引下线的承力钢结构构件、混凝土梁、柱内钢筋与钢筋的连接，应采用土建施工的绑扎法或螺栓扣的机械连接，严禁热加工连接</w:t>
      </w:r>
      <w:r>
        <w:rPr>
          <w:rFonts w:hint="eastAsia"/>
          <w:color w:val="000000"/>
          <w:szCs w:val="21"/>
        </w:rPr>
        <w:t>；</w:t>
      </w:r>
    </w:p>
    <w:p w14:paraId="33376C29">
      <w:pPr>
        <w:spacing w:line="400" w:lineRule="exact"/>
        <w:ind w:firstLine="316" w:firstLineChars="150"/>
        <w:rPr>
          <w:color w:val="000000"/>
          <w:szCs w:val="21"/>
        </w:rPr>
      </w:pPr>
      <w:r>
        <w:rPr>
          <w:b/>
          <w:bCs/>
          <w:color w:val="000000"/>
          <w:szCs w:val="21"/>
        </w:rPr>
        <w:t>13</w:t>
      </w:r>
      <w:r>
        <w:rPr>
          <w:color w:val="000000"/>
          <w:szCs w:val="21"/>
        </w:rPr>
        <w:t xml:space="preserve">  设计无具体要求时，二类防雷建筑超过45 m，三类防雷建筑超过60 m的幕墙金属龙骨，应至少在顶端、底端及设计有均压环的部位与防雷装置做等电位连接</w:t>
      </w:r>
      <w:r>
        <w:rPr>
          <w:rFonts w:hint="eastAsia"/>
          <w:color w:val="000000"/>
          <w:szCs w:val="21"/>
        </w:rPr>
        <w:t>；</w:t>
      </w:r>
    </w:p>
    <w:p w14:paraId="51ED0BC5">
      <w:pPr>
        <w:spacing w:line="400" w:lineRule="exact"/>
        <w:ind w:firstLine="316" w:firstLineChars="150"/>
        <w:rPr>
          <w:color w:val="000000"/>
          <w:szCs w:val="21"/>
        </w:rPr>
      </w:pPr>
      <w:r>
        <w:rPr>
          <w:b/>
          <w:bCs/>
          <w:color w:val="000000"/>
          <w:szCs w:val="21"/>
        </w:rPr>
        <w:t>14</w:t>
      </w:r>
      <w:r>
        <w:rPr>
          <w:color w:val="000000"/>
          <w:szCs w:val="21"/>
        </w:rPr>
        <w:t xml:space="preserve">  当建筑物设计有防雷设施时，建筑物面上的景观照明的电源金属配管应做接地保护并应与防雷装置可靠连接，景观照明的电源管应采用2 mm厚镀锌钢管，其保护接地需在电源柜处将钢管与柜内PE排用铜导线连接。</w:t>
      </w:r>
    </w:p>
    <w:p w14:paraId="36DB1AC0">
      <w:pPr>
        <w:spacing w:line="400" w:lineRule="exact"/>
        <w:rPr>
          <w:color w:val="000000"/>
          <w:szCs w:val="21"/>
        </w:rPr>
      </w:pPr>
      <w:r>
        <w:rPr>
          <w:b/>
          <w:color w:val="000000"/>
          <w:szCs w:val="21"/>
        </w:rPr>
        <w:t xml:space="preserve">8.2.22  </w:t>
      </w:r>
      <w:r>
        <w:rPr>
          <w:color w:val="000000"/>
          <w:szCs w:val="21"/>
        </w:rPr>
        <w:t>本条是建筑物接地施工的要求，是建筑长城杯工程初评的重点检查内容。</w:t>
      </w:r>
    </w:p>
    <w:p w14:paraId="255BCD47">
      <w:pPr>
        <w:spacing w:line="400" w:lineRule="exact"/>
        <w:rPr>
          <w:color w:val="000000"/>
          <w:szCs w:val="21"/>
        </w:rPr>
      </w:pPr>
      <w:r>
        <w:rPr>
          <w:b/>
          <w:color w:val="000000"/>
          <w:szCs w:val="21"/>
        </w:rPr>
        <w:t>8.2.23</w:t>
      </w:r>
      <w:r>
        <w:rPr>
          <w:color w:val="000000"/>
          <w:szCs w:val="21"/>
        </w:rPr>
        <w:t xml:space="preserve">  本条是建筑物等电位施工的要求，是建筑长城杯初评的重点检查内容。水泵等建筑设备电气装置应按设计要求做辅助等电位连接。辅助等电位连接线的截面应采用绝缘多股软铜线，截面按设备电源线的PE线的一半选择，最大不超过 25 mm </w:t>
      </w:r>
      <w:r>
        <w:rPr>
          <w:color w:val="000000"/>
          <w:szCs w:val="21"/>
          <w:vertAlign w:val="superscript"/>
        </w:rPr>
        <w:t>2</w:t>
      </w:r>
      <w:r>
        <w:rPr>
          <w:color w:val="000000"/>
          <w:szCs w:val="21"/>
        </w:rPr>
        <w:t xml:space="preserve">，最小不小于4 mm </w:t>
      </w:r>
      <w:r>
        <w:rPr>
          <w:color w:val="000000"/>
          <w:szCs w:val="21"/>
          <w:vertAlign w:val="superscript"/>
        </w:rPr>
        <w:t>2</w:t>
      </w:r>
      <w:r>
        <w:rPr>
          <w:color w:val="000000"/>
          <w:szCs w:val="21"/>
        </w:rPr>
        <w:t>。</w:t>
      </w:r>
    </w:p>
    <w:p w14:paraId="0069EF98">
      <w:pPr>
        <w:spacing w:line="400" w:lineRule="exact"/>
        <w:jc w:val="center"/>
        <w:rPr>
          <w:b/>
          <w:bCs/>
          <w:color w:val="000000"/>
          <w:szCs w:val="21"/>
          <w:lang w:val="zh-CN"/>
        </w:rPr>
      </w:pPr>
    </w:p>
    <w:p w14:paraId="32BFCD08">
      <w:pPr>
        <w:pStyle w:val="4"/>
        <w:keepNext/>
        <w:keepLines/>
        <w:autoSpaceDE/>
        <w:spacing w:before="20" w:after="20" w:line="400" w:lineRule="exact"/>
        <w:jc w:val="center"/>
        <w:rPr>
          <w:rFonts w:ascii="Times New Roman" w:hAnsi="Times New Roman" w:eastAsia="黑体"/>
          <w:bCs/>
          <w:sz w:val="24"/>
          <w:szCs w:val="24"/>
        </w:rPr>
      </w:pPr>
      <w:bookmarkStart w:id="1331" w:name="_Toc26108"/>
      <w:bookmarkStart w:id="1332" w:name="_Toc24472"/>
      <w:bookmarkStart w:id="1333" w:name="_Toc19782"/>
      <w:bookmarkStart w:id="1334" w:name="_Toc26207"/>
      <w:bookmarkStart w:id="1335" w:name="_Toc23608"/>
      <w:bookmarkStart w:id="1336" w:name="_Toc5159"/>
      <w:bookmarkStart w:id="1337" w:name="_Toc15758"/>
      <w:bookmarkStart w:id="1338" w:name="_Toc10315"/>
      <w:r>
        <w:rPr>
          <w:rFonts w:ascii="Times New Roman" w:hAnsi="Times New Roman" w:eastAsia="黑体"/>
          <w:b/>
          <w:sz w:val="24"/>
          <w:szCs w:val="24"/>
        </w:rPr>
        <w:t>8.3</w:t>
      </w:r>
      <w:r>
        <w:rPr>
          <w:rFonts w:ascii="Times New Roman" w:hAnsi="Times New Roman" w:eastAsia="黑体"/>
          <w:bCs/>
          <w:sz w:val="24"/>
          <w:szCs w:val="24"/>
        </w:rPr>
        <w:t xml:space="preserve"> </w:t>
      </w:r>
      <w:r>
        <w:rPr>
          <w:rFonts w:hint="eastAsia" w:ascii="Times New Roman" w:hAnsi="Times New Roman" w:eastAsia="黑体"/>
          <w:bCs/>
          <w:sz w:val="24"/>
          <w:szCs w:val="24"/>
          <w:lang w:val="en-US"/>
        </w:rPr>
        <w:t xml:space="preserve"> </w:t>
      </w:r>
      <w:r>
        <w:rPr>
          <w:rFonts w:ascii="Times New Roman" w:hAnsi="Times New Roman" w:eastAsia="黑体"/>
          <w:bCs/>
          <w:sz w:val="24"/>
          <w:szCs w:val="24"/>
        </w:rPr>
        <w:t>智能建筑工程</w:t>
      </w:r>
      <w:bookmarkEnd w:id="1331"/>
      <w:bookmarkEnd w:id="1332"/>
      <w:bookmarkEnd w:id="1333"/>
      <w:bookmarkEnd w:id="1334"/>
      <w:bookmarkEnd w:id="1335"/>
      <w:bookmarkEnd w:id="1336"/>
      <w:bookmarkEnd w:id="1337"/>
      <w:bookmarkEnd w:id="1338"/>
    </w:p>
    <w:p w14:paraId="585CB85E">
      <w:pPr>
        <w:spacing w:line="400" w:lineRule="exact"/>
        <w:rPr>
          <w:color w:val="000000"/>
          <w:szCs w:val="21"/>
        </w:rPr>
      </w:pPr>
      <w:r>
        <w:rPr>
          <w:b/>
          <w:color w:val="000000"/>
          <w:szCs w:val="21"/>
        </w:rPr>
        <w:t xml:space="preserve">8.3.1 </w:t>
      </w:r>
      <w:r>
        <w:rPr>
          <w:color w:val="000000"/>
          <w:szCs w:val="21"/>
        </w:rPr>
        <w:t xml:space="preserve"> 本条是智能建筑各子分部工程均应符合的质量标准。智能建筑分部工程包括通</w:t>
      </w:r>
      <w:r>
        <w:rPr>
          <w:rFonts w:hint="eastAsia"/>
          <w:color w:val="000000"/>
          <w:szCs w:val="21"/>
        </w:rPr>
        <w:t>信</w:t>
      </w:r>
      <w:r>
        <w:rPr>
          <w:color w:val="000000"/>
          <w:szCs w:val="21"/>
        </w:rPr>
        <w:t>网络系统、信息网络系统、建筑设备监控系统、火灾自动报警及消防联动系统、安全防范系统、综合布线系统、智能化系统集成、电源与接地、环境和住宅（小区）智能化等子分部工程。</w:t>
      </w:r>
    </w:p>
    <w:p w14:paraId="256A62EC">
      <w:pPr>
        <w:spacing w:line="400" w:lineRule="exact"/>
        <w:ind w:firstLine="316" w:firstLineChars="150"/>
        <w:rPr>
          <w:color w:val="000000"/>
          <w:szCs w:val="21"/>
        </w:rPr>
      </w:pPr>
      <w:r>
        <w:rPr>
          <w:b/>
          <w:bCs/>
          <w:color w:val="000000"/>
          <w:szCs w:val="21"/>
        </w:rPr>
        <w:t xml:space="preserve">1 </w:t>
      </w:r>
      <w:r>
        <w:rPr>
          <w:color w:val="000000"/>
          <w:szCs w:val="21"/>
        </w:rPr>
        <w:t xml:space="preserve"> 智能建筑各子分部工程需做专业深化设计时，必须由具备资质的单位设计，涉及原设计参数时应由原设计单位审核。深化设计图是工程施工图的一部分，必须存档</w:t>
      </w:r>
      <w:r>
        <w:rPr>
          <w:rFonts w:hint="eastAsia"/>
          <w:color w:val="000000"/>
          <w:szCs w:val="21"/>
        </w:rPr>
        <w:t>；</w:t>
      </w:r>
    </w:p>
    <w:p w14:paraId="52FADA43">
      <w:pPr>
        <w:spacing w:line="400" w:lineRule="exact"/>
        <w:rPr>
          <w:color w:val="000000"/>
          <w:szCs w:val="21"/>
        </w:rPr>
      </w:pPr>
      <w:r>
        <w:rPr>
          <w:color w:val="000000"/>
          <w:szCs w:val="21"/>
        </w:rPr>
        <w:t xml:space="preserve">  </w:t>
      </w:r>
      <w:r>
        <w:rPr>
          <w:b/>
          <w:bCs/>
          <w:color w:val="000000"/>
          <w:szCs w:val="21"/>
        </w:rPr>
        <w:t xml:space="preserve"> 2</w:t>
      </w:r>
      <w:r>
        <w:rPr>
          <w:color w:val="000000"/>
          <w:szCs w:val="21"/>
        </w:rPr>
        <w:t xml:space="preserve">  智能建筑的各系统电源箱柜、控制箱柜的安装、管路敷设、槽盒敷设和建筑电气的质量要求是一致的</w:t>
      </w:r>
      <w:r>
        <w:rPr>
          <w:rFonts w:hint="eastAsia"/>
          <w:color w:val="000000"/>
          <w:szCs w:val="21"/>
        </w:rPr>
        <w:t>；</w:t>
      </w:r>
      <w:bookmarkStart w:id="1399" w:name="_GoBack"/>
      <w:bookmarkEnd w:id="1399"/>
    </w:p>
    <w:p w14:paraId="2BC03CB3">
      <w:pPr>
        <w:spacing w:line="400" w:lineRule="exact"/>
        <w:ind w:firstLine="316" w:firstLineChars="150"/>
        <w:rPr>
          <w:color w:val="000000"/>
          <w:szCs w:val="21"/>
        </w:rPr>
      </w:pPr>
      <w:r>
        <w:rPr>
          <w:b/>
          <w:bCs/>
          <w:color w:val="000000"/>
          <w:szCs w:val="21"/>
        </w:rPr>
        <w:t xml:space="preserve">3  </w:t>
      </w:r>
      <w:r>
        <w:rPr>
          <w:color w:val="000000"/>
          <w:szCs w:val="21"/>
        </w:rPr>
        <w:t>为了便于维修和管理，强、弱电槽盒均应在其表面做上标识</w:t>
      </w:r>
      <w:r>
        <w:rPr>
          <w:rFonts w:hint="eastAsia"/>
          <w:color w:val="000000"/>
          <w:szCs w:val="21"/>
        </w:rPr>
        <w:t>；</w:t>
      </w:r>
    </w:p>
    <w:p w14:paraId="23748861">
      <w:pPr>
        <w:spacing w:line="400" w:lineRule="exact"/>
        <w:ind w:firstLine="316" w:firstLineChars="150"/>
        <w:rPr>
          <w:color w:val="000000"/>
          <w:szCs w:val="21"/>
        </w:rPr>
      </w:pPr>
      <w:r>
        <w:rPr>
          <w:b/>
          <w:bCs/>
          <w:color w:val="000000"/>
          <w:szCs w:val="21"/>
        </w:rPr>
        <w:t xml:space="preserve">4  </w:t>
      </w:r>
      <w:r>
        <w:rPr>
          <w:color w:val="000000"/>
          <w:szCs w:val="21"/>
        </w:rPr>
        <w:t>为满足抗震要求，所有配电柜、控制柜，弱电配线柜，均应设基础，柜体应与基础固定牢固</w:t>
      </w:r>
      <w:r>
        <w:rPr>
          <w:rFonts w:hint="eastAsia"/>
          <w:color w:val="000000"/>
          <w:szCs w:val="21"/>
        </w:rPr>
        <w:t>；</w:t>
      </w:r>
    </w:p>
    <w:p w14:paraId="450310DD">
      <w:pPr>
        <w:spacing w:line="400" w:lineRule="exact"/>
        <w:ind w:firstLine="316" w:firstLineChars="150"/>
        <w:rPr>
          <w:color w:val="000000"/>
          <w:szCs w:val="21"/>
        </w:rPr>
      </w:pPr>
      <w:r>
        <w:rPr>
          <w:b/>
          <w:bCs/>
          <w:color w:val="000000"/>
          <w:szCs w:val="21"/>
        </w:rPr>
        <w:t xml:space="preserve">10  </w:t>
      </w:r>
      <w:r>
        <w:rPr>
          <w:color w:val="000000"/>
          <w:szCs w:val="21"/>
        </w:rPr>
        <w:t>为了方便维修，线缆两端应有标识</w:t>
      </w:r>
      <w:r>
        <w:rPr>
          <w:rFonts w:hint="eastAsia"/>
          <w:color w:val="000000"/>
          <w:szCs w:val="21"/>
        </w:rPr>
        <w:t>；</w:t>
      </w:r>
    </w:p>
    <w:p w14:paraId="1D59D95B">
      <w:pPr>
        <w:spacing w:line="400" w:lineRule="exact"/>
        <w:ind w:firstLine="316" w:firstLineChars="150"/>
        <w:rPr>
          <w:color w:val="000000"/>
          <w:szCs w:val="21"/>
        </w:rPr>
      </w:pPr>
      <w:r>
        <w:rPr>
          <w:b/>
          <w:bCs/>
          <w:color w:val="000000"/>
          <w:szCs w:val="21"/>
        </w:rPr>
        <w:t xml:space="preserve">11  </w:t>
      </w:r>
      <w:r>
        <w:rPr>
          <w:color w:val="000000"/>
          <w:szCs w:val="21"/>
        </w:rPr>
        <w:t>屏蔽电缆屏蔽层的两端应保持完好的导通性并可靠接地，这样屏蔽电缆的屏蔽层才能起到屏蔽作用。如果采用了屏蔽电缆却没有将屏蔽层接地，屏蔽电缆将失去屏蔽作用。</w:t>
      </w:r>
    </w:p>
    <w:p w14:paraId="6D69837A">
      <w:pPr>
        <w:spacing w:line="400" w:lineRule="exact"/>
        <w:rPr>
          <w:color w:val="000000"/>
          <w:szCs w:val="21"/>
        </w:rPr>
      </w:pPr>
      <w:r>
        <w:rPr>
          <w:b/>
          <w:color w:val="000000"/>
          <w:szCs w:val="21"/>
        </w:rPr>
        <w:t>8.3.2</w:t>
      </w:r>
      <w:r>
        <w:rPr>
          <w:color w:val="000000"/>
          <w:szCs w:val="21"/>
        </w:rPr>
        <w:t xml:space="preserve">  本条是消防火灾自动报警及消防联动工程的要求，是建筑长城杯工程初评的重点检查内容。</w:t>
      </w:r>
    </w:p>
    <w:p w14:paraId="44E55F0B">
      <w:pPr>
        <w:spacing w:line="400" w:lineRule="exact"/>
        <w:ind w:firstLine="422" w:firstLineChars="200"/>
        <w:rPr>
          <w:color w:val="000000"/>
          <w:szCs w:val="21"/>
        </w:rPr>
      </w:pPr>
      <w:r>
        <w:rPr>
          <w:b/>
          <w:bCs/>
          <w:color w:val="000000"/>
          <w:szCs w:val="21"/>
        </w:rPr>
        <w:t>3</w:t>
      </w:r>
      <w:r>
        <w:rPr>
          <w:color w:val="000000"/>
          <w:szCs w:val="21"/>
        </w:rPr>
        <w:t xml:space="preserve">  消防用电设备的配电线路应满足火灾时连续供电的需要，暗敷时，应穿金属管敷设在不燃烧体结构内，保护层厚度不应小于30 mm；明敷时或敷设在吊顶内，应穿金属管或封闭式金属槽盒，并应采取防火保护措施。明配管直接贴墙安装时，管壁靠墙的一面刷不到防火涂料，影响了防火性能，因此明配管不宜直接贴墙安装</w:t>
      </w:r>
      <w:r>
        <w:rPr>
          <w:rFonts w:hint="eastAsia"/>
          <w:color w:val="000000"/>
          <w:szCs w:val="21"/>
        </w:rPr>
        <w:t>；</w:t>
      </w:r>
    </w:p>
    <w:p w14:paraId="2644E240">
      <w:pPr>
        <w:spacing w:line="400" w:lineRule="exact"/>
        <w:ind w:firstLine="422" w:firstLineChars="200"/>
        <w:rPr>
          <w:color w:val="000000"/>
          <w:szCs w:val="21"/>
        </w:rPr>
      </w:pPr>
      <w:r>
        <w:rPr>
          <w:b/>
          <w:bCs/>
          <w:color w:val="000000"/>
          <w:szCs w:val="21"/>
        </w:rPr>
        <w:t>4</w:t>
      </w:r>
      <w:r>
        <w:rPr>
          <w:color w:val="000000"/>
          <w:szCs w:val="21"/>
        </w:rPr>
        <w:t xml:space="preserve">  消防用电设备应采用专用的供电回路，当生产、生活用电被切断时，应仍能保证消防用电，其配电设备应有明显“消防”标识。</w:t>
      </w:r>
    </w:p>
    <w:p w14:paraId="7D5CECF3">
      <w:pPr>
        <w:spacing w:line="400" w:lineRule="exact"/>
        <w:rPr>
          <w:b/>
          <w:bCs/>
          <w:color w:val="000000"/>
          <w:szCs w:val="21"/>
        </w:rPr>
      </w:pPr>
      <w:r>
        <w:rPr>
          <w:b/>
          <w:color w:val="000000"/>
          <w:szCs w:val="21"/>
        </w:rPr>
        <w:t xml:space="preserve">8.3.3  </w:t>
      </w:r>
      <w:r>
        <w:rPr>
          <w:color w:val="000000"/>
          <w:szCs w:val="21"/>
        </w:rPr>
        <w:t>本条是火灾应急照明及消防安全疏散标志的安装质量要求。</w:t>
      </w:r>
    </w:p>
    <w:p w14:paraId="12A6F2AF">
      <w:pPr>
        <w:spacing w:line="400" w:lineRule="exact"/>
        <w:ind w:firstLine="422" w:firstLineChars="200"/>
        <w:rPr>
          <w:color w:val="000000"/>
          <w:szCs w:val="21"/>
        </w:rPr>
      </w:pPr>
      <w:r>
        <w:rPr>
          <w:b/>
          <w:bCs/>
          <w:color w:val="000000"/>
          <w:szCs w:val="21"/>
        </w:rPr>
        <w:t xml:space="preserve">6  </w:t>
      </w:r>
      <w:r>
        <w:rPr>
          <w:color w:val="000000"/>
          <w:szCs w:val="21"/>
        </w:rPr>
        <w:t>消防安全疏散标志在发生火灾时起着疏散人员的重要作用，采用钢管吊装可在管上刷防火漆或防火涂料，采用吊链不易做防火处理。消防安全疏散灯的供电方式，一种是自带蓄电池，另一种是采用应急电源柜。当采用应急电源柜供电时，一旦发生火灾，疏散灯的供电线路需在规定的时间内保证供电，供电线路应穿入做防火处理的金属导管中。</w:t>
      </w:r>
    </w:p>
    <w:p w14:paraId="2BB9E6FE">
      <w:pPr>
        <w:spacing w:line="400" w:lineRule="exact"/>
        <w:rPr>
          <w:b/>
          <w:color w:val="000000"/>
          <w:szCs w:val="21"/>
        </w:rPr>
      </w:pPr>
      <w:r>
        <w:rPr>
          <w:b/>
          <w:color w:val="000000"/>
          <w:szCs w:val="21"/>
        </w:rPr>
        <w:t xml:space="preserve">                    </w:t>
      </w:r>
    </w:p>
    <w:p w14:paraId="4A4D7123">
      <w:pPr>
        <w:pStyle w:val="4"/>
        <w:keepNext/>
        <w:keepLines/>
        <w:autoSpaceDE/>
        <w:spacing w:before="20" w:after="20" w:line="400" w:lineRule="exact"/>
        <w:jc w:val="center"/>
        <w:rPr>
          <w:rFonts w:ascii="Times New Roman" w:hAnsi="Times New Roman" w:eastAsia="黑体"/>
          <w:bCs/>
          <w:sz w:val="24"/>
          <w:szCs w:val="24"/>
          <w:lang w:val="en-US"/>
        </w:rPr>
      </w:pPr>
      <w:r>
        <w:rPr>
          <w:rFonts w:ascii="Times New Roman" w:hAnsi="Times New Roman" w:eastAsia="黑体"/>
          <w:bCs/>
          <w:sz w:val="24"/>
          <w:szCs w:val="24"/>
          <w:lang w:val="en-US"/>
        </w:rPr>
        <w:t xml:space="preserve"> </w:t>
      </w:r>
      <w:bookmarkStart w:id="1339" w:name="_Toc25321"/>
      <w:bookmarkStart w:id="1340" w:name="_Toc12211"/>
      <w:bookmarkStart w:id="1341" w:name="_Toc23093"/>
      <w:bookmarkStart w:id="1342" w:name="_Toc17340"/>
      <w:bookmarkStart w:id="1343" w:name="_Toc6520"/>
      <w:bookmarkStart w:id="1344" w:name="_Toc2955"/>
      <w:bookmarkStart w:id="1345" w:name="_Toc32453"/>
      <w:bookmarkStart w:id="1346" w:name="_Toc31285"/>
      <w:r>
        <w:rPr>
          <w:rFonts w:ascii="Times New Roman" w:hAnsi="Times New Roman" w:eastAsia="黑体"/>
          <w:b/>
          <w:sz w:val="24"/>
          <w:szCs w:val="24"/>
          <w:lang w:val="en-US"/>
        </w:rPr>
        <w:t>8.4</w:t>
      </w:r>
      <w:r>
        <w:rPr>
          <w:rFonts w:ascii="Times New Roman" w:hAnsi="Times New Roman" w:eastAsia="黑体"/>
          <w:bCs/>
          <w:sz w:val="24"/>
          <w:szCs w:val="24"/>
          <w:lang w:val="en-US"/>
        </w:rPr>
        <w:t xml:space="preserve">  电梯安装工程</w:t>
      </w:r>
      <w:bookmarkEnd w:id="1339"/>
      <w:bookmarkEnd w:id="1340"/>
      <w:bookmarkEnd w:id="1341"/>
      <w:bookmarkEnd w:id="1342"/>
      <w:bookmarkEnd w:id="1343"/>
      <w:bookmarkEnd w:id="1344"/>
      <w:bookmarkEnd w:id="1345"/>
      <w:bookmarkEnd w:id="1346"/>
    </w:p>
    <w:p w14:paraId="2C172A8C">
      <w:pPr>
        <w:spacing w:line="400" w:lineRule="exact"/>
        <w:ind w:firstLine="420" w:firstLineChars="200"/>
        <w:rPr>
          <w:color w:val="000000"/>
          <w:szCs w:val="21"/>
          <w:lang w:val="zh-CN"/>
        </w:rPr>
      </w:pPr>
      <w:r>
        <w:rPr>
          <w:color w:val="000000"/>
          <w:szCs w:val="21"/>
          <w:lang w:val="zh-CN"/>
        </w:rPr>
        <w:t>电梯的安装、管理、维修人员均需持证上岗。电梯安装有机械和电气两个工种。建筑长城杯初评检查时只对电气安装部分进行抽查，主要检查电梯机房电源柜的安装、槽盒敷设、接地和等电位的安装情况等本章规定的内容。</w:t>
      </w:r>
    </w:p>
    <w:p w14:paraId="0D00121E">
      <w:pPr>
        <w:spacing w:line="400" w:lineRule="exact"/>
        <w:ind w:firstLine="93" w:firstLineChars="44"/>
        <w:rPr>
          <w:color w:val="000000"/>
          <w:szCs w:val="21"/>
        </w:rPr>
      </w:pPr>
      <w:r>
        <w:rPr>
          <w:b/>
          <w:color w:val="000000"/>
          <w:szCs w:val="21"/>
        </w:rPr>
        <w:t xml:space="preserve">8.4.1  </w:t>
      </w:r>
      <w:r>
        <w:rPr>
          <w:bCs/>
          <w:color w:val="000000"/>
          <w:szCs w:val="21"/>
        </w:rPr>
        <w:t>建筑长城杯检查时，</w:t>
      </w:r>
      <w:r>
        <w:rPr>
          <w:color w:val="000000"/>
          <w:szCs w:val="21"/>
          <w:lang w:val="zh-CN"/>
        </w:rPr>
        <w:t>要求电梯已按规定检验合格。如因工程实际情况需要，电梯轿箱内部的成品保护措施还未拆除，检验合格标志应复印后</w:t>
      </w:r>
      <w:r>
        <w:rPr>
          <w:color w:val="000000"/>
          <w:szCs w:val="21"/>
        </w:rPr>
        <w:t>置于电梯的显著位置。</w:t>
      </w:r>
    </w:p>
    <w:p w14:paraId="5C62AD6E">
      <w:pPr>
        <w:spacing w:line="520" w:lineRule="exact"/>
        <w:ind w:right="-99" w:rightChars="-47"/>
        <w:rPr>
          <w:b/>
          <w:bCs/>
          <w:color w:val="000000"/>
          <w:sz w:val="30"/>
          <w:szCs w:val="30"/>
        </w:rPr>
      </w:pPr>
    </w:p>
    <w:p w14:paraId="717035E1">
      <w:pPr>
        <w:pStyle w:val="3"/>
        <w:rPr>
          <w:rFonts w:ascii="Times New Roman" w:hAnsi="Times New Roman" w:eastAsia="黑体"/>
          <w:sz w:val="28"/>
          <w:szCs w:val="28"/>
        </w:rPr>
      </w:pPr>
      <w:bookmarkStart w:id="1347" w:name="_Toc10701"/>
      <w:bookmarkStart w:id="1348" w:name="_Toc1810"/>
      <w:bookmarkStart w:id="1349" w:name="_Toc2621"/>
      <w:bookmarkStart w:id="1350" w:name="_Toc24745"/>
      <w:bookmarkStart w:id="1351" w:name="_Toc1372"/>
      <w:bookmarkStart w:id="1352" w:name="_Toc14869"/>
      <w:bookmarkStart w:id="1353" w:name="_Toc24014"/>
      <w:bookmarkStart w:id="1354" w:name="_Toc630"/>
      <w:r>
        <w:rPr>
          <w:rFonts w:ascii="Times New Roman" w:hAnsi="Times New Roman" w:eastAsia="黑体"/>
          <w:b/>
          <w:bCs/>
          <w:sz w:val="28"/>
          <w:szCs w:val="28"/>
        </w:rPr>
        <w:t>9</w:t>
      </w:r>
      <w:r>
        <w:rPr>
          <w:rFonts w:ascii="Times New Roman" w:hAnsi="Times New Roman" w:eastAsia="黑体"/>
          <w:sz w:val="28"/>
          <w:szCs w:val="28"/>
        </w:rPr>
        <w:t xml:space="preserve">  建筑设备安装工程</w:t>
      </w:r>
      <w:bookmarkEnd w:id="1347"/>
      <w:bookmarkEnd w:id="1348"/>
      <w:bookmarkEnd w:id="1349"/>
      <w:bookmarkEnd w:id="1350"/>
      <w:bookmarkEnd w:id="1351"/>
      <w:bookmarkEnd w:id="1352"/>
      <w:bookmarkEnd w:id="1353"/>
      <w:bookmarkEnd w:id="1354"/>
    </w:p>
    <w:p w14:paraId="7BF4577F">
      <w:pPr>
        <w:pStyle w:val="4"/>
        <w:keepNext/>
        <w:keepLines/>
        <w:autoSpaceDE/>
        <w:spacing w:before="20" w:after="20" w:line="400" w:lineRule="exact"/>
        <w:jc w:val="center"/>
        <w:rPr>
          <w:rFonts w:ascii="Times New Roman" w:hAnsi="Times New Roman" w:eastAsia="黑体"/>
          <w:bCs/>
          <w:sz w:val="24"/>
          <w:szCs w:val="24"/>
          <w:lang w:val="en-US"/>
        </w:rPr>
      </w:pPr>
      <w:bookmarkStart w:id="1355" w:name="_Toc24560"/>
      <w:bookmarkStart w:id="1356" w:name="_Toc18315"/>
      <w:bookmarkStart w:id="1357" w:name="_Toc22088"/>
      <w:bookmarkStart w:id="1358" w:name="_Toc26924"/>
      <w:bookmarkStart w:id="1359" w:name="_Toc3008"/>
      <w:bookmarkStart w:id="1360" w:name="_Toc23092"/>
      <w:bookmarkStart w:id="1361" w:name="_Toc15360"/>
      <w:bookmarkStart w:id="1362" w:name="_Toc26782"/>
      <w:r>
        <w:rPr>
          <w:rFonts w:ascii="Times New Roman" w:hAnsi="Times New Roman" w:eastAsia="黑体"/>
          <w:b/>
          <w:sz w:val="24"/>
          <w:szCs w:val="24"/>
          <w:lang w:val="en-US"/>
        </w:rPr>
        <w:t>9.1</w:t>
      </w:r>
      <w:r>
        <w:rPr>
          <w:rFonts w:hint="eastAsia" w:ascii="Times New Roman" w:hAnsi="Times New Roman" w:eastAsia="黑体"/>
          <w:bCs/>
          <w:sz w:val="24"/>
          <w:szCs w:val="24"/>
          <w:lang w:val="en-US"/>
        </w:rPr>
        <w:t xml:space="preserve">  </w:t>
      </w:r>
      <w:r>
        <w:rPr>
          <w:rFonts w:ascii="Times New Roman" w:hAnsi="Times New Roman" w:eastAsia="黑体"/>
          <w:bCs/>
          <w:sz w:val="24"/>
          <w:szCs w:val="24"/>
          <w:lang w:val="en-US"/>
        </w:rPr>
        <w:t>一般规定</w:t>
      </w:r>
      <w:bookmarkEnd w:id="1355"/>
      <w:bookmarkEnd w:id="1356"/>
      <w:bookmarkEnd w:id="1357"/>
      <w:bookmarkEnd w:id="1358"/>
      <w:bookmarkEnd w:id="1359"/>
      <w:bookmarkEnd w:id="1360"/>
      <w:bookmarkEnd w:id="1361"/>
      <w:bookmarkEnd w:id="1362"/>
    </w:p>
    <w:p w14:paraId="47AF60A2">
      <w:pPr>
        <w:spacing w:line="400" w:lineRule="exact"/>
        <w:ind w:firstLine="420" w:firstLineChars="200"/>
        <w:rPr>
          <w:color w:val="000000"/>
          <w:szCs w:val="21"/>
        </w:rPr>
      </w:pPr>
      <w:r>
        <w:rPr>
          <w:color w:val="000000"/>
          <w:szCs w:val="21"/>
        </w:rPr>
        <w:t>本标准将设备安装工程各专业系统中的共性问题汇总在一般规定中，避免相同内容在分专业质量评审标准中重复过多，所以一般规定中的条文适用于建筑设备安装工程各专业系统。</w:t>
      </w:r>
    </w:p>
    <w:p w14:paraId="2AEFC801">
      <w:pPr>
        <w:spacing w:line="400" w:lineRule="exact"/>
        <w:ind w:hanging="2"/>
        <w:rPr>
          <w:color w:val="000000"/>
          <w:szCs w:val="21"/>
        </w:rPr>
      </w:pPr>
      <w:r>
        <w:rPr>
          <w:b/>
          <w:color w:val="000000"/>
          <w:szCs w:val="21"/>
        </w:rPr>
        <w:t xml:space="preserve">9.1.1 </w:t>
      </w:r>
      <w:r>
        <w:rPr>
          <w:color w:val="000000"/>
          <w:szCs w:val="21"/>
        </w:rPr>
        <w:t xml:space="preserve"> 明确了建筑设备安装工程的质量评审范围。生产性质的工艺设备、管道，不属于建筑长城杯评审范围，如医院的氧气管、吸引管及厂房的工艺、化工管道等。</w:t>
      </w:r>
    </w:p>
    <w:p w14:paraId="3CFD206E">
      <w:pPr>
        <w:spacing w:line="400" w:lineRule="exact"/>
        <w:rPr>
          <w:color w:val="000000"/>
          <w:szCs w:val="21"/>
        </w:rPr>
      </w:pPr>
      <w:r>
        <w:rPr>
          <w:b/>
          <w:color w:val="000000"/>
          <w:szCs w:val="21"/>
        </w:rPr>
        <w:t xml:space="preserve">9.1.2  </w:t>
      </w:r>
      <w:r>
        <w:rPr>
          <w:color w:val="000000"/>
          <w:szCs w:val="21"/>
        </w:rPr>
        <w:t>设备安装工程涉及的专业系统多，分包单位多，且进场作业时间不一，故总包单位应组织各分包单位专业负责人统一进行各专业管道综合排列的深化设计，以避免各专业管道之间位置相互矛盾，影响安装质量。</w:t>
      </w:r>
    </w:p>
    <w:p w14:paraId="63A7C5EB">
      <w:pPr>
        <w:spacing w:line="400" w:lineRule="exact"/>
        <w:rPr>
          <w:color w:val="000000"/>
          <w:szCs w:val="21"/>
        </w:rPr>
      </w:pPr>
      <w:r>
        <w:rPr>
          <w:b/>
          <w:color w:val="000000"/>
          <w:szCs w:val="21"/>
        </w:rPr>
        <w:t>9.1.3</w:t>
      </w:r>
      <w:r>
        <w:rPr>
          <w:color w:val="000000"/>
          <w:szCs w:val="21"/>
        </w:rPr>
        <w:t xml:space="preserve">  管道支、吊架在目前的设计施工图中一般不标注位置和做法要求。支架图均在国家和地方的标准设计图集中，原则上应由设计人选用标准图集，施工单位应严格按图施工。民用建筑大型管道一般指DN150以上管道，多根共用支架一般指三根以上共用支、吊架。对于有冷热伸缩的管道，应按设计要求安装固定支架，固定支架采取</w:t>
      </w:r>
      <w:r>
        <w:rPr>
          <w:color w:val="000000"/>
          <w:kern w:val="2"/>
          <w:szCs w:val="21"/>
        </w:rPr>
        <w:t>增设焊件背板或预留焊件接头的方法</w:t>
      </w:r>
      <w:r>
        <w:rPr>
          <w:color w:val="000000"/>
          <w:szCs w:val="21"/>
        </w:rPr>
        <w:t>与管道焊接固定，确保管道与支架之间不产生位移。目前随着对建筑物抗震设防标准的提高，防止地震带来的</w:t>
      </w:r>
      <w:r>
        <w:rPr>
          <w:rFonts w:hint="eastAsia"/>
          <w:color w:val="000000"/>
          <w:szCs w:val="21"/>
        </w:rPr>
        <w:t>次</w:t>
      </w:r>
      <w:r>
        <w:rPr>
          <w:color w:val="000000"/>
          <w:szCs w:val="21"/>
        </w:rPr>
        <w:t>生伤害，对机电工程的</w:t>
      </w:r>
      <w:r>
        <w:rPr>
          <w:bCs/>
          <w:color w:val="000000"/>
          <w:szCs w:val="21"/>
        </w:rPr>
        <w:t>设备和管道提出了安装抗震支吊架的要求。</w:t>
      </w:r>
    </w:p>
    <w:p w14:paraId="362A1A81">
      <w:pPr>
        <w:spacing w:line="400" w:lineRule="exact"/>
        <w:rPr>
          <w:color w:val="000000"/>
          <w:szCs w:val="21"/>
        </w:rPr>
      </w:pPr>
      <w:r>
        <w:rPr>
          <w:b/>
          <w:color w:val="000000"/>
          <w:szCs w:val="21"/>
        </w:rPr>
        <w:t xml:space="preserve">9.1.4 </w:t>
      </w:r>
      <w:r>
        <w:rPr>
          <w:color w:val="000000"/>
          <w:szCs w:val="21"/>
        </w:rPr>
        <w:t xml:space="preserve"> 管道和设备的接口是管道系统中渗漏的薄弱环节，应严格加强对各类接口的质量控制。各类连接形式、检验方式应在施工方案中明确。</w:t>
      </w:r>
    </w:p>
    <w:p w14:paraId="4982618D">
      <w:pPr>
        <w:spacing w:line="400" w:lineRule="exact"/>
        <w:ind w:firstLine="2"/>
        <w:rPr>
          <w:color w:val="000000"/>
          <w:szCs w:val="21"/>
        </w:rPr>
      </w:pPr>
      <w:r>
        <w:rPr>
          <w:b/>
          <w:color w:val="000000"/>
          <w:szCs w:val="21"/>
        </w:rPr>
        <w:t>9.1.5</w:t>
      </w:r>
      <w:r>
        <w:rPr>
          <w:color w:val="000000"/>
          <w:szCs w:val="21"/>
        </w:rPr>
        <w:t xml:space="preserve">  有严格防水、防火要求部位的管道套管（风管、水管）均列入强制性条文，故必须按相关规范要求安装并进行验收。在实际施工过程进行管道套管预留安装时，施工人员经常只按管道尺寸考虑套管，没有考虑管道保温层的厚度，造成很多套管尺寸小，保温无法连接穿过套管内，尤其对于空调供冷管道，保温不连续、不严密或厚度不够，会产生冷凝水，污染周边环境并造成管道锈蚀，应引起重视。</w:t>
      </w:r>
    </w:p>
    <w:p w14:paraId="4B02BD97">
      <w:pPr>
        <w:spacing w:line="400" w:lineRule="exact"/>
        <w:rPr>
          <w:color w:val="000000"/>
          <w:szCs w:val="21"/>
        </w:rPr>
      </w:pPr>
      <w:r>
        <w:rPr>
          <w:b/>
          <w:color w:val="000000"/>
          <w:szCs w:val="21"/>
        </w:rPr>
        <w:t xml:space="preserve">9.1.6 </w:t>
      </w:r>
      <w:r>
        <w:rPr>
          <w:color w:val="000000"/>
          <w:szCs w:val="21"/>
        </w:rPr>
        <w:t xml:space="preserve"> 很多建筑中的金属管道和支架、设备，因防腐遗漏或用面漆代替防腐漆以及防腐施工前不清除污物和锈斑，造成管道和支架以及设备的严重锈蚀，减少了使用寿命或造成渗漏等问题。也有的施工图设计说明对防腐要求不太明确。故该条款强调由设计人提出确切的防腐材料和防腐做法，施工单位应按设计要求严格按工艺要求施工。</w:t>
      </w:r>
    </w:p>
    <w:p w14:paraId="70486B0B">
      <w:pPr>
        <w:spacing w:line="400" w:lineRule="exact"/>
        <w:rPr>
          <w:color w:val="000000"/>
          <w:szCs w:val="21"/>
        </w:rPr>
      </w:pPr>
      <w:r>
        <w:rPr>
          <w:color w:val="000000"/>
          <w:szCs w:val="21"/>
        </w:rPr>
        <w:t xml:space="preserve">   </w:t>
      </w:r>
      <w:r>
        <w:rPr>
          <w:b/>
          <w:bCs/>
          <w:color w:val="000000"/>
          <w:szCs w:val="21"/>
        </w:rPr>
        <w:t>2</w:t>
      </w:r>
      <w:r>
        <w:rPr>
          <w:color w:val="000000"/>
          <w:szCs w:val="21"/>
        </w:rPr>
        <w:t xml:space="preserve">  本条是对管道和支架、设备的面漆的统一质量评审要求</w:t>
      </w:r>
      <w:r>
        <w:rPr>
          <w:rFonts w:hint="eastAsia"/>
          <w:color w:val="000000"/>
          <w:szCs w:val="21"/>
        </w:rPr>
        <w:t>；</w:t>
      </w:r>
    </w:p>
    <w:p w14:paraId="675839EE">
      <w:pPr>
        <w:spacing w:line="400" w:lineRule="exact"/>
        <w:rPr>
          <w:color w:val="000000"/>
          <w:szCs w:val="21"/>
        </w:rPr>
      </w:pPr>
      <w:r>
        <w:rPr>
          <w:color w:val="000000"/>
          <w:szCs w:val="21"/>
        </w:rPr>
        <w:t xml:space="preserve">   </w:t>
      </w:r>
      <w:r>
        <w:rPr>
          <w:b/>
          <w:bCs/>
          <w:color w:val="000000"/>
          <w:szCs w:val="21"/>
        </w:rPr>
        <w:t>3</w:t>
      </w:r>
      <w:r>
        <w:rPr>
          <w:color w:val="000000"/>
          <w:szCs w:val="21"/>
        </w:rPr>
        <w:t xml:space="preserve">  机电工程设备、管道标识清晰明确、排列整齐，并采用不同颜色区分，便于操作维修人员查看系统，进行维护检修，可提高功效，同时也提升观感效果。有些阀部件启闭状态的标识，还会影响到系统的安全和功能。</w:t>
      </w:r>
    </w:p>
    <w:p w14:paraId="755FDD31">
      <w:pPr>
        <w:spacing w:line="400" w:lineRule="exact"/>
        <w:rPr>
          <w:bCs/>
          <w:color w:val="000000"/>
          <w:szCs w:val="21"/>
        </w:rPr>
      </w:pPr>
      <w:r>
        <w:rPr>
          <w:b/>
          <w:color w:val="000000"/>
          <w:szCs w:val="21"/>
        </w:rPr>
        <w:t xml:space="preserve">9.1.7  </w:t>
      </w:r>
      <w:r>
        <w:rPr>
          <w:bCs/>
          <w:color w:val="000000"/>
          <w:szCs w:val="21"/>
        </w:rPr>
        <w:t>管道和设备的保温绝热在许多工程中施工管理较为混乱，一些施工人员不清楚为什么保温，施工图设计说明也比较笼统或不确切，使得一些工程出现应做防冻保温的水管道（如不</w:t>
      </w:r>
      <w:r>
        <w:rPr>
          <w:rFonts w:hint="eastAsia"/>
          <w:bCs/>
          <w:color w:val="000000"/>
          <w:szCs w:val="21"/>
        </w:rPr>
        <w:t>供</w:t>
      </w:r>
      <w:r>
        <w:rPr>
          <w:bCs/>
          <w:color w:val="000000"/>
          <w:szCs w:val="21"/>
        </w:rPr>
        <w:t>暖的车库）没有防冻保温，而不应保温的管道（如溢流管）和有</w:t>
      </w:r>
      <w:r>
        <w:rPr>
          <w:rFonts w:hint="eastAsia"/>
          <w:bCs/>
          <w:color w:val="000000"/>
          <w:szCs w:val="21"/>
        </w:rPr>
        <w:t>供</w:t>
      </w:r>
      <w:r>
        <w:rPr>
          <w:bCs/>
          <w:color w:val="000000"/>
          <w:szCs w:val="21"/>
        </w:rPr>
        <w:t>暖房间的消防管却做保温的怪现象。为此，该条款明确了应做保温绝热的项目，而且明确保温的材料和厚度必须由设计人员通过计算确定。其次才是保温的质量要求。</w:t>
      </w:r>
    </w:p>
    <w:p w14:paraId="3D1FBE0C">
      <w:pPr>
        <w:spacing w:line="400" w:lineRule="exact"/>
        <w:rPr>
          <w:color w:val="000000"/>
          <w:szCs w:val="21"/>
        </w:rPr>
      </w:pPr>
      <w:r>
        <w:rPr>
          <w:b/>
          <w:color w:val="000000"/>
          <w:szCs w:val="21"/>
        </w:rPr>
        <w:t>9.1.8</w:t>
      </w:r>
      <w:r>
        <w:rPr>
          <w:color w:val="000000"/>
          <w:szCs w:val="21"/>
        </w:rPr>
        <w:t xml:space="preserve">  附属设备和仪表在施工图中均以图例和符号表示，有的标注不够清晰；同种设备和仪表由于分包单位不一，安装水平参差不齐。为了实现各种附属设备和仪表的统一和正确安装，该条款提出了明确具体的要求。</w:t>
      </w:r>
    </w:p>
    <w:p w14:paraId="6A8A3F1D">
      <w:pPr>
        <w:spacing w:line="400" w:lineRule="exact"/>
        <w:rPr>
          <w:color w:val="000000"/>
          <w:szCs w:val="21"/>
        </w:rPr>
      </w:pPr>
      <w:r>
        <w:rPr>
          <w:b/>
          <w:color w:val="000000"/>
          <w:szCs w:val="21"/>
        </w:rPr>
        <w:t>9.1.10</w:t>
      </w:r>
      <w:r>
        <w:rPr>
          <w:color w:val="000000"/>
          <w:szCs w:val="21"/>
        </w:rPr>
        <w:t xml:space="preserve">  主要设备的安装、调试目前大部分由建设单位承包给生产厂家，这有利于调试和零部件的更换，也便于厂家保修。但是一些生产厂家派出的安装队伍对有关施工的国家现行标准不甚了解，一些多联体设备和成套（包括配管）组装设备，常有违反国家现行标准的现象，例如出现成组水泵安装的配管进行刚性连接，冷却塔安装缺少减振设施，安全阀漏装，止回阀位置装反等质量问题。有关施工试验的单机试运转和调试记录资料由厂家保存，总包单位见不到等现象也比较普遍。本条款的1~5条将部分配管连接要求和有关试验要求</w:t>
      </w:r>
      <w:r>
        <w:rPr>
          <w:rFonts w:hint="eastAsia"/>
          <w:color w:val="FF0000"/>
          <w:szCs w:val="21"/>
        </w:rPr>
        <w:t>作</w:t>
      </w:r>
      <w:r>
        <w:rPr>
          <w:color w:val="000000"/>
          <w:szCs w:val="21"/>
        </w:rPr>
        <w:t>为质量控制的一个环节，也要求设备安装施工主管人员和监理加强对生产厂家分包的质量管理。</w:t>
      </w:r>
    </w:p>
    <w:p w14:paraId="73508188">
      <w:pPr>
        <w:spacing w:line="400" w:lineRule="exact"/>
        <w:rPr>
          <w:color w:val="000000"/>
          <w:szCs w:val="21"/>
        </w:rPr>
      </w:pPr>
      <w:r>
        <w:rPr>
          <w:b/>
          <w:color w:val="000000"/>
          <w:szCs w:val="21"/>
        </w:rPr>
        <w:t>9.1.11</w:t>
      </w:r>
      <w:r>
        <w:rPr>
          <w:color w:val="000000"/>
          <w:szCs w:val="21"/>
        </w:rPr>
        <w:t xml:space="preserve">  该条文是强制性条文，主要考虑居民的使用安全，并为用户节约使用空间；也有利于检修和在发生事故时及时切断危险源。 </w:t>
      </w:r>
    </w:p>
    <w:p w14:paraId="504912C7">
      <w:pPr>
        <w:spacing w:line="400" w:lineRule="exact"/>
        <w:jc w:val="center"/>
        <w:rPr>
          <w:b/>
          <w:color w:val="000000"/>
          <w:szCs w:val="21"/>
        </w:rPr>
      </w:pPr>
    </w:p>
    <w:p w14:paraId="5925ABB3">
      <w:pPr>
        <w:pStyle w:val="4"/>
        <w:keepNext/>
        <w:keepLines/>
        <w:autoSpaceDE/>
        <w:spacing w:before="20" w:after="20" w:line="400" w:lineRule="exact"/>
        <w:jc w:val="center"/>
        <w:rPr>
          <w:rFonts w:ascii="Times New Roman" w:hAnsi="Times New Roman" w:eastAsia="黑体"/>
          <w:bCs/>
          <w:sz w:val="24"/>
          <w:szCs w:val="24"/>
          <w:lang w:val="en-US"/>
        </w:rPr>
      </w:pPr>
      <w:bookmarkStart w:id="1363" w:name="_Toc13872"/>
      <w:bookmarkStart w:id="1364" w:name="_Toc27819"/>
      <w:bookmarkStart w:id="1365" w:name="_Toc16578"/>
      <w:bookmarkStart w:id="1366" w:name="_Toc12607"/>
      <w:bookmarkStart w:id="1367" w:name="_Toc28135"/>
      <w:bookmarkStart w:id="1368" w:name="_Toc18958"/>
      <w:bookmarkStart w:id="1369" w:name="_Toc25367"/>
      <w:bookmarkStart w:id="1370" w:name="_Toc30340"/>
      <w:r>
        <w:rPr>
          <w:rFonts w:ascii="Times New Roman" w:hAnsi="Times New Roman" w:eastAsia="黑体"/>
          <w:b/>
          <w:sz w:val="24"/>
          <w:szCs w:val="24"/>
          <w:lang w:val="en-US"/>
        </w:rPr>
        <w:t>9.2</w:t>
      </w:r>
      <w:r>
        <w:rPr>
          <w:rFonts w:ascii="Times New Roman" w:hAnsi="Times New Roman" w:eastAsia="黑体"/>
          <w:bCs/>
          <w:sz w:val="24"/>
          <w:szCs w:val="24"/>
          <w:lang w:val="en-US"/>
        </w:rPr>
        <w:t xml:space="preserve"> </w:t>
      </w:r>
      <w:r>
        <w:rPr>
          <w:rFonts w:hint="eastAsia" w:ascii="Times New Roman" w:hAnsi="Times New Roman" w:eastAsia="黑体"/>
          <w:bCs/>
          <w:sz w:val="24"/>
          <w:szCs w:val="24"/>
          <w:lang w:val="en-US"/>
        </w:rPr>
        <w:t xml:space="preserve"> </w:t>
      </w:r>
      <w:r>
        <w:rPr>
          <w:rFonts w:ascii="Times New Roman" w:hAnsi="Times New Roman" w:eastAsia="黑体"/>
          <w:bCs/>
          <w:sz w:val="24"/>
          <w:szCs w:val="24"/>
          <w:lang w:val="en-US"/>
        </w:rPr>
        <w:t>建筑给水</w:t>
      </w:r>
      <w:r>
        <w:rPr>
          <w:rFonts w:hint="eastAsia" w:ascii="Times New Roman" w:hAnsi="Times New Roman" w:eastAsia="黑体"/>
          <w:bCs/>
          <w:sz w:val="24"/>
          <w:szCs w:val="24"/>
          <w:lang w:val="en-US"/>
        </w:rPr>
        <w:t>、</w:t>
      </w:r>
      <w:r>
        <w:rPr>
          <w:rFonts w:ascii="Times New Roman" w:hAnsi="Times New Roman" w:eastAsia="黑体"/>
          <w:bCs/>
          <w:sz w:val="24"/>
          <w:szCs w:val="24"/>
          <w:lang w:val="en-US"/>
        </w:rPr>
        <w:t>排水工程</w:t>
      </w:r>
      <w:bookmarkEnd w:id="1363"/>
      <w:bookmarkEnd w:id="1364"/>
      <w:bookmarkEnd w:id="1365"/>
      <w:bookmarkEnd w:id="1366"/>
      <w:bookmarkEnd w:id="1367"/>
      <w:bookmarkEnd w:id="1368"/>
      <w:bookmarkEnd w:id="1369"/>
      <w:bookmarkEnd w:id="1370"/>
    </w:p>
    <w:p w14:paraId="69BAD45E">
      <w:pPr>
        <w:spacing w:line="400" w:lineRule="exact"/>
        <w:rPr>
          <w:b/>
          <w:bCs/>
          <w:color w:val="000000"/>
          <w:szCs w:val="21"/>
        </w:rPr>
      </w:pPr>
      <w:r>
        <w:rPr>
          <w:b/>
          <w:color w:val="000000"/>
          <w:szCs w:val="21"/>
        </w:rPr>
        <w:t xml:space="preserve">9.2.1  </w:t>
      </w:r>
      <w:r>
        <w:rPr>
          <w:color w:val="000000"/>
          <w:szCs w:val="21"/>
        </w:rPr>
        <w:t>给水管道安装要求：</w:t>
      </w:r>
    </w:p>
    <w:p w14:paraId="51177DFA">
      <w:pPr>
        <w:spacing w:line="400" w:lineRule="exact"/>
        <w:ind w:firstLine="422" w:firstLineChars="200"/>
        <w:rPr>
          <w:b/>
          <w:bCs/>
          <w:color w:val="000000"/>
          <w:szCs w:val="21"/>
        </w:rPr>
      </w:pPr>
      <w:r>
        <w:rPr>
          <w:b/>
          <w:bCs/>
          <w:color w:val="000000"/>
          <w:szCs w:val="21"/>
        </w:rPr>
        <w:t xml:space="preserve">1  </w:t>
      </w:r>
      <w:r>
        <w:rPr>
          <w:color w:val="000000"/>
          <w:szCs w:val="21"/>
        </w:rPr>
        <w:t>室内给水管道可采用不锈钢管、铜管、塑料给水管和金属塑料复合管及经防腐处理的钢管，以免影响饮用水的水质；高层建筑给水立管不宜采用塑料管。自动喷水灭火系统的配水管道可采用内外壁热镀锌钢管、涂覆钢管、铜管、不锈钢管和氯化聚乙烯（PVC-C）管。当报警阀入口前管道采用不防腐的钢管时，可焊接连接，但应在报警阀前设置过滤器；</w:t>
      </w:r>
    </w:p>
    <w:p w14:paraId="377AB71A">
      <w:pPr>
        <w:spacing w:line="400" w:lineRule="exact"/>
        <w:ind w:firstLine="422" w:firstLineChars="200"/>
        <w:rPr>
          <w:color w:val="000000"/>
          <w:szCs w:val="21"/>
        </w:rPr>
      </w:pPr>
      <w:r>
        <w:rPr>
          <w:b/>
          <w:bCs/>
          <w:color w:val="000000"/>
          <w:szCs w:val="21"/>
        </w:rPr>
        <w:t xml:space="preserve">2  </w:t>
      </w:r>
      <w:r>
        <w:rPr>
          <w:color w:val="000000"/>
          <w:szCs w:val="21"/>
        </w:rPr>
        <w:t>管道穿越外墙、沉降缝、采光井等构筑物的防冻、防沉降的技术措施，应有设计人员签认的设计依据；</w:t>
      </w:r>
    </w:p>
    <w:p w14:paraId="1DF72FEE">
      <w:pPr>
        <w:spacing w:line="400" w:lineRule="exact"/>
        <w:ind w:firstLine="422" w:firstLineChars="200"/>
        <w:rPr>
          <w:color w:val="000000"/>
          <w:szCs w:val="21"/>
        </w:rPr>
      </w:pPr>
      <w:r>
        <w:rPr>
          <w:rFonts w:hint="eastAsia"/>
          <w:b/>
          <w:bCs/>
          <w:color w:val="000000"/>
          <w:szCs w:val="21"/>
        </w:rPr>
        <w:t xml:space="preserve">4  </w:t>
      </w:r>
      <w:r>
        <w:rPr>
          <w:color w:val="000000"/>
          <w:szCs w:val="21"/>
        </w:rPr>
        <w:t>水表</w:t>
      </w:r>
      <w:r>
        <w:rPr>
          <w:rFonts w:hint="eastAsia"/>
          <w:color w:val="000000"/>
          <w:szCs w:val="21"/>
        </w:rPr>
        <w:t>的</w:t>
      </w:r>
      <w:r>
        <w:rPr>
          <w:color w:val="000000"/>
          <w:szCs w:val="21"/>
        </w:rPr>
        <w:t>安装要求主要目的是方便使用、安全</w:t>
      </w:r>
      <w:r>
        <w:rPr>
          <w:rFonts w:hint="eastAsia"/>
          <w:color w:val="000000"/>
          <w:szCs w:val="21"/>
        </w:rPr>
        <w:t>。</w:t>
      </w:r>
    </w:p>
    <w:p w14:paraId="5F18D5D5">
      <w:pPr>
        <w:spacing w:line="400" w:lineRule="exact"/>
        <w:rPr>
          <w:color w:val="000000"/>
          <w:szCs w:val="21"/>
        </w:rPr>
      </w:pPr>
      <w:r>
        <w:rPr>
          <w:b/>
          <w:color w:val="000000"/>
          <w:szCs w:val="21"/>
        </w:rPr>
        <w:t xml:space="preserve">9.2.2 </w:t>
      </w:r>
      <w:r>
        <w:rPr>
          <w:color w:val="000000"/>
          <w:szCs w:val="21"/>
        </w:rPr>
        <w:t>中水管道系统的条款主要是为了防止误饮、误用及防污染。</w:t>
      </w:r>
    </w:p>
    <w:p w14:paraId="0BFF81BB">
      <w:pPr>
        <w:spacing w:line="400" w:lineRule="exact"/>
        <w:rPr>
          <w:color w:val="000000"/>
          <w:szCs w:val="21"/>
        </w:rPr>
      </w:pPr>
      <w:r>
        <w:rPr>
          <w:b/>
          <w:color w:val="000000"/>
          <w:szCs w:val="21"/>
        </w:rPr>
        <w:t>9.2.3</w:t>
      </w:r>
      <w:r>
        <w:rPr>
          <w:color w:val="000000"/>
          <w:szCs w:val="21"/>
        </w:rPr>
        <w:t xml:space="preserve"> 排水管道安装的质量要求：</w:t>
      </w:r>
    </w:p>
    <w:p w14:paraId="0FEF4395">
      <w:pPr>
        <w:spacing w:line="400" w:lineRule="exact"/>
        <w:ind w:firstLine="422" w:firstLineChars="200"/>
        <w:rPr>
          <w:color w:val="000000"/>
          <w:szCs w:val="21"/>
        </w:rPr>
      </w:pPr>
      <w:r>
        <w:rPr>
          <w:b/>
          <w:bCs/>
          <w:color w:val="000000"/>
          <w:szCs w:val="21"/>
        </w:rPr>
        <w:t>1</w:t>
      </w:r>
      <w:r>
        <w:rPr>
          <w:color w:val="000000"/>
          <w:szCs w:val="21"/>
        </w:rPr>
        <w:t xml:space="preserve">  高层建筑的内排雨水管是半重力流管，遇暴雨排水不畅时，雨水管道处于承压状态。塑料管安装要求每层安装伸缩节，伸缩节和塑料管接口一般不承压，塑料雨水管仅限于高层建筑外排雨水管使用；</w:t>
      </w:r>
    </w:p>
    <w:p w14:paraId="444DF932">
      <w:pPr>
        <w:spacing w:line="400" w:lineRule="exact"/>
        <w:ind w:firstLine="422" w:firstLineChars="200"/>
        <w:rPr>
          <w:color w:val="000000"/>
          <w:szCs w:val="21"/>
        </w:rPr>
      </w:pPr>
      <w:r>
        <w:rPr>
          <w:b/>
          <w:bCs/>
          <w:color w:val="000000"/>
          <w:szCs w:val="21"/>
        </w:rPr>
        <w:t xml:space="preserve">2  </w:t>
      </w:r>
      <w:r>
        <w:rPr>
          <w:color w:val="000000"/>
          <w:szCs w:val="21"/>
        </w:rPr>
        <w:t>排水管道系统分区设置主要是防止底层卫生器具在用水高峰时出现跑、冒污水现象；</w:t>
      </w:r>
    </w:p>
    <w:p w14:paraId="0ECEB876">
      <w:pPr>
        <w:spacing w:line="400" w:lineRule="exact"/>
        <w:ind w:firstLine="422" w:firstLineChars="200"/>
        <w:rPr>
          <w:color w:val="000000"/>
          <w:szCs w:val="21"/>
        </w:rPr>
      </w:pPr>
      <w:r>
        <w:rPr>
          <w:b/>
          <w:bCs/>
          <w:color w:val="000000"/>
          <w:szCs w:val="21"/>
        </w:rPr>
        <w:t>3</w:t>
      </w:r>
      <w:r>
        <w:rPr>
          <w:color w:val="000000"/>
          <w:szCs w:val="21"/>
        </w:rPr>
        <w:t xml:space="preserve">  排水引出管穿越外围结构应有防水、防沉降的技术措施，应由设计人员签认且应办理洽商手续；</w:t>
      </w:r>
    </w:p>
    <w:p w14:paraId="38FF8028">
      <w:pPr>
        <w:spacing w:line="400" w:lineRule="exact"/>
        <w:ind w:firstLine="422" w:firstLineChars="200"/>
        <w:rPr>
          <w:color w:val="000000"/>
          <w:szCs w:val="21"/>
        </w:rPr>
      </w:pPr>
      <w:r>
        <w:rPr>
          <w:b/>
          <w:bCs/>
          <w:color w:val="000000"/>
          <w:szCs w:val="21"/>
        </w:rPr>
        <w:t xml:space="preserve">4  </w:t>
      </w:r>
      <w:r>
        <w:rPr>
          <w:color w:val="000000"/>
          <w:szCs w:val="21"/>
        </w:rPr>
        <w:t>设置排水立管检查口主要是为了维修时清堵方便。精装修时，土建和安装单位应互相配合，避免为了装修美观用面砖将检查口贴死；</w:t>
      </w:r>
    </w:p>
    <w:p w14:paraId="3BBEAFB8">
      <w:pPr>
        <w:spacing w:line="400" w:lineRule="exact"/>
        <w:ind w:firstLine="422" w:firstLineChars="200"/>
        <w:rPr>
          <w:color w:val="000000"/>
          <w:szCs w:val="21"/>
        </w:rPr>
      </w:pPr>
      <w:r>
        <w:rPr>
          <w:b/>
          <w:bCs/>
          <w:color w:val="000000"/>
          <w:szCs w:val="21"/>
        </w:rPr>
        <w:t>5</w:t>
      </w:r>
      <w:r>
        <w:rPr>
          <w:color w:val="000000"/>
          <w:szCs w:val="21"/>
        </w:rPr>
        <w:t xml:space="preserve">  安装塑料管道伸缩节的作用是吸收塑料管材热胀冷缩造成的伸长量变化，避免管道弯曲变形和接口渗漏；</w:t>
      </w:r>
    </w:p>
    <w:p w14:paraId="1570BA55">
      <w:pPr>
        <w:spacing w:line="400" w:lineRule="exact"/>
        <w:ind w:firstLine="422" w:firstLineChars="200"/>
        <w:rPr>
          <w:color w:val="000000"/>
          <w:szCs w:val="21"/>
        </w:rPr>
      </w:pPr>
      <w:r>
        <w:rPr>
          <w:b/>
          <w:bCs/>
          <w:color w:val="000000"/>
          <w:szCs w:val="21"/>
        </w:rPr>
        <w:t>6</w:t>
      </w:r>
      <w:r>
        <w:rPr>
          <w:color w:val="000000"/>
          <w:szCs w:val="21"/>
        </w:rPr>
        <w:t xml:space="preserve">  排水干管坡度要求和使用管件的要求是为了排水通畅，防止阻塞和利于检修；</w:t>
      </w:r>
    </w:p>
    <w:p w14:paraId="29D51334">
      <w:pPr>
        <w:spacing w:line="400" w:lineRule="exact"/>
        <w:ind w:firstLine="422" w:firstLineChars="200"/>
        <w:rPr>
          <w:color w:val="000000"/>
          <w:szCs w:val="21"/>
        </w:rPr>
      </w:pPr>
      <w:r>
        <w:rPr>
          <w:b/>
          <w:bCs/>
          <w:color w:val="000000"/>
          <w:szCs w:val="21"/>
        </w:rPr>
        <w:t>7</w:t>
      </w:r>
      <w:r>
        <w:rPr>
          <w:color w:val="000000"/>
          <w:szCs w:val="21"/>
        </w:rPr>
        <w:t xml:space="preserve">  地下污水池为防止有害气体引起火灾或爆炸，须通气良好。屋面排水通气管的高度应不影响屋面人员的正常活动，故要求2 m以上；人不经常停留的屋面可只考虑冬季积雪厚度的影响和正常排气的需要，高出屋面500 mm 即可。</w:t>
      </w:r>
    </w:p>
    <w:p w14:paraId="19AEBA4F">
      <w:pPr>
        <w:spacing w:line="400" w:lineRule="exact"/>
        <w:rPr>
          <w:color w:val="000000"/>
          <w:szCs w:val="21"/>
        </w:rPr>
      </w:pPr>
      <w:r>
        <w:rPr>
          <w:rFonts w:hint="eastAsia"/>
          <w:b/>
          <w:color w:val="000000"/>
          <w:szCs w:val="21"/>
        </w:rPr>
        <w:t>9.</w:t>
      </w:r>
      <w:r>
        <w:rPr>
          <w:b/>
          <w:color w:val="000000"/>
          <w:szCs w:val="21"/>
        </w:rPr>
        <w:t>2.4</w:t>
      </w:r>
      <w:r>
        <w:rPr>
          <w:color w:val="000000"/>
          <w:szCs w:val="21"/>
        </w:rPr>
        <w:t xml:space="preserve"> </w:t>
      </w:r>
      <w:r>
        <w:rPr>
          <w:rFonts w:hint="eastAsia"/>
          <w:color w:val="000000"/>
          <w:szCs w:val="21"/>
        </w:rPr>
        <w:t xml:space="preserve"> 水箱、罐体的安装应预留后续操作和检修间距，为防止生活给水水质的污染对水箱补水、溢流、排水等管道的管径和安装进行了要求。</w:t>
      </w:r>
    </w:p>
    <w:p w14:paraId="1900A173">
      <w:pPr>
        <w:spacing w:line="400" w:lineRule="exact"/>
        <w:rPr>
          <w:color w:val="000000"/>
          <w:szCs w:val="21"/>
        </w:rPr>
      </w:pPr>
      <w:r>
        <w:rPr>
          <w:b/>
          <w:color w:val="000000"/>
          <w:szCs w:val="21"/>
        </w:rPr>
        <w:t>9.2.5</w:t>
      </w:r>
      <w:r>
        <w:rPr>
          <w:color w:val="000000"/>
          <w:szCs w:val="21"/>
        </w:rPr>
        <w:t xml:space="preserve">  卫生器具的安装规定主要是为了满足使用安全、方便的需要，同时符合节水和防止污染的要求，其次是洁净美观。</w:t>
      </w:r>
    </w:p>
    <w:p w14:paraId="485F7A48">
      <w:pPr>
        <w:spacing w:line="400" w:lineRule="exact"/>
        <w:rPr>
          <w:color w:val="000000"/>
          <w:szCs w:val="21"/>
        </w:rPr>
      </w:pPr>
      <w:r>
        <w:rPr>
          <w:b/>
          <w:color w:val="000000"/>
          <w:szCs w:val="21"/>
        </w:rPr>
        <w:t>9.2.6</w:t>
      </w:r>
      <w:r>
        <w:rPr>
          <w:color w:val="000000"/>
          <w:szCs w:val="21"/>
        </w:rPr>
        <w:t xml:space="preserve">  生活热水系统使用的材质应符合生活给水系统对水质要求较高的材料，因为介质是热水，故安装要求须符合供热管道的安装要求。</w:t>
      </w:r>
    </w:p>
    <w:p w14:paraId="5925C304">
      <w:pPr>
        <w:spacing w:line="400" w:lineRule="exact"/>
        <w:jc w:val="center"/>
        <w:rPr>
          <w:b/>
          <w:color w:val="000000"/>
          <w:szCs w:val="21"/>
        </w:rPr>
      </w:pPr>
    </w:p>
    <w:p w14:paraId="1033A2E5">
      <w:pPr>
        <w:pStyle w:val="4"/>
        <w:keepNext/>
        <w:keepLines/>
        <w:autoSpaceDE/>
        <w:spacing w:before="20" w:after="20" w:line="400" w:lineRule="exact"/>
        <w:jc w:val="center"/>
        <w:rPr>
          <w:rFonts w:ascii="Times New Roman" w:hAnsi="Times New Roman" w:eastAsia="黑体"/>
          <w:bCs/>
          <w:sz w:val="24"/>
          <w:szCs w:val="24"/>
          <w:lang w:val="en-US"/>
        </w:rPr>
      </w:pPr>
      <w:bookmarkStart w:id="1371" w:name="_Toc20592"/>
      <w:bookmarkStart w:id="1372" w:name="_Toc17005"/>
      <w:bookmarkStart w:id="1373" w:name="_Toc8103"/>
      <w:bookmarkStart w:id="1374" w:name="_Toc3611"/>
      <w:bookmarkStart w:id="1375" w:name="_Toc11878"/>
      <w:bookmarkStart w:id="1376" w:name="_Toc21649"/>
      <w:bookmarkStart w:id="1377" w:name="_Toc8128"/>
      <w:bookmarkStart w:id="1378" w:name="_Toc14037"/>
      <w:r>
        <w:rPr>
          <w:rFonts w:ascii="Times New Roman" w:hAnsi="Times New Roman" w:eastAsia="黑体"/>
          <w:b/>
          <w:sz w:val="24"/>
          <w:szCs w:val="24"/>
          <w:lang w:val="en-US"/>
        </w:rPr>
        <w:t>9.3</w:t>
      </w:r>
      <w:r>
        <w:rPr>
          <w:rFonts w:hint="eastAsia" w:ascii="Times New Roman" w:hAnsi="Times New Roman" w:eastAsia="黑体"/>
          <w:bCs/>
          <w:sz w:val="24"/>
          <w:szCs w:val="24"/>
          <w:lang w:val="en-US"/>
        </w:rPr>
        <w:t xml:space="preserve">  </w:t>
      </w:r>
      <w:r>
        <w:rPr>
          <w:rFonts w:ascii="Times New Roman" w:hAnsi="Times New Roman" w:eastAsia="黑体"/>
          <w:bCs/>
          <w:sz w:val="24"/>
          <w:szCs w:val="24"/>
          <w:lang w:val="en-US"/>
        </w:rPr>
        <w:t>供暖及通风、空调工程</w:t>
      </w:r>
      <w:bookmarkEnd w:id="1371"/>
      <w:bookmarkEnd w:id="1372"/>
      <w:bookmarkEnd w:id="1373"/>
      <w:bookmarkEnd w:id="1374"/>
      <w:bookmarkEnd w:id="1375"/>
      <w:bookmarkEnd w:id="1376"/>
      <w:bookmarkEnd w:id="1377"/>
      <w:bookmarkEnd w:id="1378"/>
    </w:p>
    <w:p w14:paraId="352BECCE">
      <w:pPr>
        <w:spacing w:line="400" w:lineRule="exact"/>
        <w:rPr>
          <w:color w:val="000000"/>
          <w:szCs w:val="21"/>
        </w:rPr>
      </w:pPr>
      <w:r>
        <w:rPr>
          <w:b/>
          <w:color w:val="000000"/>
          <w:szCs w:val="21"/>
        </w:rPr>
        <w:t>9.3.1</w:t>
      </w:r>
      <w:r>
        <w:rPr>
          <w:color w:val="000000"/>
          <w:szCs w:val="21"/>
        </w:rPr>
        <w:t xml:space="preserve">  </w:t>
      </w:r>
      <w:r>
        <w:rPr>
          <w:rFonts w:hint="eastAsia"/>
          <w:color w:val="000000"/>
          <w:szCs w:val="21"/>
        </w:rPr>
        <w:t>供</w:t>
      </w:r>
      <w:r>
        <w:rPr>
          <w:color w:val="000000"/>
          <w:szCs w:val="21"/>
        </w:rPr>
        <w:t>暖及供热、供冷管道系统安装的质量要求。</w:t>
      </w:r>
    </w:p>
    <w:p w14:paraId="51CEFE73">
      <w:pPr>
        <w:spacing w:line="400" w:lineRule="exact"/>
        <w:ind w:firstLine="422" w:firstLineChars="200"/>
        <w:rPr>
          <w:color w:val="000000"/>
          <w:szCs w:val="21"/>
        </w:rPr>
      </w:pPr>
      <w:r>
        <w:rPr>
          <w:b/>
          <w:bCs/>
          <w:color w:val="000000"/>
          <w:szCs w:val="21"/>
        </w:rPr>
        <w:t>1</w:t>
      </w:r>
      <w:r>
        <w:rPr>
          <w:color w:val="000000"/>
          <w:szCs w:val="21"/>
        </w:rPr>
        <w:t xml:space="preserve">  为防止立管及干管由于冷热收缩膨胀造成接口渗漏或管道扭曲，进而影响使用功能，</w:t>
      </w:r>
      <w:r>
        <w:rPr>
          <w:rFonts w:hint="eastAsia"/>
          <w:color w:val="000000" w:themeColor="text1"/>
          <w:szCs w:val="21"/>
          <w14:textFill>
            <w14:solidFill>
              <w14:schemeClr w14:val="tx1"/>
            </w14:solidFill>
          </w14:textFill>
        </w:rPr>
        <w:t>住房和城乡建设部</w:t>
      </w:r>
      <w:r>
        <w:rPr>
          <w:color w:val="000000"/>
          <w:szCs w:val="21"/>
        </w:rPr>
        <w:t>2004年公告规定不应使用塑料管材。</w:t>
      </w:r>
      <w:r>
        <w:rPr>
          <w:rFonts w:hint="eastAsia"/>
          <w:color w:val="000000"/>
          <w:szCs w:val="21"/>
        </w:rPr>
        <w:t>其他</w:t>
      </w:r>
      <w:r>
        <w:rPr>
          <w:color w:val="000000"/>
          <w:szCs w:val="21"/>
        </w:rPr>
        <w:t>安装要求是保证系统正常运行的基本条件，部分已列入强制性条文</w:t>
      </w:r>
      <w:r>
        <w:rPr>
          <w:rFonts w:hint="eastAsia"/>
          <w:color w:val="000000"/>
          <w:szCs w:val="21"/>
        </w:rPr>
        <w:t>；</w:t>
      </w:r>
    </w:p>
    <w:p w14:paraId="13E9DA32">
      <w:pPr>
        <w:spacing w:line="400" w:lineRule="exact"/>
        <w:ind w:firstLine="422" w:firstLineChars="200"/>
        <w:rPr>
          <w:color w:val="000000"/>
          <w:szCs w:val="21"/>
        </w:rPr>
      </w:pPr>
      <w:r>
        <w:rPr>
          <w:b/>
          <w:bCs/>
          <w:color w:val="000000"/>
          <w:szCs w:val="21"/>
        </w:rPr>
        <w:t>3</w:t>
      </w:r>
      <w:r>
        <w:rPr>
          <w:color w:val="000000"/>
          <w:szCs w:val="21"/>
        </w:rPr>
        <w:t xml:space="preserve">  水泵出水管与总干管的连接采用有夹角的连接方式，可以减少管道的局部阻力</w:t>
      </w:r>
      <w:r>
        <w:rPr>
          <w:rFonts w:hint="eastAsia"/>
          <w:color w:val="000000"/>
          <w:szCs w:val="21"/>
        </w:rPr>
        <w:t>；</w:t>
      </w:r>
    </w:p>
    <w:p w14:paraId="4C86C5D4">
      <w:pPr>
        <w:spacing w:line="400" w:lineRule="exact"/>
        <w:ind w:firstLine="422" w:firstLineChars="200"/>
        <w:rPr>
          <w:color w:val="000000"/>
          <w:szCs w:val="21"/>
        </w:rPr>
      </w:pPr>
      <w:r>
        <w:rPr>
          <w:b/>
          <w:bCs/>
          <w:color w:val="000000"/>
          <w:szCs w:val="21"/>
        </w:rPr>
        <w:t>4</w:t>
      </w:r>
      <w:r>
        <w:rPr>
          <w:color w:val="000000"/>
          <w:szCs w:val="21"/>
        </w:rPr>
        <w:t xml:space="preserve">  散热器安装前应有水压试验，风机盘管安装前应全数进行单机三速试运转和水压试验，目的是补充进场物资观感验收中的不足，也是系统安装前的先决条件</w:t>
      </w:r>
      <w:r>
        <w:rPr>
          <w:rFonts w:hint="eastAsia"/>
          <w:color w:val="000000"/>
          <w:szCs w:val="21"/>
        </w:rPr>
        <w:t>，</w:t>
      </w:r>
      <w:r>
        <w:rPr>
          <w:color w:val="000000"/>
          <w:szCs w:val="21"/>
        </w:rPr>
        <w:t>试验应有完整的</w:t>
      </w:r>
      <w:r>
        <w:rPr>
          <w:rFonts w:hint="eastAsia"/>
          <w:color w:val="000000"/>
          <w:szCs w:val="21"/>
        </w:rPr>
        <w:t>记</w:t>
      </w:r>
      <w:r>
        <w:rPr>
          <w:color w:val="000000"/>
          <w:szCs w:val="21"/>
        </w:rPr>
        <w:t>录。针对幼儿园、老年中心等的散热器采用暗装或加防护罩的方式是设计规范要求的条款，主要起到防止磕碰</w:t>
      </w:r>
      <w:r>
        <w:rPr>
          <w:rFonts w:hint="eastAsia"/>
          <w:color w:val="000000" w:themeColor="text1"/>
          <w:szCs w:val="21"/>
          <w14:textFill>
            <w14:solidFill>
              <w14:schemeClr w14:val="tx1"/>
            </w14:solidFill>
          </w14:textFill>
        </w:rPr>
        <w:t>的</w:t>
      </w:r>
      <w:r>
        <w:rPr>
          <w:color w:val="000000"/>
          <w:szCs w:val="21"/>
        </w:rPr>
        <w:t>作用</w:t>
      </w:r>
      <w:r>
        <w:rPr>
          <w:rFonts w:hint="eastAsia"/>
          <w:color w:val="000000"/>
          <w:szCs w:val="21"/>
        </w:rPr>
        <w:t>；</w:t>
      </w:r>
    </w:p>
    <w:p w14:paraId="509C0928">
      <w:pPr>
        <w:spacing w:line="400" w:lineRule="exact"/>
        <w:ind w:firstLine="422" w:firstLineChars="200"/>
        <w:rPr>
          <w:color w:val="000000"/>
          <w:szCs w:val="21"/>
        </w:rPr>
      </w:pPr>
      <w:r>
        <w:rPr>
          <w:rFonts w:hint="eastAsia"/>
          <w:b/>
          <w:bCs/>
          <w:color w:val="000000"/>
          <w:szCs w:val="21"/>
        </w:rPr>
        <w:t>5</w:t>
      </w:r>
      <w:r>
        <w:rPr>
          <w:rFonts w:hint="eastAsia"/>
          <w:color w:val="000000"/>
          <w:szCs w:val="21"/>
        </w:rPr>
        <w:t xml:space="preserve">  </w:t>
      </w:r>
      <w:r>
        <w:rPr>
          <w:color w:val="000000"/>
          <w:szCs w:val="21"/>
        </w:rPr>
        <w:t>住宅工程室内</w:t>
      </w:r>
      <w:r>
        <w:rPr>
          <w:rFonts w:hint="eastAsia"/>
          <w:color w:val="000000"/>
          <w:szCs w:val="21"/>
        </w:rPr>
        <w:t>供</w:t>
      </w:r>
      <w:r>
        <w:rPr>
          <w:color w:val="000000"/>
          <w:szCs w:val="21"/>
        </w:rPr>
        <w:t>暖的埋地管道不应有接头是强制性条文，必须严格执行。</w:t>
      </w:r>
    </w:p>
    <w:p w14:paraId="1A8CBDF9">
      <w:pPr>
        <w:spacing w:line="400" w:lineRule="exact"/>
        <w:rPr>
          <w:color w:val="000000"/>
          <w:szCs w:val="21"/>
        </w:rPr>
      </w:pPr>
      <w:r>
        <w:rPr>
          <w:b/>
          <w:color w:val="000000"/>
          <w:szCs w:val="21"/>
        </w:rPr>
        <w:t xml:space="preserve">9.3.2  </w:t>
      </w:r>
      <w:r>
        <w:rPr>
          <w:color w:val="000000"/>
          <w:szCs w:val="21"/>
        </w:rPr>
        <w:t>通风、空调风管系统安装的质量要求：</w:t>
      </w:r>
    </w:p>
    <w:p w14:paraId="77A098DE">
      <w:pPr>
        <w:spacing w:line="400" w:lineRule="exact"/>
        <w:ind w:firstLine="422" w:firstLineChars="200"/>
        <w:rPr>
          <w:bCs/>
          <w:color w:val="000000"/>
          <w:szCs w:val="21"/>
        </w:rPr>
      </w:pPr>
      <w:r>
        <w:rPr>
          <w:b/>
          <w:bCs/>
          <w:color w:val="000000"/>
          <w:szCs w:val="21"/>
        </w:rPr>
        <w:t>1</w:t>
      </w:r>
      <w:r>
        <w:rPr>
          <w:color w:val="000000"/>
          <w:szCs w:val="21"/>
        </w:rPr>
        <w:t xml:space="preserve">  风管分类有金属、非金属、复合风管等，应按不同系统类型根据设计要求合理选用，风管的制作强度严密性</w:t>
      </w:r>
      <w:r>
        <w:rPr>
          <w:rFonts w:hint="eastAsia"/>
          <w:color w:val="000000" w:themeColor="text1"/>
          <w:szCs w:val="21"/>
          <w14:textFill>
            <w14:solidFill>
              <w14:schemeClr w14:val="tx1"/>
            </w14:solidFill>
          </w14:textFill>
        </w:rPr>
        <w:t>符合</w:t>
      </w:r>
      <w:r>
        <w:rPr>
          <w:color w:val="000000"/>
          <w:szCs w:val="21"/>
        </w:rPr>
        <w:t>规范的要求，检验合格后制作安装；</w:t>
      </w:r>
    </w:p>
    <w:p w14:paraId="54CF4473">
      <w:pPr>
        <w:spacing w:line="400" w:lineRule="exact"/>
        <w:ind w:firstLine="422" w:firstLineChars="200"/>
        <w:rPr>
          <w:color w:val="000000"/>
          <w:szCs w:val="21"/>
        </w:rPr>
      </w:pPr>
      <w:r>
        <w:rPr>
          <w:b/>
          <w:bCs/>
          <w:color w:val="000000"/>
          <w:szCs w:val="21"/>
        </w:rPr>
        <w:t>2</w:t>
      </w:r>
      <w:r>
        <w:rPr>
          <w:color w:val="000000"/>
          <w:szCs w:val="21"/>
        </w:rPr>
        <w:t xml:space="preserve">  此条对镀锌钢板镀锌层厚度提出要求，主要是为了防止选用不符合要求的板材，造成管道生锈，减少使用寿命，并查看材料质量证明文件；</w:t>
      </w:r>
    </w:p>
    <w:p w14:paraId="6FCBFE38">
      <w:pPr>
        <w:spacing w:line="400" w:lineRule="exact"/>
        <w:ind w:firstLine="422" w:firstLineChars="200"/>
        <w:rPr>
          <w:color w:val="000000"/>
          <w:szCs w:val="21"/>
        </w:rPr>
      </w:pPr>
      <w:r>
        <w:rPr>
          <w:b/>
          <w:bCs/>
          <w:color w:val="000000"/>
          <w:szCs w:val="21"/>
        </w:rPr>
        <w:t xml:space="preserve">3 </w:t>
      </w:r>
      <w:r>
        <w:rPr>
          <w:color w:val="000000"/>
          <w:szCs w:val="21"/>
        </w:rPr>
        <w:t xml:space="preserve"> 本条强调了防火风管的本体、框架与固定材料、密封垫料等必须采用不燃材料，同时防火风管的耐火极限时间要符合设计的要求；</w:t>
      </w:r>
    </w:p>
    <w:p w14:paraId="5E250499">
      <w:pPr>
        <w:spacing w:line="400" w:lineRule="exact"/>
        <w:ind w:firstLine="422" w:firstLineChars="200"/>
        <w:rPr>
          <w:color w:val="000000"/>
          <w:szCs w:val="21"/>
        </w:rPr>
      </w:pPr>
      <w:r>
        <w:rPr>
          <w:b/>
          <w:bCs/>
          <w:color w:val="000000"/>
          <w:szCs w:val="21"/>
        </w:rPr>
        <w:t>4</w:t>
      </w:r>
      <w:r>
        <w:rPr>
          <w:color w:val="000000"/>
          <w:szCs w:val="21"/>
        </w:rPr>
        <w:t xml:space="preserve">  本条对不同材质金属风管制作提出了要求</w:t>
      </w:r>
      <w:r>
        <w:rPr>
          <w:rFonts w:hint="eastAsia"/>
          <w:color w:val="000000"/>
          <w:szCs w:val="21"/>
        </w:rPr>
        <w:t>；</w:t>
      </w:r>
    </w:p>
    <w:p w14:paraId="3E4488F0">
      <w:pPr>
        <w:spacing w:line="400" w:lineRule="exact"/>
        <w:ind w:firstLine="422" w:firstLineChars="200"/>
        <w:rPr>
          <w:color w:val="000000"/>
          <w:szCs w:val="21"/>
        </w:rPr>
      </w:pPr>
      <w:r>
        <w:rPr>
          <w:b/>
          <w:bCs/>
          <w:color w:val="000000"/>
          <w:szCs w:val="21"/>
        </w:rPr>
        <w:t>5</w:t>
      </w:r>
      <w:r>
        <w:rPr>
          <w:color w:val="000000"/>
          <w:szCs w:val="21"/>
        </w:rPr>
        <w:t xml:space="preserve">  风管和风阀配件的加工制作时，风管的咬口缝、焊缝如出现十字缝现象，易造成漏风和板材变形，主要原因是未按工艺要求做样板下料。手工咬口常出现翻边不平整，翻边宽度小于6 mm的现象，原因是技工培训质量达不到岗位标准要求。应按该条款要求，严格执行工艺标准，加强质量标准培训；</w:t>
      </w:r>
    </w:p>
    <w:p w14:paraId="74FB6A75">
      <w:pPr>
        <w:spacing w:line="400" w:lineRule="exact"/>
        <w:ind w:firstLine="422" w:firstLineChars="200"/>
        <w:rPr>
          <w:color w:val="000000"/>
          <w:szCs w:val="21"/>
        </w:rPr>
      </w:pPr>
      <w:r>
        <w:rPr>
          <w:rFonts w:hint="eastAsia"/>
          <w:b/>
          <w:bCs/>
          <w:color w:val="000000"/>
          <w:szCs w:val="21"/>
        </w:rPr>
        <w:t>7</w:t>
      </w:r>
      <w:r>
        <w:rPr>
          <w:b/>
          <w:bCs/>
          <w:color w:val="000000"/>
          <w:szCs w:val="21"/>
        </w:rPr>
        <w:t xml:space="preserve"> </w:t>
      </w:r>
      <w:r>
        <w:rPr>
          <w:b/>
          <w:color w:val="000000"/>
          <w:szCs w:val="21"/>
        </w:rPr>
        <w:t xml:space="preserve"> </w:t>
      </w:r>
      <w:r>
        <w:rPr>
          <w:color w:val="000000"/>
          <w:szCs w:val="21"/>
        </w:rPr>
        <w:t>该条款是为防止净化空调系统风管内积尘；</w:t>
      </w:r>
    </w:p>
    <w:p w14:paraId="0E2085D2">
      <w:pPr>
        <w:spacing w:line="400" w:lineRule="exact"/>
        <w:ind w:firstLine="420" w:firstLineChars="200"/>
        <w:rPr>
          <w:color w:val="000000"/>
          <w:szCs w:val="21"/>
        </w:rPr>
      </w:pPr>
      <w:r>
        <w:rPr>
          <w:rFonts w:hint="eastAsia"/>
          <w:color w:val="000000"/>
          <w:szCs w:val="21"/>
        </w:rPr>
        <w:t xml:space="preserve">9  </w:t>
      </w:r>
      <w:r>
        <w:rPr>
          <w:color w:val="000000"/>
          <w:szCs w:val="21"/>
        </w:rPr>
        <w:t>四角加固的主要作用是使风管定形，提高强度，减少漏风；现场经常发现金属风管只加固顶部和底部，不加固两侧的现象，其结果是不能形成加固框，起不到加固作用。该条款要求必须四周加固到位，不得有断边；</w:t>
      </w:r>
    </w:p>
    <w:p w14:paraId="213FA353">
      <w:pPr>
        <w:spacing w:line="400" w:lineRule="exact"/>
        <w:ind w:firstLine="422" w:firstLineChars="200"/>
        <w:rPr>
          <w:color w:val="000000"/>
        </w:rPr>
      </w:pPr>
      <w:r>
        <w:rPr>
          <w:b/>
          <w:bCs/>
          <w:color w:val="000000"/>
        </w:rPr>
        <w:t>10</w:t>
      </w:r>
      <w:r>
        <w:rPr>
          <w:color w:val="000000"/>
        </w:rPr>
        <w:t xml:space="preserve"> </w:t>
      </w:r>
      <w:r>
        <w:rPr>
          <w:rFonts w:hint="eastAsia"/>
          <w:color w:val="000000"/>
        </w:rPr>
        <w:t xml:space="preserve"> </w:t>
      </w:r>
      <w:r>
        <w:rPr>
          <w:color w:val="000000"/>
        </w:rPr>
        <w:t>玻璃钢风管、玻纤风管在施工现场开孔，容易造成玻璃纤维外露，玻纤</w:t>
      </w:r>
      <w:r>
        <w:rPr>
          <w:rFonts w:hint="eastAsia"/>
          <w:color w:val="000000" w:themeColor="text1"/>
          <w14:textFill>
            <w14:solidFill>
              <w14:schemeClr w14:val="tx1"/>
            </w14:solidFill>
          </w14:textFill>
        </w:rPr>
        <w:t>飘浮</w:t>
      </w:r>
      <w:r>
        <w:rPr>
          <w:color w:val="000000"/>
        </w:rPr>
        <w:t>在空气中造成空气污染，损害身体健康。织物布风管作为高大空间、体育场馆等使用，使用便捷，强调材质符合要求，并应安装牢固。</w:t>
      </w:r>
    </w:p>
    <w:p w14:paraId="3C9C4BE8">
      <w:pPr>
        <w:spacing w:line="400" w:lineRule="exact"/>
        <w:rPr>
          <w:color w:val="000000"/>
          <w:szCs w:val="21"/>
        </w:rPr>
      </w:pPr>
      <w:r>
        <w:rPr>
          <w:b/>
          <w:color w:val="000000"/>
          <w:szCs w:val="21"/>
        </w:rPr>
        <w:t>9.3.3</w:t>
      </w:r>
      <w:r>
        <w:rPr>
          <w:color w:val="000000"/>
          <w:szCs w:val="21"/>
        </w:rPr>
        <w:t xml:space="preserve">  风管系统及部件安装质量要求：</w:t>
      </w:r>
    </w:p>
    <w:p w14:paraId="5D3FA80E">
      <w:pPr>
        <w:spacing w:line="400" w:lineRule="exact"/>
        <w:ind w:firstLine="422" w:firstLineChars="200"/>
        <w:rPr>
          <w:color w:val="000000"/>
          <w:szCs w:val="21"/>
        </w:rPr>
      </w:pPr>
      <w:r>
        <w:rPr>
          <w:b/>
          <w:bCs/>
          <w:color w:val="000000"/>
          <w:szCs w:val="21"/>
        </w:rPr>
        <w:t>1</w:t>
      </w:r>
      <w:r>
        <w:rPr>
          <w:color w:val="000000"/>
          <w:szCs w:val="21"/>
        </w:rPr>
        <w:t xml:space="preserve">  风管安装应加强现场成品保护工作，在施工方案中应有具体的保护措施并落实到位。风管吊杆应进行调整，不得有</w:t>
      </w:r>
      <w:r>
        <w:rPr>
          <w:rFonts w:hint="eastAsia"/>
          <w:color w:val="000000" w:themeColor="text1"/>
          <w:szCs w:val="21"/>
          <w14:textFill>
            <w14:solidFill>
              <w14:schemeClr w14:val="tx1"/>
            </w14:solidFill>
          </w14:textFill>
        </w:rPr>
        <w:t>滑</w:t>
      </w:r>
      <w:r>
        <w:rPr>
          <w:color w:val="000000"/>
          <w:szCs w:val="21"/>
        </w:rPr>
        <w:t>动和歪斜现象；</w:t>
      </w:r>
    </w:p>
    <w:p w14:paraId="6FEDD9EE">
      <w:pPr>
        <w:spacing w:line="400" w:lineRule="exact"/>
        <w:ind w:firstLine="422" w:firstLineChars="200"/>
        <w:rPr>
          <w:color w:val="000000"/>
          <w:szCs w:val="21"/>
        </w:rPr>
      </w:pPr>
      <w:r>
        <w:rPr>
          <w:b/>
          <w:bCs/>
          <w:color w:val="000000"/>
          <w:szCs w:val="21"/>
        </w:rPr>
        <w:t xml:space="preserve">2 </w:t>
      </w:r>
      <w:r>
        <w:rPr>
          <w:color w:val="000000"/>
          <w:szCs w:val="21"/>
        </w:rPr>
        <w:t xml:space="preserve"> 风管穿越防火分区等重要部位时，除了应达到该条款的要求外，还应在隐检纪录中详细写清穿墙的具体封闭情况，因为该部位是防火和使用功能的关键部位；</w:t>
      </w:r>
    </w:p>
    <w:p w14:paraId="68EAB0A8">
      <w:pPr>
        <w:spacing w:line="400" w:lineRule="exact"/>
        <w:ind w:firstLine="422" w:firstLineChars="200"/>
        <w:rPr>
          <w:color w:val="000000"/>
          <w:szCs w:val="21"/>
        </w:rPr>
      </w:pPr>
      <w:r>
        <w:rPr>
          <w:b/>
          <w:bCs/>
          <w:color w:val="000000"/>
          <w:szCs w:val="21"/>
        </w:rPr>
        <w:t xml:space="preserve">3~4 </w:t>
      </w:r>
      <w:r>
        <w:rPr>
          <w:color w:val="000000"/>
          <w:szCs w:val="21"/>
        </w:rPr>
        <w:t xml:space="preserve"> 要达到该条文所述的评审标准，应加强工艺标准的培训和执行力度，以及加强现场的检查管理工作。根据建筑设计防火规范的要求，对风管穿越防火墙、防火隔墙及楼板处防火阀、防烟防火阀两侧2.0 m范围内的风管提出了需采取防火保护措施的要求；</w:t>
      </w:r>
    </w:p>
    <w:p w14:paraId="3AB3FDC6">
      <w:pPr>
        <w:spacing w:line="400" w:lineRule="exact"/>
        <w:ind w:firstLine="422" w:firstLineChars="200"/>
        <w:rPr>
          <w:color w:val="000000"/>
          <w:szCs w:val="21"/>
        </w:rPr>
      </w:pPr>
      <w:r>
        <w:rPr>
          <w:b/>
          <w:bCs/>
          <w:color w:val="000000"/>
          <w:szCs w:val="21"/>
        </w:rPr>
        <w:t xml:space="preserve">5 </w:t>
      </w:r>
      <w:r>
        <w:rPr>
          <w:b/>
          <w:color w:val="000000"/>
          <w:szCs w:val="21"/>
        </w:rPr>
        <w:t xml:space="preserve"> </w:t>
      </w:r>
      <w:r>
        <w:rPr>
          <w:color w:val="000000"/>
          <w:szCs w:val="21"/>
        </w:rPr>
        <w:t>各类风口、散流器的安装位置应配合精装修工程的深化设计进行调整布置，以达到位置合理美观的效果。不得在风管上直接铆接风口，是因为风管是薄钢板，最厚不超过1.5 mm，风口固定不牢，破坏风管强度，影响风口出风、增加噪声，应加5 mm⁓10 mm长的短接</w:t>
      </w:r>
      <w:r>
        <w:rPr>
          <w:rFonts w:hint="eastAsia"/>
          <w:color w:val="000000"/>
          <w:szCs w:val="21"/>
        </w:rPr>
        <w:t>；</w:t>
      </w:r>
    </w:p>
    <w:p w14:paraId="5E4E2DBC">
      <w:pPr>
        <w:spacing w:line="400" w:lineRule="exact"/>
        <w:ind w:firstLine="422" w:firstLineChars="200"/>
        <w:rPr>
          <w:color w:val="000000"/>
          <w:szCs w:val="21"/>
        </w:rPr>
      </w:pPr>
      <w:r>
        <w:rPr>
          <w:rFonts w:hint="eastAsia"/>
          <w:b/>
          <w:bCs/>
          <w:color w:val="000000"/>
          <w:szCs w:val="21"/>
        </w:rPr>
        <w:t>9</w:t>
      </w:r>
      <w:r>
        <w:rPr>
          <w:color w:val="000000"/>
          <w:szCs w:val="21"/>
        </w:rPr>
        <w:t xml:space="preserve">  该条款主要是为了保证使用安全；</w:t>
      </w:r>
    </w:p>
    <w:p w14:paraId="5E68C0BD">
      <w:pPr>
        <w:spacing w:line="400" w:lineRule="exact"/>
        <w:ind w:firstLine="422" w:firstLineChars="200"/>
        <w:rPr>
          <w:color w:val="000000"/>
          <w:szCs w:val="21"/>
        </w:rPr>
      </w:pPr>
      <w:r>
        <w:rPr>
          <w:rFonts w:hint="eastAsia"/>
          <w:b/>
          <w:bCs/>
          <w:color w:val="000000"/>
          <w:szCs w:val="21"/>
        </w:rPr>
        <w:t>10</w:t>
      </w:r>
      <w:r>
        <w:rPr>
          <w:b/>
          <w:bCs/>
          <w:color w:val="000000"/>
          <w:szCs w:val="21"/>
        </w:rPr>
        <w:t xml:space="preserve">  </w:t>
      </w:r>
      <w:r>
        <w:rPr>
          <w:color w:val="000000"/>
          <w:szCs w:val="21"/>
        </w:rPr>
        <w:t>通风及空调各系统的调试和运行是强制性条文，也是检验工程安全性、功能性的主要手段，必须要有设计、建设单位参加配合。设计人员除应提供设计参数外，还应对调试出现的问题提出整改意见。建设单位参加是因分包单位较多，可以起到协调作用，又有助于系统的管理和质量验收工作。</w:t>
      </w:r>
    </w:p>
    <w:p w14:paraId="23224E4C">
      <w:pPr>
        <w:pStyle w:val="4"/>
        <w:keepNext/>
        <w:keepLines/>
        <w:numPr>
          <w:ilvl w:val="0"/>
          <w:numId w:val="1"/>
        </w:numPr>
        <w:autoSpaceDE/>
        <w:spacing w:before="20" w:after="20" w:line="400" w:lineRule="exact"/>
        <w:ind w:left="270" w:hanging="270"/>
        <w:jc w:val="center"/>
        <w:rPr>
          <w:rFonts w:ascii="Times New Roman" w:hAnsi="Times New Roman" w:eastAsia="黑体"/>
          <w:b/>
          <w:sz w:val="24"/>
          <w:szCs w:val="24"/>
          <w:lang w:val="en-US"/>
        </w:rPr>
      </w:pPr>
      <w:bookmarkStart w:id="1379" w:name="_Toc25579"/>
      <w:bookmarkStart w:id="1380" w:name="_Toc12119"/>
      <w:bookmarkStart w:id="1381" w:name="_Toc30101"/>
      <w:bookmarkStart w:id="1382" w:name="_Toc26697"/>
      <w:r>
        <w:rPr>
          <w:rFonts w:ascii="Times New Roman" w:hAnsi="Times New Roman" w:eastAsia="黑体"/>
          <w:b/>
          <w:sz w:val="24"/>
          <w:szCs w:val="24"/>
          <w:lang w:val="en-US"/>
        </w:rPr>
        <w:t xml:space="preserve">9.4 </w:t>
      </w:r>
      <w:r>
        <w:rPr>
          <w:rFonts w:hint="eastAsia" w:ascii="Times New Roman" w:hAnsi="Times New Roman" w:eastAsia="黑体"/>
          <w:b/>
          <w:sz w:val="24"/>
          <w:szCs w:val="24"/>
          <w:lang w:val="en-US"/>
        </w:rPr>
        <w:t xml:space="preserve"> 消防</w:t>
      </w:r>
      <w:r>
        <w:rPr>
          <w:rFonts w:ascii="Times New Roman" w:hAnsi="Times New Roman" w:eastAsia="黑体"/>
          <w:b/>
          <w:sz w:val="24"/>
          <w:szCs w:val="24"/>
          <w:lang w:val="en-US"/>
        </w:rPr>
        <w:t>工程</w:t>
      </w:r>
      <w:bookmarkEnd w:id="1379"/>
      <w:bookmarkEnd w:id="1380"/>
      <w:bookmarkEnd w:id="1381"/>
      <w:bookmarkEnd w:id="1382"/>
    </w:p>
    <w:p w14:paraId="5FC34877">
      <w:pPr>
        <w:spacing w:line="400" w:lineRule="exact"/>
        <w:rPr>
          <w:bCs/>
          <w:color w:val="000000"/>
          <w:szCs w:val="21"/>
        </w:rPr>
      </w:pPr>
      <w:r>
        <w:rPr>
          <w:rFonts w:hint="eastAsia"/>
          <w:b/>
          <w:color w:val="000000"/>
          <w:szCs w:val="21"/>
        </w:rPr>
        <w:t>9</w:t>
      </w:r>
      <w:r>
        <w:rPr>
          <w:b/>
          <w:color w:val="000000"/>
          <w:szCs w:val="21"/>
        </w:rPr>
        <w:t xml:space="preserve">.4.1 </w:t>
      </w:r>
      <w:r>
        <w:rPr>
          <w:rFonts w:hint="eastAsia"/>
          <w:b/>
          <w:color w:val="000000"/>
          <w:szCs w:val="21"/>
        </w:rPr>
        <w:t xml:space="preserve"> </w:t>
      </w:r>
      <w:r>
        <w:rPr>
          <w:rFonts w:hint="eastAsia"/>
          <w:bCs/>
          <w:color w:val="000000"/>
          <w:szCs w:val="21"/>
        </w:rPr>
        <w:t>本节对消防系统中消火栓系统、消防喷淋系统和气体灭火系统的内容提出要求。</w:t>
      </w:r>
    </w:p>
    <w:p w14:paraId="733C38CF">
      <w:pPr>
        <w:spacing w:line="400" w:lineRule="exact"/>
        <w:rPr>
          <w:color w:val="000000"/>
          <w:szCs w:val="21"/>
        </w:rPr>
      </w:pPr>
      <w:r>
        <w:rPr>
          <w:b/>
          <w:bCs/>
          <w:color w:val="000000"/>
          <w:szCs w:val="21"/>
        </w:rPr>
        <w:t>9.4.</w:t>
      </w:r>
      <w:r>
        <w:rPr>
          <w:rFonts w:hint="eastAsia"/>
          <w:b/>
          <w:bCs/>
          <w:color w:val="000000"/>
          <w:szCs w:val="21"/>
        </w:rPr>
        <w:t>6</w:t>
      </w:r>
      <w:r>
        <w:rPr>
          <w:b/>
          <w:bCs/>
          <w:color w:val="000000"/>
          <w:szCs w:val="21"/>
        </w:rPr>
        <w:t xml:space="preserve"> </w:t>
      </w:r>
      <w:r>
        <w:rPr>
          <w:color w:val="000000"/>
          <w:szCs w:val="21"/>
        </w:rPr>
        <w:t xml:space="preserve"> 自动灭火系统的水平</w:t>
      </w:r>
      <w:r>
        <w:rPr>
          <w:color w:val="000000" w:themeColor="text1"/>
          <w:szCs w:val="21"/>
          <w14:textFill>
            <w14:solidFill>
              <w14:schemeClr w14:val="tx1"/>
            </w14:solidFill>
          </w14:textFill>
        </w:rPr>
        <w:t>干</w:t>
      </w:r>
      <w:r>
        <w:rPr>
          <w:rFonts w:hint="eastAsia"/>
          <w:color w:val="000000" w:themeColor="text1"/>
          <w:szCs w:val="21"/>
          <w14:textFill>
            <w14:solidFill>
              <w14:schemeClr w14:val="tx1"/>
            </w14:solidFill>
          </w14:textFill>
        </w:rPr>
        <w:t>管</w:t>
      </w:r>
      <w:r>
        <w:rPr>
          <w:color w:val="000000"/>
          <w:szCs w:val="21"/>
        </w:rPr>
        <w:t>、支管必须分层、分段进行试压冲洗试验后，方可隐蔽验收，最后才能安装喷洒头。自动灭火系统是枝状管网，成百上千个泄水点一次进行系统冲洗和排泄是不可能完成的，还会造成越冲越堵、喷头失效的严重后果，故该系统不能进行系统冲洗</w:t>
      </w:r>
      <w:r>
        <w:rPr>
          <w:rFonts w:hint="eastAsia"/>
          <w:color w:val="000000"/>
          <w:szCs w:val="21"/>
        </w:rPr>
        <w:t>。</w:t>
      </w:r>
    </w:p>
    <w:p w14:paraId="1B30D6AA">
      <w:pPr>
        <w:pStyle w:val="2"/>
        <w:ind w:left="0" w:leftChars="0" w:firstLine="0" w:firstLineChars="0"/>
        <w:rPr>
          <w:color w:val="000000"/>
        </w:rPr>
      </w:pPr>
    </w:p>
    <w:p w14:paraId="07D1E99D">
      <w:pPr>
        <w:pStyle w:val="4"/>
        <w:keepNext/>
        <w:keepLines/>
        <w:autoSpaceDE/>
        <w:spacing w:before="20" w:after="20" w:line="400" w:lineRule="exact"/>
        <w:jc w:val="center"/>
        <w:rPr>
          <w:rFonts w:ascii="Times New Roman" w:hAnsi="Times New Roman" w:eastAsia="黑体"/>
          <w:bCs/>
          <w:sz w:val="24"/>
          <w:szCs w:val="24"/>
          <w:lang w:val="en-US"/>
        </w:rPr>
      </w:pPr>
      <w:bookmarkStart w:id="1383" w:name="_Toc23368"/>
      <w:bookmarkStart w:id="1384" w:name="_Toc2944"/>
      <w:bookmarkStart w:id="1385" w:name="_Toc13143"/>
      <w:bookmarkStart w:id="1386" w:name="_Toc8312"/>
      <w:bookmarkStart w:id="1387" w:name="_Toc1411"/>
      <w:bookmarkStart w:id="1388" w:name="_Toc17947"/>
      <w:bookmarkStart w:id="1389" w:name="_Toc12262"/>
      <w:bookmarkStart w:id="1390" w:name="_Toc26381"/>
      <w:r>
        <w:rPr>
          <w:rFonts w:ascii="Times New Roman" w:hAnsi="Times New Roman" w:eastAsia="黑体"/>
          <w:b/>
          <w:sz w:val="24"/>
          <w:szCs w:val="24"/>
          <w:lang w:val="en-US"/>
        </w:rPr>
        <w:t>9.</w:t>
      </w:r>
      <w:r>
        <w:rPr>
          <w:rFonts w:hint="eastAsia" w:ascii="Times New Roman" w:hAnsi="Times New Roman" w:eastAsia="黑体"/>
          <w:b/>
          <w:sz w:val="24"/>
          <w:szCs w:val="24"/>
          <w:lang w:val="en-US"/>
        </w:rPr>
        <w:t>5</w:t>
      </w:r>
      <w:r>
        <w:rPr>
          <w:rFonts w:ascii="Times New Roman" w:hAnsi="Times New Roman" w:eastAsia="黑体"/>
          <w:bCs/>
          <w:sz w:val="24"/>
          <w:szCs w:val="24"/>
          <w:lang w:val="en-US"/>
        </w:rPr>
        <w:t xml:space="preserve"> </w:t>
      </w:r>
      <w:r>
        <w:rPr>
          <w:rFonts w:ascii="Times New Roman" w:hAnsi="Times New Roman"/>
          <w:bCs/>
          <w:sz w:val="24"/>
          <w:szCs w:val="24"/>
          <w:lang w:val="en-US"/>
        </w:rPr>
        <w:t xml:space="preserve"> </w:t>
      </w:r>
      <w:r>
        <w:rPr>
          <w:rFonts w:ascii="Times New Roman" w:hAnsi="Times New Roman" w:eastAsia="黑体"/>
          <w:bCs/>
          <w:sz w:val="24"/>
          <w:szCs w:val="24"/>
          <w:lang w:val="en-US"/>
        </w:rPr>
        <w:t>燃气管道及设备安装工程</w:t>
      </w:r>
      <w:bookmarkEnd w:id="1383"/>
      <w:bookmarkEnd w:id="1384"/>
      <w:bookmarkEnd w:id="1385"/>
      <w:bookmarkEnd w:id="1386"/>
      <w:bookmarkEnd w:id="1387"/>
      <w:bookmarkEnd w:id="1388"/>
      <w:bookmarkEnd w:id="1389"/>
      <w:bookmarkEnd w:id="1390"/>
    </w:p>
    <w:p w14:paraId="6B09CF19">
      <w:pPr>
        <w:spacing w:line="400" w:lineRule="exact"/>
        <w:rPr>
          <w:color w:val="000000"/>
          <w:szCs w:val="21"/>
        </w:rPr>
      </w:pPr>
      <w:r>
        <w:rPr>
          <w:b/>
          <w:color w:val="000000"/>
          <w:szCs w:val="21"/>
        </w:rPr>
        <w:t>9.</w:t>
      </w:r>
      <w:r>
        <w:rPr>
          <w:rFonts w:hint="eastAsia"/>
          <w:b/>
          <w:color w:val="000000"/>
          <w:szCs w:val="21"/>
        </w:rPr>
        <w:t>5</w:t>
      </w:r>
      <w:r>
        <w:rPr>
          <w:b/>
          <w:color w:val="000000"/>
          <w:szCs w:val="21"/>
        </w:rPr>
        <w:t>.1</w:t>
      </w:r>
      <w:r>
        <w:rPr>
          <w:color w:val="000000"/>
          <w:szCs w:val="21"/>
        </w:rPr>
        <w:t xml:space="preserve">  该条款主要为保障燃气设备的排气、排烟的安全性。排气、排烟管道一般较长且阻力大，故必须专用，不得与</w:t>
      </w:r>
      <w:r>
        <w:rPr>
          <w:rFonts w:hint="eastAsia"/>
          <w:color w:val="000000"/>
          <w:szCs w:val="21"/>
        </w:rPr>
        <w:t>其他</w:t>
      </w:r>
      <w:r>
        <w:rPr>
          <w:color w:val="000000"/>
          <w:szCs w:val="21"/>
        </w:rPr>
        <w:t>换气设备连接，否则会破坏烟道的负压条件，造成</w:t>
      </w:r>
      <w:r>
        <w:rPr>
          <w:rFonts w:hint="eastAsia"/>
          <w:color w:val="000000"/>
          <w:szCs w:val="21"/>
        </w:rPr>
        <w:t>其他</w:t>
      </w:r>
      <w:r>
        <w:rPr>
          <w:color w:val="000000"/>
          <w:szCs w:val="21"/>
        </w:rPr>
        <w:t>房间的空气污染。</w:t>
      </w:r>
    </w:p>
    <w:p w14:paraId="123A9DDF">
      <w:pPr>
        <w:spacing w:line="400" w:lineRule="exact"/>
        <w:rPr>
          <w:color w:val="000000"/>
          <w:szCs w:val="21"/>
        </w:rPr>
      </w:pPr>
      <w:r>
        <w:rPr>
          <w:b/>
          <w:color w:val="000000"/>
          <w:szCs w:val="21"/>
        </w:rPr>
        <w:t>9.</w:t>
      </w:r>
      <w:r>
        <w:rPr>
          <w:rFonts w:hint="eastAsia"/>
          <w:b/>
          <w:color w:val="000000"/>
          <w:szCs w:val="21"/>
        </w:rPr>
        <w:t>5</w:t>
      </w:r>
      <w:r>
        <w:rPr>
          <w:b/>
          <w:color w:val="000000"/>
          <w:szCs w:val="21"/>
        </w:rPr>
        <w:t>.2~9.</w:t>
      </w:r>
      <w:r>
        <w:rPr>
          <w:rFonts w:hint="eastAsia"/>
          <w:b/>
          <w:color w:val="000000"/>
          <w:szCs w:val="21"/>
        </w:rPr>
        <w:t>5</w:t>
      </w:r>
      <w:r>
        <w:rPr>
          <w:b/>
          <w:color w:val="000000"/>
          <w:szCs w:val="21"/>
        </w:rPr>
        <w:t>.3</w:t>
      </w:r>
      <w:r>
        <w:rPr>
          <w:color w:val="000000"/>
          <w:szCs w:val="21"/>
        </w:rPr>
        <w:t xml:space="preserve">  为了保证燃气设备和器具的安全使用和便于检修，也是强制性条文的内容。</w:t>
      </w:r>
    </w:p>
    <w:p w14:paraId="641D3ABC">
      <w:pPr>
        <w:spacing w:line="400" w:lineRule="exact"/>
        <w:rPr>
          <w:color w:val="000000"/>
          <w:szCs w:val="21"/>
        </w:rPr>
      </w:pPr>
      <w:r>
        <w:rPr>
          <w:b/>
          <w:color w:val="000000"/>
          <w:szCs w:val="21"/>
        </w:rPr>
        <w:t>9.</w:t>
      </w:r>
      <w:r>
        <w:rPr>
          <w:rFonts w:hint="eastAsia"/>
          <w:b/>
          <w:color w:val="000000"/>
          <w:szCs w:val="21"/>
        </w:rPr>
        <w:t>5</w:t>
      </w:r>
      <w:r>
        <w:rPr>
          <w:b/>
          <w:color w:val="000000"/>
          <w:szCs w:val="21"/>
        </w:rPr>
        <w:t xml:space="preserve">.4  </w:t>
      </w:r>
      <w:r>
        <w:rPr>
          <w:color w:val="000000"/>
          <w:szCs w:val="21"/>
        </w:rPr>
        <w:t>燃气设备及管道专业性强，安全性要求高，其质量和安装标准必须符合相关的质量验收规范、规程以及设计要求。燃气管道主干管的面漆（不包括住宅户内立管和支管）一般为黄色面漆且应标识清楚。</w:t>
      </w:r>
    </w:p>
    <w:p w14:paraId="793DD529">
      <w:pPr>
        <w:spacing w:line="400" w:lineRule="exact"/>
        <w:rPr>
          <w:color w:val="000000"/>
        </w:rPr>
      </w:pPr>
      <w:r>
        <w:rPr>
          <w:b/>
          <w:bCs/>
          <w:color w:val="000000"/>
        </w:rPr>
        <w:t>9.</w:t>
      </w:r>
      <w:r>
        <w:rPr>
          <w:rFonts w:hint="eastAsia"/>
          <w:b/>
          <w:bCs/>
          <w:color w:val="000000"/>
        </w:rPr>
        <w:t>5</w:t>
      </w:r>
      <w:r>
        <w:rPr>
          <w:b/>
          <w:bCs/>
          <w:color w:val="000000"/>
        </w:rPr>
        <w:t>.5</w:t>
      </w:r>
      <w:r>
        <w:rPr>
          <w:color w:val="000000"/>
        </w:rPr>
        <w:t xml:space="preserve"> </w:t>
      </w:r>
      <w:r>
        <w:rPr>
          <w:rFonts w:hint="eastAsia"/>
          <w:color w:val="000000"/>
        </w:rPr>
        <w:t xml:space="preserve">  </w:t>
      </w:r>
      <w:r>
        <w:rPr>
          <w:color w:val="000000"/>
        </w:rPr>
        <w:t>此条是考虑到住宅工程入户燃气管道数量多，多设置于室外人员可以达到的位置，起到防护和误动的作用。</w:t>
      </w:r>
    </w:p>
    <w:p w14:paraId="2F6207F2">
      <w:pPr>
        <w:pStyle w:val="2"/>
        <w:ind w:left="134" w:firstLine="283"/>
        <w:rPr>
          <w:color w:val="000000"/>
        </w:rPr>
      </w:pPr>
    </w:p>
    <w:p w14:paraId="666D470D">
      <w:pPr>
        <w:pStyle w:val="3"/>
        <w:rPr>
          <w:rFonts w:ascii="Times New Roman" w:hAnsi="Times New Roman" w:eastAsia="黑体"/>
          <w:sz w:val="28"/>
          <w:szCs w:val="28"/>
          <w:lang w:val="en-US"/>
        </w:rPr>
      </w:pPr>
      <w:bookmarkStart w:id="1391" w:name="_Toc588"/>
      <w:bookmarkStart w:id="1392" w:name="_Toc7980"/>
      <w:bookmarkStart w:id="1393" w:name="_Toc13242"/>
      <w:bookmarkStart w:id="1394" w:name="_Toc583"/>
      <w:bookmarkStart w:id="1395" w:name="_Toc14918"/>
      <w:bookmarkStart w:id="1396" w:name="_Toc30248"/>
      <w:bookmarkStart w:id="1397" w:name="_Toc8359"/>
      <w:bookmarkStart w:id="1398" w:name="_Toc28874"/>
      <w:r>
        <w:rPr>
          <w:rFonts w:hint="eastAsia" w:ascii="Times New Roman" w:hAnsi="Times New Roman" w:eastAsia="黑体"/>
          <w:sz w:val="28"/>
          <w:szCs w:val="28"/>
          <w:lang w:val="en-US"/>
        </w:rPr>
        <w:t>10  改造工程</w:t>
      </w:r>
      <w:bookmarkEnd w:id="1391"/>
      <w:bookmarkEnd w:id="1392"/>
      <w:bookmarkEnd w:id="1393"/>
      <w:bookmarkEnd w:id="1394"/>
      <w:bookmarkEnd w:id="1395"/>
      <w:bookmarkEnd w:id="1396"/>
      <w:bookmarkEnd w:id="1397"/>
      <w:bookmarkEnd w:id="1398"/>
    </w:p>
    <w:p w14:paraId="1EF42896">
      <w:pPr>
        <w:spacing w:line="400" w:lineRule="exact"/>
        <w:rPr>
          <w:bCs/>
          <w:color w:val="000000"/>
          <w:szCs w:val="21"/>
        </w:rPr>
      </w:pPr>
      <w:r>
        <w:rPr>
          <w:rFonts w:hint="eastAsia"/>
          <w:b/>
          <w:color w:val="000000"/>
        </w:rPr>
        <w:t>10.1.1</w:t>
      </w:r>
      <w:r>
        <w:rPr>
          <w:bCs/>
          <w:color w:val="000000"/>
        </w:rPr>
        <w:t xml:space="preserve"> </w:t>
      </w:r>
      <w:r>
        <w:rPr>
          <w:rFonts w:hint="eastAsia"/>
          <w:bCs/>
          <w:color w:val="000000"/>
        </w:rPr>
        <w:t xml:space="preserve"> </w:t>
      </w:r>
      <w:r>
        <w:rPr>
          <w:rFonts w:hint="eastAsia"/>
          <w:bCs/>
          <w:color w:val="000000"/>
          <w:szCs w:val="21"/>
        </w:rPr>
        <w:t>对改造工程包括的主要项目、范围、内容进行了说明，并对改造工程施工质量提出总体要求。</w:t>
      </w:r>
    </w:p>
    <w:p w14:paraId="6DDFD929">
      <w:pPr>
        <w:spacing w:line="400" w:lineRule="exact"/>
        <w:rPr>
          <w:bCs/>
          <w:color w:val="000000"/>
          <w:szCs w:val="21"/>
        </w:rPr>
      </w:pPr>
      <w:r>
        <w:rPr>
          <w:rFonts w:hint="eastAsia"/>
          <w:b/>
          <w:color w:val="000000"/>
          <w:szCs w:val="21"/>
        </w:rPr>
        <w:t>10.1.4</w:t>
      </w:r>
      <w:r>
        <w:rPr>
          <w:rFonts w:hint="eastAsia"/>
          <w:bCs/>
          <w:color w:val="000000"/>
          <w:szCs w:val="21"/>
        </w:rPr>
        <w:t xml:space="preserve">  住宅工程改造严禁变动住宅建筑主体和承重结构，包括：（一）改变房屋的基础、承重墙体、梁柱、楼盖、屋顶等房屋原始设计承重构件。（二）扩大承重墙上原有的门窗尺寸。（三）拆除连接房屋与阳台的墙体等行为。</w:t>
      </w:r>
    </w:p>
    <w:p w14:paraId="236549B5">
      <w:pPr>
        <w:spacing w:line="400" w:lineRule="exact"/>
        <w:rPr>
          <w:color w:val="000000"/>
          <w:szCs w:val="21"/>
        </w:rPr>
      </w:pPr>
      <w:r>
        <w:rPr>
          <w:rFonts w:hint="eastAsia"/>
          <w:b/>
          <w:color w:val="000000"/>
        </w:rPr>
        <w:t>10.1.6</w:t>
      </w:r>
      <w:r>
        <w:rPr>
          <w:bCs/>
          <w:color w:val="000000"/>
          <w:szCs w:val="21"/>
        </w:rPr>
        <w:t xml:space="preserve"> </w:t>
      </w:r>
      <w:r>
        <w:rPr>
          <w:rFonts w:hint="eastAsia"/>
          <w:bCs/>
          <w:color w:val="000000"/>
          <w:szCs w:val="21"/>
        </w:rPr>
        <w:t xml:space="preserve"> </w:t>
      </w:r>
      <w:r>
        <w:rPr>
          <w:rFonts w:hint="eastAsia"/>
          <w:color w:val="000000"/>
          <w:szCs w:val="21"/>
        </w:rPr>
        <w:t>改造工程使用的主要材料和产品应按照现行国家标准《建筑工程施工质量验收统一标准》GB50300相关要求进行进场检验和复验，并进行施工过程质量验收。</w:t>
      </w:r>
    </w:p>
    <w:p w14:paraId="0ECBC7E4">
      <w:pPr>
        <w:spacing w:line="400" w:lineRule="exact"/>
        <w:rPr>
          <w:bCs/>
          <w:color w:val="000000"/>
          <w:szCs w:val="21"/>
        </w:rPr>
      </w:pPr>
      <w:r>
        <w:rPr>
          <w:rFonts w:hint="eastAsia"/>
          <w:b/>
          <w:color w:val="000000"/>
        </w:rPr>
        <w:t xml:space="preserve">10.2.1  </w:t>
      </w:r>
      <w:r>
        <w:rPr>
          <w:rFonts w:hint="eastAsia"/>
          <w:bCs/>
          <w:color w:val="000000"/>
          <w:szCs w:val="21"/>
        </w:rPr>
        <w:t>拆除工程应确保施工安全和结构安全，严格执行《建筑拆除工程安全技术规范》和北京市《关于进一步加强建筑拆除工程安全生产和绿色施工管理工作的通知》京建法〔2017〕9号的要求。施工前应编制施工组织设计、安全专项施工方案和生产安全事故应急预案，对危险性较大的拆除工程专项施工方案，并应组织专家论证。</w:t>
      </w:r>
    </w:p>
    <w:p w14:paraId="38D3DF77">
      <w:pPr>
        <w:spacing w:line="400" w:lineRule="exact"/>
        <w:rPr>
          <w:bCs/>
          <w:color w:val="000000"/>
          <w:szCs w:val="21"/>
        </w:rPr>
      </w:pPr>
      <w:r>
        <w:rPr>
          <w:rFonts w:hint="eastAsia"/>
          <w:b/>
          <w:color w:val="000000"/>
        </w:rPr>
        <w:t>10.2.2</w:t>
      </w:r>
      <w:r>
        <w:rPr>
          <w:bCs/>
          <w:color w:val="000000"/>
          <w:szCs w:val="21"/>
        </w:rPr>
        <w:t xml:space="preserve"> </w:t>
      </w:r>
      <w:r>
        <w:rPr>
          <w:rFonts w:hint="eastAsia"/>
          <w:bCs/>
          <w:color w:val="000000"/>
          <w:szCs w:val="21"/>
        </w:rPr>
        <w:t xml:space="preserve"> 拆除工程应执行《北京市建筑垃圾处置管理规定》中的各项要求，对建筑垃圾实行强制分类和资源化利用。</w:t>
      </w:r>
    </w:p>
    <w:p w14:paraId="14F1184D">
      <w:pPr>
        <w:spacing w:line="400" w:lineRule="exact"/>
        <w:rPr>
          <w:color w:val="000000"/>
        </w:rPr>
      </w:pPr>
      <w:r>
        <w:rPr>
          <w:rFonts w:hint="eastAsia"/>
          <w:b/>
          <w:color w:val="000000"/>
        </w:rPr>
        <w:t>10.3.5</w:t>
      </w:r>
      <w:r>
        <w:rPr>
          <w:rFonts w:hint="eastAsia"/>
          <w:bCs/>
          <w:color w:val="000000"/>
        </w:rPr>
        <w:t xml:space="preserve">  </w:t>
      </w:r>
      <w:r>
        <w:rPr>
          <w:rFonts w:hint="eastAsia"/>
          <w:color w:val="000000"/>
        </w:rPr>
        <w:t>基础补强注浆加固法质量还应符合：对单独基础每边钻孔不应少于2个，对条形基础应沿基础纵向分段施工，每段长度可取1.5</w:t>
      </w:r>
      <w:r>
        <w:rPr>
          <w:color w:val="000000"/>
        </w:rPr>
        <w:t xml:space="preserve"> </w:t>
      </w:r>
      <w:r>
        <w:rPr>
          <w:rFonts w:hint="eastAsia"/>
          <w:color w:val="000000"/>
        </w:rPr>
        <w:t>m～2.0</w:t>
      </w:r>
      <w:r>
        <w:rPr>
          <w:color w:val="000000"/>
        </w:rPr>
        <w:t xml:space="preserve"> </w:t>
      </w:r>
      <w:r>
        <w:rPr>
          <w:rFonts w:hint="eastAsia"/>
          <w:color w:val="000000"/>
        </w:rPr>
        <w:t>m；在原基础破损处钻孔，注浆管直径可为25</w:t>
      </w:r>
      <w:r>
        <w:rPr>
          <w:color w:val="000000"/>
        </w:rPr>
        <w:t xml:space="preserve"> </w:t>
      </w:r>
      <w:r>
        <w:rPr>
          <w:rFonts w:hint="eastAsia"/>
          <w:color w:val="000000"/>
        </w:rPr>
        <w:t>mm，钻孔与水平面的倾角不应小于30°，钻孔直径不应小于注浆管的直径，钻孔孔距可为0.5</w:t>
      </w:r>
      <w:r>
        <w:rPr>
          <w:color w:val="000000"/>
        </w:rPr>
        <w:t xml:space="preserve"> </w:t>
      </w:r>
      <w:r>
        <w:rPr>
          <w:rFonts w:hint="eastAsia"/>
          <w:color w:val="000000"/>
        </w:rPr>
        <w:t>m～1.0</w:t>
      </w:r>
      <w:r>
        <w:rPr>
          <w:color w:val="000000"/>
        </w:rPr>
        <w:t xml:space="preserve"> </w:t>
      </w:r>
      <w:r>
        <w:rPr>
          <w:rFonts w:hint="eastAsia"/>
          <w:color w:val="000000"/>
        </w:rPr>
        <w:t>m；注浆浆液材料可采用水泥浆或改性环氧树脂等，注浆压力应取0.1</w:t>
      </w:r>
      <w:r>
        <w:rPr>
          <w:color w:val="000000"/>
        </w:rPr>
        <w:t xml:space="preserve"> </w:t>
      </w:r>
      <w:r>
        <w:rPr>
          <w:rFonts w:hint="eastAsia"/>
          <w:color w:val="000000"/>
        </w:rPr>
        <w:t>MPa～0.3</w:t>
      </w:r>
      <w:r>
        <w:rPr>
          <w:color w:val="000000"/>
        </w:rPr>
        <w:t xml:space="preserve"> </w:t>
      </w:r>
      <w:r>
        <w:rPr>
          <w:rFonts w:hint="eastAsia"/>
          <w:color w:val="000000"/>
        </w:rPr>
        <w:t>MPa。如果浆液不下沉，可逐渐加大压力至0.6</w:t>
      </w:r>
      <w:r>
        <w:rPr>
          <w:color w:val="000000"/>
        </w:rPr>
        <w:t xml:space="preserve"> </w:t>
      </w:r>
      <w:r>
        <w:rPr>
          <w:rFonts w:hint="eastAsia"/>
          <w:color w:val="000000"/>
        </w:rPr>
        <w:t>MPa，浆液在10</w:t>
      </w:r>
      <w:r>
        <w:rPr>
          <w:color w:val="000000"/>
        </w:rPr>
        <w:t xml:space="preserve"> </w:t>
      </w:r>
      <w:r>
        <w:rPr>
          <w:rFonts w:hint="eastAsia"/>
          <w:color w:val="000000"/>
        </w:rPr>
        <w:t>min～15</w:t>
      </w:r>
      <w:r>
        <w:rPr>
          <w:color w:val="000000"/>
        </w:rPr>
        <w:t xml:space="preserve"> </w:t>
      </w:r>
      <w:r>
        <w:rPr>
          <w:rFonts w:hint="eastAsia"/>
          <w:color w:val="000000"/>
        </w:rPr>
        <w:t>min内不再下沉，可停止注浆。</w:t>
      </w:r>
    </w:p>
    <w:p w14:paraId="661AC1AC">
      <w:pPr>
        <w:spacing w:line="400" w:lineRule="exact"/>
        <w:rPr>
          <w:color w:val="000000"/>
        </w:rPr>
      </w:pPr>
      <w:r>
        <w:rPr>
          <w:rFonts w:hint="eastAsia"/>
          <w:b/>
          <w:color w:val="000000"/>
        </w:rPr>
        <w:t xml:space="preserve">10.3.6  </w:t>
      </w:r>
      <w:r>
        <w:rPr>
          <w:rFonts w:hint="eastAsia"/>
          <w:color w:val="000000"/>
        </w:rPr>
        <w:t>扩大基础质量还应符合：加大基础底面积法适用于当既有建筑物荷载增加、地基承载力或基础底面尺寸不满足设计要求，且基础埋置较浅，基础具有扩大条件时的加固，可采用混凝土套或钢筋混凝土套扩大基础底面积的方法，应有有效措施，保证新、旧混凝土的连接牢固和变形协调；在灌注混凝土前，应将原基础凿毛和刷洗干净，刷一层高强度等级水泥浆或涂混凝土界面剂增加新、旧混凝土基础的粘接力；对基础加宽部分，地基上应铺设厚度和材料与原基础垫层相同的夯实垫层；当采用混凝土套加固时，应沿基础高度隔一定距离设置锚固钢筋，基础加宽部分的主筋应与原基础内主筋焊接连接；条形基础加宽时，应按长度1.5</w:t>
      </w:r>
      <w:r>
        <w:rPr>
          <w:color w:val="000000"/>
        </w:rPr>
        <w:t xml:space="preserve"> </w:t>
      </w:r>
      <w:r>
        <w:rPr>
          <w:rFonts w:hint="eastAsia"/>
          <w:color w:val="000000"/>
        </w:rPr>
        <w:t>m～2.0</w:t>
      </w:r>
      <w:r>
        <w:rPr>
          <w:color w:val="000000"/>
        </w:rPr>
        <w:t xml:space="preserve"> </w:t>
      </w:r>
      <w:r>
        <w:rPr>
          <w:rFonts w:hint="eastAsia"/>
          <w:color w:val="000000"/>
        </w:rPr>
        <w:t>m划分单独区段，并采用分批、分段、间隔施工的方法；较大的柱基用基础加深加固法加固时，应将基础面积划分为几个单元进行加固，一次加固不宜超过基础总面积的20%，施工顺序应先从角端开始。</w:t>
      </w:r>
    </w:p>
    <w:p w14:paraId="1C031E07">
      <w:pPr>
        <w:spacing w:line="400" w:lineRule="exact"/>
        <w:rPr>
          <w:color w:val="000000"/>
        </w:rPr>
      </w:pPr>
      <w:r>
        <w:rPr>
          <w:rFonts w:hint="eastAsia"/>
          <w:b/>
          <w:color w:val="000000"/>
        </w:rPr>
        <w:t>10.3.8</w:t>
      </w:r>
      <w:r>
        <w:rPr>
          <w:bCs/>
          <w:color w:val="000000"/>
        </w:rPr>
        <w:t xml:space="preserve"> </w:t>
      </w:r>
      <w:r>
        <w:rPr>
          <w:rFonts w:hint="eastAsia"/>
          <w:bCs/>
          <w:color w:val="000000"/>
        </w:rPr>
        <w:t xml:space="preserve"> </w:t>
      </w:r>
      <w:r>
        <w:rPr>
          <w:rFonts w:hint="eastAsia"/>
          <w:color w:val="000000"/>
        </w:rPr>
        <w:t>树根桩桩身不得出现缩颈和塌孔；树根桩每3根～6根，应留一组试块的混凝土抗压强度试验报告。</w:t>
      </w:r>
    </w:p>
    <w:p w14:paraId="6F51AB96">
      <w:pPr>
        <w:spacing w:line="400" w:lineRule="exact"/>
        <w:rPr>
          <w:color w:val="000000"/>
        </w:rPr>
      </w:pPr>
      <w:r>
        <w:rPr>
          <w:rFonts w:hint="eastAsia"/>
          <w:b/>
          <w:color w:val="000000"/>
        </w:rPr>
        <w:t xml:space="preserve">10.3.9  </w:t>
      </w:r>
      <w:r>
        <w:rPr>
          <w:rFonts w:hint="eastAsia"/>
          <w:color w:val="000000"/>
        </w:rPr>
        <w:t>坑式静压桩桩尖到达设计深度后，压桩力不得小于单桩竖向承载力特征值的2倍，且持续时间不应少于5</w:t>
      </w:r>
      <w:r>
        <w:rPr>
          <w:color w:val="000000"/>
        </w:rPr>
        <w:t xml:space="preserve"> </w:t>
      </w:r>
      <w:r>
        <w:rPr>
          <w:rFonts w:hint="eastAsia"/>
          <w:color w:val="000000"/>
        </w:rPr>
        <w:t>min。</w:t>
      </w:r>
    </w:p>
    <w:p w14:paraId="385AAE72">
      <w:pPr>
        <w:spacing w:line="400" w:lineRule="exact"/>
        <w:rPr>
          <w:color w:val="000000"/>
        </w:rPr>
      </w:pPr>
      <w:r>
        <w:rPr>
          <w:rFonts w:hint="eastAsia"/>
          <w:b/>
          <w:color w:val="000000"/>
        </w:rPr>
        <w:t xml:space="preserve">10.3.10  </w:t>
      </w:r>
      <w:r>
        <w:rPr>
          <w:rFonts w:hint="eastAsia"/>
          <w:color w:val="000000"/>
        </w:rPr>
        <w:t>注浆加固土体的质量还应符合：</w:t>
      </w:r>
      <w:r>
        <w:rPr>
          <w:color w:val="000000"/>
        </w:rPr>
        <w:t>封闭泥浆的</w:t>
      </w:r>
      <w:r>
        <w:rPr>
          <w:rFonts w:hint="eastAsia"/>
          <w:color w:val="000000"/>
        </w:rPr>
        <w:t>7</w:t>
      </w:r>
      <w:r>
        <w:rPr>
          <w:color w:val="000000"/>
        </w:rPr>
        <w:t xml:space="preserve"> </w:t>
      </w:r>
      <w:r>
        <w:rPr>
          <w:rFonts w:hint="eastAsia"/>
          <w:color w:val="000000"/>
        </w:rPr>
        <w:t>d立方体试块的抗压强度应为0</w:t>
      </w:r>
      <w:r>
        <w:rPr>
          <w:color w:val="000000"/>
        </w:rPr>
        <w:t>.3 MP</w:t>
      </w:r>
      <w:r>
        <w:rPr>
          <w:rFonts w:hint="eastAsia"/>
          <w:color w:val="000000"/>
        </w:rPr>
        <w:t>～0</w:t>
      </w:r>
      <w:r>
        <w:rPr>
          <w:color w:val="000000"/>
        </w:rPr>
        <w:t>.5 MPa</w:t>
      </w:r>
      <w:r>
        <w:rPr>
          <w:rFonts w:hint="eastAsia"/>
          <w:color w:val="000000"/>
        </w:rPr>
        <w:t>，</w:t>
      </w:r>
      <w:r>
        <w:rPr>
          <w:color w:val="000000"/>
        </w:rPr>
        <w:t>浆液黏度应为80″～90″；在</w:t>
      </w:r>
      <w:r>
        <w:rPr>
          <w:rFonts w:hint="eastAsia"/>
          <w:color w:val="000000"/>
        </w:rPr>
        <w:t>加固土的全部深度范围内，每间隔1</w:t>
      </w:r>
      <w:r>
        <w:rPr>
          <w:color w:val="000000"/>
        </w:rPr>
        <w:t xml:space="preserve">.0 </w:t>
      </w:r>
      <w:r>
        <w:rPr>
          <w:rFonts w:hint="eastAsia"/>
          <w:color w:val="000000"/>
        </w:rPr>
        <w:t>m取样进行室内试验，测定其压缩性，强度或渗透性。</w:t>
      </w:r>
    </w:p>
    <w:p w14:paraId="6E3863A1">
      <w:pPr>
        <w:spacing w:line="400" w:lineRule="exact"/>
        <w:rPr>
          <w:rFonts w:ascii="宋体" w:hAnsi="宋体"/>
          <w:color w:val="000000"/>
        </w:rPr>
      </w:pPr>
      <w:r>
        <w:rPr>
          <w:rFonts w:hint="eastAsia"/>
          <w:b/>
          <w:color w:val="000000"/>
        </w:rPr>
        <w:t xml:space="preserve">10.3.11  </w:t>
      </w:r>
      <w:r>
        <w:rPr>
          <w:rFonts w:hint="eastAsia"/>
          <w:color w:val="000000"/>
        </w:rPr>
        <w:t>石灰桩质量还应符合：石灰桩的检验数量不应少于总桩数的2</w:t>
      </w:r>
      <w:r>
        <w:rPr>
          <w:color w:val="000000"/>
        </w:rPr>
        <w:t xml:space="preserve"> </w:t>
      </w:r>
      <w:r>
        <w:rPr>
          <w:rFonts w:hint="eastAsia"/>
          <w:color w:val="000000"/>
        </w:rPr>
        <w:t>%，且不得少于3根；</w:t>
      </w:r>
      <w:r>
        <w:rPr>
          <w:rFonts w:hint="eastAsia" w:ascii="宋体" w:hAnsi="宋体"/>
          <w:color w:val="000000"/>
        </w:rPr>
        <w:t>石灰桩质量检验可在施工结束28</w:t>
      </w:r>
      <w:r>
        <w:rPr>
          <w:rFonts w:ascii="宋体" w:hAnsi="宋体"/>
          <w:color w:val="000000"/>
        </w:rPr>
        <w:t xml:space="preserve"> </w:t>
      </w:r>
      <w:r>
        <w:rPr>
          <w:rFonts w:hint="eastAsia" w:ascii="宋体" w:hAnsi="宋体"/>
          <w:color w:val="000000"/>
        </w:rPr>
        <w:t>d后进行桩体和桩间土强度检测。</w:t>
      </w:r>
    </w:p>
    <w:p w14:paraId="5523B1BE">
      <w:pPr>
        <w:spacing w:line="400" w:lineRule="exact"/>
        <w:rPr>
          <w:color w:val="000000"/>
          <w:szCs w:val="22"/>
        </w:rPr>
      </w:pPr>
      <w:r>
        <w:rPr>
          <w:rFonts w:hint="eastAsia"/>
          <w:b/>
          <w:color w:val="000000"/>
        </w:rPr>
        <w:t xml:space="preserve">10.4.5  </w:t>
      </w:r>
      <w:r>
        <w:rPr>
          <w:color w:val="000000"/>
          <w:szCs w:val="22"/>
        </w:rPr>
        <w:t>混凝土</w:t>
      </w:r>
      <w:r>
        <w:rPr>
          <w:rFonts w:hint="eastAsia"/>
          <w:color w:val="000000"/>
          <w:szCs w:val="22"/>
        </w:rPr>
        <w:t>构件</w:t>
      </w:r>
      <w:r>
        <w:rPr>
          <w:color w:val="000000"/>
          <w:szCs w:val="22"/>
        </w:rPr>
        <w:t>增大截面加固质量</w:t>
      </w:r>
      <w:r>
        <w:rPr>
          <w:rFonts w:hint="eastAsia"/>
          <w:color w:val="000000"/>
          <w:szCs w:val="22"/>
        </w:rPr>
        <w:t>还</w:t>
      </w:r>
      <w:r>
        <w:rPr>
          <w:color w:val="000000"/>
          <w:szCs w:val="22"/>
        </w:rPr>
        <w:t>应符合</w:t>
      </w:r>
      <w:r>
        <w:rPr>
          <w:rFonts w:hint="eastAsia"/>
          <w:color w:val="000000"/>
          <w:szCs w:val="22"/>
        </w:rPr>
        <w:t>：</w:t>
      </w:r>
      <w:r>
        <w:rPr>
          <w:color w:val="000000"/>
          <w:szCs w:val="21"/>
        </w:rPr>
        <w:t>新增混凝土结构的</w:t>
      </w:r>
      <w:r>
        <w:rPr>
          <w:rFonts w:hint="eastAsia"/>
          <w:color w:val="000000"/>
          <w:szCs w:val="21"/>
        </w:rPr>
        <w:t>几何</w:t>
      </w:r>
      <w:r>
        <w:rPr>
          <w:color w:val="000000"/>
          <w:szCs w:val="21"/>
        </w:rPr>
        <w:t>尺寸不应有严重缺陷及影响结构性能和使用功能的尺寸偏差</w:t>
      </w:r>
      <w:r>
        <w:rPr>
          <w:rFonts w:hint="eastAsia"/>
          <w:color w:val="000000"/>
          <w:szCs w:val="21"/>
        </w:rPr>
        <w:t>；</w:t>
      </w:r>
      <w:r>
        <w:rPr>
          <w:rFonts w:hint="eastAsia"/>
          <w:color w:val="000000"/>
          <w:szCs w:val="22"/>
        </w:rPr>
        <w:t>对</w:t>
      </w:r>
      <w:r>
        <w:rPr>
          <w:color w:val="000000"/>
          <w:szCs w:val="22"/>
        </w:rPr>
        <w:t>结构加固截面纵向钢筋保护层厚度的允许偏差，应符合下列规定</w:t>
      </w:r>
      <w:r>
        <w:rPr>
          <w:rFonts w:hint="eastAsia"/>
          <w:color w:val="000000"/>
          <w:szCs w:val="22"/>
        </w:rPr>
        <w:t>，对</w:t>
      </w:r>
      <w:r>
        <w:rPr>
          <w:color w:val="000000"/>
          <w:szCs w:val="22"/>
        </w:rPr>
        <w:t>梁类构件，为</w:t>
      </w:r>
      <w:r>
        <w:rPr>
          <w:rFonts w:hint="eastAsia"/>
          <w:color w:val="000000"/>
          <w:szCs w:val="22"/>
        </w:rPr>
        <w:t>+10</w:t>
      </w:r>
      <w:r>
        <w:rPr>
          <w:color w:val="000000"/>
          <w:szCs w:val="22"/>
        </w:rPr>
        <w:t xml:space="preserve"> mm</w:t>
      </w:r>
      <w:r>
        <w:rPr>
          <w:rFonts w:hint="eastAsia"/>
          <w:color w:val="000000"/>
          <w:szCs w:val="22"/>
        </w:rPr>
        <w:t>，-3</w:t>
      </w:r>
      <w:r>
        <w:rPr>
          <w:color w:val="000000"/>
          <w:szCs w:val="22"/>
        </w:rPr>
        <w:t xml:space="preserve"> mm</w:t>
      </w:r>
      <w:r>
        <w:rPr>
          <w:rFonts w:hint="eastAsia"/>
          <w:color w:val="000000"/>
          <w:szCs w:val="22"/>
        </w:rPr>
        <w:t>，对</w:t>
      </w:r>
      <w:r>
        <w:rPr>
          <w:color w:val="000000"/>
          <w:szCs w:val="22"/>
        </w:rPr>
        <w:t>板类构件，为</w:t>
      </w:r>
      <w:r>
        <w:rPr>
          <w:rFonts w:hint="eastAsia"/>
          <w:color w:val="000000"/>
          <w:szCs w:val="22"/>
        </w:rPr>
        <w:t>+</w:t>
      </w:r>
      <w:r>
        <w:rPr>
          <w:color w:val="000000"/>
          <w:szCs w:val="22"/>
        </w:rPr>
        <w:t>8 mm</w:t>
      </w:r>
      <w:r>
        <w:rPr>
          <w:rFonts w:hint="eastAsia"/>
          <w:color w:val="000000"/>
          <w:szCs w:val="22"/>
        </w:rPr>
        <w:t>，-</w:t>
      </w:r>
      <w:r>
        <w:rPr>
          <w:color w:val="000000"/>
          <w:szCs w:val="22"/>
        </w:rPr>
        <w:t>0 mm</w:t>
      </w:r>
      <w:r>
        <w:rPr>
          <w:rFonts w:hint="eastAsia"/>
          <w:color w:val="000000"/>
          <w:szCs w:val="22"/>
        </w:rPr>
        <w:t>，对</w:t>
      </w:r>
      <w:r>
        <w:rPr>
          <w:color w:val="000000"/>
          <w:szCs w:val="22"/>
        </w:rPr>
        <w:t>墙、柱类构件，底层为</w:t>
      </w:r>
      <w:r>
        <w:rPr>
          <w:rFonts w:hint="eastAsia"/>
          <w:color w:val="000000"/>
          <w:szCs w:val="22"/>
        </w:rPr>
        <w:t>+</w:t>
      </w:r>
      <w:r>
        <w:rPr>
          <w:color w:val="000000"/>
          <w:szCs w:val="22"/>
        </w:rPr>
        <w:t>10 mm</w:t>
      </w:r>
      <w:r>
        <w:rPr>
          <w:rFonts w:hint="eastAsia"/>
          <w:color w:val="000000"/>
          <w:szCs w:val="22"/>
        </w:rPr>
        <w:t>，-</w:t>
      </w:r>
      <w:r>
        <w:rPr>
          <w:color w:val="000000"/>
          <w:szCs w:val="22"/>
        </w:rPr>
        <w:t>0 mm</w:t>
      </w:r>
      <w:r>
        <w:rPr>
          <w:rFonts w:hint="eastAsia"/>
          <w:color w:val="000000"/>
          <w:szCs w:val="22"/>
        </w:rPr>
        <w:t>，</w:t>
      </w:r>
      <w:r>
        <w:rPr>
          <w:color w:val="000000"/>
          <w:szCs w:val="22"/>
        </w:rPr>
        <w:t>其他楼层按梁类构件</w:t>
      </w:r>
      <w:r>
        <w:rPr>
          <w:rFonts w:hint="eastAsia"/>
          <w:color w:val="000000"/>
          <w:szCs w:val="22"/>
        </w:rPr>
        <w:t>的</w:t>
      </w:r>
      <w:r>
        <w:rPr>
          <w:color w:val="000000"/>
          <w:szCs w:val="22"/>
        </w:rPr>
        <w:t>要求执行。</w:t>
      </w:r>
    </w:p>
    <w:p w14:paraId="5223B6F8">
      <w:pPr>
        <w:spacing w:line="400" w:lineRule="exact"/>
        <w:rPr>
          <w:color w:val="000000"/>
          <w:szCs w:val="21"/>
        </w:rPr>
      </w:pPr>
      <w:r>
        <w:rPr>
          <w:rFonts w:hint="eastAsia"/>
          <w:b/>
          <w:color w:val="000000"/>
        </w:rPr>
        <w:t xml:space="preserve">10.4.6  </w:t>
      </w:r>
      <w:r>
        <w:rPr>
          <w:rFonts w:hint="eastAsia" w:ascii="宋体" w:hAnsi="宋体"/>
          <w:color w:val="000000"/>
          <w:szCs w:val="21"/>
        </w:rPr>
        <w:t>混凝土</w:t>
      </w:r>
      <w:r>
        <w:rPr>
          <w:rFonts w:ascii="宋体" w:hAnsi="宋体"/>
          <w:color w:val="000000"/>
          <w:szCs w:val="21"/>
        </w:rPr>
        <w:t>构件</w:t>
      </w:r>
      <w:r>
        <w:rPr>
          <w:rFonts w:hint="eastAsia" w:ascii="宋体" w:hAnsi="宋体"/>
          <w:color w:val="000000"/>
          <w:szCs w:val="21"/>
        </w:rPr>
        <w:t>外</w:t>
      </w:r>
      <w:r>
        <w:rPr>
          <w:rFonts w:ascii="宋体" w:hAnsi="宋体"/>
          <w:color w:val="000000"/>
          <w:szCs w:val="21"/>
        </w:rPr>
        <w:t>包型钢</w:t>
      </w:r>
      <w:r>
        <w:rPr>
          <w:rFonts w:hint="eastAsia" w:ascii="宋体" w:hAnsi="宋体"/>
          <w:color w:val="000000"/>
          <w:szCs w:val="21"/>
        </w:rPr>
        <w:t>加固还应符合：</w:t>
      </w:r>
      <w:r>
        <w:rPr>
          <w:rFonts w:hint="eastAsia"/>
          <w:color w:val="000000"/>
          <w:szCs w:val="21"/>
        </w:rPr>
        <w:t>钢部件</w:t>
      </w:r>
      <w:r>
        <w:rPr>
          <w:color w:val="000000"/>
          <w:szCs w:val="21"/>
        </w:rPr>
        <w:t>及其连接件的制作和试</w:t>
      </w:r>
      <w:r>
        <w:rPr>
          <w:rFonts w:hint="eastAsia"/>
          <w:color w:val="000000"/>
          <w:szCs w:val="21"/>
        </w:rPr>
        <w:t>安装</w:t>
      </w:r>
      <w:r>
        <w:rPr>
          <w:color w:val="000000"/>
          <w:szCs w:val="21"/>
        </w:rPr>
        <w:t>不应有</w:t>
      </w:r>
      <w:r>
        <w:rPr>
          <w:rFonts w:hint="eastAsia"/>
          <w:color w:val="000000"/>
          <w:szCs w:val="21"/>
        </w:rPr>
        <w:t>严重</w:t>
      </w:r>
      <w:r>
        <w:rPr>
          <w:color w:val="000000"/>
          <w:szCs w:val="21"/>
        </w:rPr>
        <w:t>缺陷和影响结构性能和使用功能的尺寸偏差</w:t>
      </w:r>
      <w:r>
        <w:rPr>
          <w:rFonts w:hint="eastAsia"/>
          <w:color w:val="000000"/>
          <w:szCs w:val="21"/>
        </w:rPr>
        <w:t>；</w:t>
      </w:r>
      <w:r>
        <w:rPr>
          <w:rFonts w:hint="eastAsia" w:ascii="宋体" w:hAnsi="宋体"/>
          <w:color w:val="000000"/>
          <w:szCs w:val="21"/>
        </w:rPr>
        <w:t>型钢</w:t>
      </w:r>
      <w:r>
        <w:rPr>
          <w:rFonts w:ascii="宋体" w:hAnsi="宋体"/>
          <w:color w:val="000000"/>
          <w:szCs w:val="21"/>
        </w:rPr>
        <w:t>骨架</w:t>
      </w:r>
      <w:r>
        <w:rPr>
          <w:rFonts w:hint="eastAsia" w:ascii="宋体" w:hAnsi="宋体"/>
          <w:color w:val="000000"/>
          <w:szCs w:val="21"/>
        </w:rPr>
        <w:t>、</w:t>
      </w:r>
      <w:r>
        <w:rPr>
          <w:rFonts w:ascii="宋体" w:hAnsi="宋体"/>
          <w:color w:val="000000"/>
          <w:szCs w:val="21"/>
        </w:rPr>
        <w:t>缀板</w:t>
      </w:r>
      <w:r>
        <w:rPr>
          <w:rFonts w:hint="eastAsia" w:ascii="宋体" w:hAnsi="宋体"/>
          <w:color w:val="000000"/>
          <w:szCs w:val="21"/>
        </w:rPr>
        <w:t>及连接</w:t>
      </w:r>
      <w:r>
        <w:rPr>
          <w:rFonts w:ascii="宋体" w:hAnsi="宋体"/>
          <w:color w:val="000000"/>
          <w:szCs w:val="21"/>
        </w:rPr>
        <w:t>焊缝</w:t>
      </w:r>
      <w:r>
        <w:rPr>
          <w:rFonts w:hint="eastAsia" w:ascii="宋体" w:hAnsi="宋体"/>
          <w:color w:val="000000"/>
          <w:szCs w:val="21"/>
        </w:rPr>
        <w:t>的</w:t>
      </w:r>
      <w:r>
        <w:rPr>
          <w:rFonts w:ascii="宋体" w:hAnsi="宋体"/>
          <w:color w:val="000000"/>
          <w:szCs w:val="21"/>
        </w:rPr>
        <w:t>质量不应有严重缺陷和损伤，也不应有影响结构性能和使用功能的尺寸偏差</w:t>
      </w:r>
      <w:r>
        <w:rPr>
          <w:rFonts w:hint="eastAsia"/>
          <w:color w:val="000000"/>
          <w:szCs w:val="21"/>
        </w:rPr>
        <w:t>；被加固构件注胶（或注浆）后的外观应无污渍、无胶液（或浆液）挤出的残留物。注胶孔（或注浆孔）和排气孔的封闭应平整。注胶嘴（或注浆嘴）底座及残片应全部铲除干净。</w:t>
      </w:r>
    </w:p>
    <w:p w14:paraId="2E59C0C2">
      <w:pPr>
        <w:spacing w:line="440" w:lineRule="exact"/>
        <w:rPr>
          <w:rFonts w:ascii="宋体" w:hAnsi="宋体"/>
          <w:b/>
          <w:color w:val="000000"/>
          <w:szCs w:val="21"/>
        </w:rPr>
      </w:pPr>
      <w:r>
        <w:rPr>
          <w:rFonts w:hint="eastAsia"/>
          <w:b/>
          <w:color w:val="000000"/>
        </w:rPr>
        <w:t xml:space="preserve">10.4.7  </w:t>
      </w:r>
      <w:r>
        <w:rPr>
          <w:rFonts w:hint="eastAsia" w:ascii="宋体" w:hAnsi="宋体"/>
          <w:color w:val="000000"/>
          <w:szCs w:val="21"/>
        </w:rPr>
        <w:t>混凝土</w:t>
      </w:r>
      <w:r>
        <w:rPr>
          <w:rFonts w:ascii="宋体" w:hAnsi="宋体"/>
          <w:color w:val="000000"/>
          <w:szCs w:val="21"/>
        </w:rPr>
        <w:t>构件外粘</w:t>
      </w:r>
      <w:r>
        <w:rPr>
          <w:rFonts w:hint="eastAsia" w:ascii="宋体" w:hAnsi="宋体"/>
          <w:color w:val="000000"/>
          <w:szCs w:val="21"/>
        </w:rPr>
        <w:t>钢板</w:t>
      </w:r>
      <w:r>
        <w:rPr>
          <w:rFonts w:ascii="宋体" w:hAnsi="宋体"/>
          <w:color w:val="000000"/>
          <w:szCs w:val="21"/>
        </w:rPr>
        <w:t>表面应平整，段差过渡应平滑，不得有折</w:t>
      </w:r>
      <w:r>
        <w:rPr>
          <w:rFonts w:hint="eastAsia" w:ascii="宋体" w:hAnsi="宋体"/>
          <w:color w:val="000000"/>
          <w:szCs w:val="21"/>
        </w:rPr>
        <w:t>角</w:t>
      </w:r>
      <w:r>
        <w:rPr>
          <w:rFonts w:ascii="宋体" w:hAnsi="宋体"/>
          <w:color w:val="000000"/>
          <w:szCs w:val="21"/>
        </w:rPr>
        <w:t>。</w:t>
      </w:r>
    </w:p>
    <w:p w14:paraId="2F306C63">
      <w:pPr>
        <w:spacing w:line="400" w:lineRule="exact"/>
        <w:rPr>
          <w:rFonts w:ascii="宋体" w:hAnsi="宋体"/>
          <w:color w:val="000000"/>
          <w:szCs w:val="21"/>
        </w:rPr>
      </w:pPr>
      <w:r>
        <w:rPr>
          <w:rFonts w:hint="eastAsia"/>
          <w:b/>
          <w:color w:val="000000"/>
        </w:rPr>
        <w:t xml:space="preserve">10.4.8  </w:t>
      </w:r>
      <w:r>
        <w:rPr>
          <w:rFonts w:ascii="宋体" w:hAnsi="宋体"/>
          <w:color w:val="000000"/>
          <w:szCs w:val="21"/>
        </w:rPr>
        <w:t>混凝土结构外粘纤维复合材加固质量</w:t>
      </w:r>
      <w:r>
        <w:rPr>
          <w:rFonts w:hint="eastAsia" w:ascii="宋体" w:hAnsi="宋体"/>
          <w:color w:val="000000"/>
          <w:szCs w:val="21"/>
        </w:rPr>
        <w:t>还应</w:t>
      </w:r>
      <w:r>
        <w:rPr>
          <w:rFonts w:ascii="宋体" w:hAnsi="宋体"/>
          <w:color w:val="000000"/>
          <w:szCs w:val="21"/>
        </w:rPr>
        <w:t>符合</w:t>
      </w:r>
      <w:r>
        <w:rPr>
          <w:rFonts w:hint="eastAsia" w:ascii="宋体" w:hAnsi="宋体"/>
          <w:color w:val="000000"/>
          <w:szCs w:val="21"/>
        </w:rPr>
        <w:t>：纤维</w:t>
      </w:r>
      <w:r>
        <w:rPr>
          <w:rFonts w:ascii="宋体" w:hAnsi="宋体"/>
          <w:color w:val="000000"/>
          <w:szCs w:val="21"/>
        </w:rPr>
        <w:t>复合材粘贴的位置与设计位置相比，其中心线偏差不应大于</w:t>
      </w:r>
      <w:r>
        <w:rPr>
          <w:rFonts w:hint="eastAsia" w:ascii="宋体" w:hAnsi="宋体"/>
          <w:color w:val="000000"/>
          <w:szCs w:val="21"/>
        </w:rPr>
        <w:t>10</w:t>
      </w:r>
      <w:r>
        <w:rPr>
          <w:rFonts w:ascii="宋体" w:hAnsi="宋体"/>
          <w:color w:val="000000"/>
          <w:szCs w:val="21"/>
        </w:rPr>
        <w:t xml:space="preserve"> mm</w:t>
      </w:r>
      <w:r>
        <w:rPr>
          <w:rFonts w:hint="eastAsia" w:ascii="宋体" w:hAnsi="宋体"/>
          <w:color w:val="000000"/>
          <w:szCs w:val="21"/>
        </w:rPr>
        <w:t>，</w:t>
      </w:r>
      <w:r>
        <w:rPr>
          <w:rFonts w:ascii="宋体" w:hAnsi="宋体"/>
          <w:color w:val="000000"/>
          <w:szCs w:val="21"/>
        </w:rPr>
        <w:t>长度负偏差不应大于</w:t>
      </w:r>
      <w:r>
        <w:rPr>
          <w:rFonts w:hint="eastAsia" w:ascii="宋体" w:hAnsi="宋体"/>
          <w:color w:val="000000"/>
          <w:szCs w:val="21"/>
        </w:rPr>
        <w:t>15</w:t>
      </w:r>
      <w:r>
        <w:rPr>
          <w:rFonts w:ascii="宋体" w:hAnsi="宋体"/>
          <w:color w:val="000000"/>
          <w:szCs w:val="21"/>
        </w:rPr>
        <w:t xml:space="preserve"> mm</w:t>
      </w:r>
      <w:r>
        <w:rPr>
          <w:rFonts w:hint="eastAsia"/>
          <w:bCs/>
          <w:color w:val="000000"/>
          <w:szCs w:val="22"/>
        </w:rPr>
        <w:t>；</w:t>
      </w:r>
      <w:r>
        <w:rPr>
          <w:rFonts w:hint="eastAsia" w:ascii="宋体" w:hAnsi="宋体"/>
          <w:color w:val="000000"/>
          <w:szCs w:val="21"/>
        </w:rPr>
        <w:t>纤维复合</w:t>
      </w:r>
      <w:r>
        <w:rPr>
          <w:rFonts w:ascii="宋体" w:hAnsi="宋体"/>
          <w:color w:val="000000"/>
          <w:szCs w:val="21"/>
        </w:rPr>
        <w:t>材胶层厚度δ应符合</w:t>
      </w:r>
      <w:r>
        <w:rPr>
          <w:rFonts w:hint="eastAsia" w:ascii="宋体" w:hAnsi="宋体"/>
          <w:color w:val="000000"/>
          <w:szCs w:val="21"/>
        </w:rPr>
        <w:t>下列规定，（1）对</w:t>
      </w:r>
      <w:r>
        <w:rPr>
          <w:rFonts w:ascii="宋体" w:hAnsi="宋体"/>
          <w:color w:val="000000"/>
          <w:szCs w:val="21"/>
        </w:rPr>
        <w:t>纤维织物（</w:t>
      </w:r>
      <w:r>
        <w:rPr>
          <w:rFonts w:hint="eastAsia" w:ascii="宋体" w:hAnsi="宋体"/>
          <w:color w:val="000000"/>
          <w:szCs w:val="21"/>
        </w:rPr>
        <w:t>布</w:t>
      </w:r>
      <w:r>
        <w:rPr>
          <w:rFonts w:ascii="宋体" w:hAnsi="宋体"/>
          <w:color w:val="000000"/>
          <w:szCs w:val="21"/>
        </w:rPr>
        <w:t>）</w:t>
      </w:r>
      <w:r>
        <w:rPr>
          <w:rFonts w:hint="eastAsia" w:ascii="宋体" w:hAnsi="宋体"/>
          <w:color w:val="000000"/>
          <w:szCs w:val="21"/>
        </w:rPr>
        <w:t>：</w:t>
      </w:r>
      <w:r>
        <w:rPr>
          <w:rFonts w:ascii="宋体" w:hAnsi="宋体"/>
          <w:color w:val="000000"/>
          <w:position w:val="-10"/>
          <w:szCs w:val="21"/>
        </w:rPr>
        <w:pict>
          <v:shape id="_x0000_i1025" o:spt="75" type="#_x0000_t75" style="height:13.1pt;width:85.5pt;" filled="f" o:preferrelative="t" stroked="f" coordsize="21600,21600">
            <v:path/>
            <v:fill on="f" focussize="0,0"/>
            <v:stroke on="f" joinstyle="miter"/>
            <v:imagedata r:id="rId10" embosscolor="#FFFFFF" o:title=""/>
            <o:lock v:ext="edit" aspectratio="t"/>
            <w10:wrap type="none"/>
            <w10:anchorlock/>
          </v:shape>
        </w:pict>
      </w:r>
      <w:r>
        <w:rPr>
          <w:rFonts w:hint="eastAsia" w:ascii="宋体" w:hAnsi="宋体"/>
          <w:color w:val="000000"/>
          <w:szCs w:val="21"/>
        </w:rPr>
        <w:t>；（2）对</w:t>
      </w:r>
      <w:r>
        <w:rPr>
          <w:rFonts w:ascii="宋体" w:hAnsi="宋体"/>
          <w:color w:val="000000"/>
          <w:szCs w:val="21"/>
        </w:rPr>
        <w:t>预成型板：</w:t>
      </w:r>
      <w:r>
        <w:rPr>
          <w:rFonts w:ascii="宋体" w:hAnsi="宋体"/>
          <w:color w:val="000000"/>
          <w:position w:val="-10"/>
          <w:szCs w:val="21"/>
        </w:rPr>
        <w:pict>
          <v:shape id="_x0000_i1026" o:spt="75" type="#_x0000_t75" style="height:12.05pt;width:86.05pt;" filled="f" o:preferrelative="t" stroked="f" coordsize="21600,21600">
            <v:path/>
            <v:fill on="f" focussize="0,0"/>
            <v:stroke on="f" joinstyle="miter"/>
            <v:imagedata r:id="rId11" embosscolor="#FFFFFF" o:title=""/>
            <o:lock v:ext="edit" aspectratio="t"/>
            <w10:wrap type="none"/>
            <w10:anchorlock/>
          </v:shape>
        </w:pict>
      </w:r>
      <w:r>
        <w:rPr>
          <w:rFonts w:hint="eastAsia" w:ascii="宋体" w:hAnsi="宋体"/>
          <w:color w:val="000000"/>
          <w:position w:val="-10"/>
          <w:szCs w:val="21"/>
        </w:rPr>
        <w:t>。</w:t>
      </w:r>
    </w:p>
    <w:p w14:paraId="08D241C3">
      <w:pPr>
        <w:spacing w:line="400" w:lineRule="exact"/>
        <w:rPr>
          <w:color w:val="000000"/>
          <w:szCs w:val="22"/>
        </w:rPr>
      </w:pPr>
      <w:r>
        <w:rPr>
          <w:rFonts w:hint="eastAsia"/>
          <w:b/>
          <w:color w:val="000000"/>
        </w:rPr>
        <w:t>10.4.10</w:t>
      </w:r>
      <w:r>
        <w:rPr>
          <w:rFonts w:hint="eastAsia"/>
          <w:bCs/>
          <w:color w:val="000000"/>
        </w:rPr>
        <w:t xml:space="preserve">  </w:t>
      </w:r>
      <w:r>
        <w:rPr>
          <w:color w:val="000000"/>
          <w:szCs w:val="21"/>
        </w:rPr>
        <w:t>混凝土</w:t>
      </w:r>
      <w:r>
        <w:rPr>
          <w:rFonts w:hint="eastAsia"/>
          <w:color w:val="000000"/>
          <w:szCs w:val="21"/>
        </w:rPr>
        <w:t>构件</w:t>
      </w:r>
      <w:r>
        <w:rPr>
          <w:color w:val="000000"/>
          <w:szCs w:val="21"/>
        </w:rPr>
        <w:t>外加预应力加固</w:t>
      </w:r>
      <w:r>
        <w:rPr>
          <w:rFonts w:hint="eastAsia"/>
          <w:color w:val="000000"/>
          <w:szCs w:val="22"/>
        </w:rPr>
        <w:t>，</w:t>
      </w:r>
      <w:r>
        <w:rPr>
          <w:rFonts w:hint="eastAsia" w:ascii="宋体" w:hAnsi="宋体"/>
          <w:color w:val="000000"/>
          <w:szCs w:val="21"/>
        </w:rPr>
        <w:t>预应力锚固后多余的外露部分应用机械方法切除，外露长度宜为25</w:t>
      </w:r>
      <w:r>
        <w:rPr>
          <w:rFonts w:ascii="宋体" w:hAnsi="宋体"/>
          <w:color w:val="000000"/>
          <w:szCs w:val="21"/>
        </w:rPr>
        <w:t xml:space="preserve"> </w:t>
      </w:r>
      <w:r>
        <w:rPr>
          <w:rFonts w:hint="eastAsia" w:ascii="宋体" w:hAnsi="宋体"/>
          <w:color w:val="000000"/>
          <w:szCs w:val="21"/>
        </w:rPr>
        <w:t>mm。</w:t>
      </w:r>
    </w:p>
    <w:p w14:paraId="32176F4F">
      <w:pPr>
        <w:spacing w:line="400" w:lineRule="exact"/>
        <w:rPr>
          <w:rFonts w:ascii="宋体" w:hAnsi="宋体"/>
          <w:color w:val="000000"/>
          <w:szCs w:val="21"/>
        </w:rPr>
      </w:pPr>
      <w:r>
        <w:rPr>
          <w:rFonts w:hint="eastAsia"/>
          <w:b/>
          <w:color w:val="000000"/>
        </w:rPr>
        <w:t>10.4.11</w:t>
      </w:r>
      <w:r>
        <w:rPr>
          <w:rFonts w:hint="eastAsia"/>
          <w:bCs/>
          <w:color w:val="000000"/>
        </w:rPr>
        <w:t xml:space="preserve">  </w:t>
      </w:r>
      <w:r>
        <w:rPr>
          <w:rFonts w:hint="eastAsia"/>
          <w:color w:val="000000"/>
          <w:szCs w:val="21"/>
        </w:rPr>
        <w:t>砌体或混凝土构件外加钢筋网-砂浆面层加固质量还应符合：砂浆</w:t>
      </w:r>
      <w:r>
        <w:rPr>
          <w:color w:val="000000"/>
          <w:szCs w:val="21"/>
        </w:rPr>
        <w:t>面层浇筑或喷</w:t>
      </w:r>
      <w:r>
        <w:rPr>
          <w:rFonts w:hint="eastAsia"/>
          <w:color w:val="000000"/>
          <w:szCs w:val="21"/>
        </w:rPr>
        <w:t>抹</w:t>
      </w:r>
      <w:r>
        <w:rPr>
          <w:color w:val="000000"/>
          <w:szCs w:val="21"/>
        </w:rPr>
        <w:t>的外观质量不应有严重缺陷</w:t>
      </w:r>
      <w:r>
        <w:rPr>
          <w:rFonts w:hint="eastAsia"/>
          <w:color w:val="000000"/>
          <w:szCs w:val="21"/>
        </w:rPr>
        <w:t>；</w:t>
      </w:r>
      <w:r>
        <w:rPr>
          <w:rFonts w:hint="eastAsia" w:ascii="宋体" w:hAnsi="宋体"/>
          <w:color w:val="000000"/>
          <w:szCs w:val="21"/>
        </w:rPr>
        <w:t>钢筋网片</w:t>
      </w:r>
      <w:r>
        <w:rPr>
          <w:rFonts w:ascii="宋体" w:hAnsi="宋体"/>
          <w:color w:val="000000"/>
          <w:szCs w:val="21"/>
        </w:rPr>
        <w:t>的间距应符合设计要求</w:t>
      </w:r>
      <w:r>
        <w:rPr>
          <w:rFonts w:hint="eastAsia" w:ascii="宋体" w:hAnsi="宋体"/>
          <w:color w:val="000000"/>
          <w:szCs w:val="21"/>
        </w:rPr>
        <w:t>，</w:t>
      </w:r>
      <w:r>
        <w:rPr>
          <w:bCs/>
          <w:color w:val="000000"/>
          <w:szCs w:val="21"/>
        </w:rPr>
        <w:t>钢筋网</w:t>
      </w:r>
      <w:r>
        <w:rPr>
          <w:rFonts w:ascii="宋体" w:hAnsi="宋体"/>
          <w:color w:val="000000"/>
          <w:szCs w:val="21"/>
        </w:rPr>
        <w:t>片的搭接宽度不应小于</w:t>
      </w:r>
      <w:r>
        <w:rPr>
          <w:rFonts w:hint="eastAsia" w:ascii="宋体" w:hAnsi="宋体"/>
          <w:color w:val="000000"/>
          <w:szCs w:val="21"/>
        </w:rPr>
        <w:t>100</w:t>
      </w:r>
      <w:r>
        <w:rPr>
          <w:rFonts w:ascii="宋体" w:hAnsi="宋体"/>
          <w:color w:val="000000"/>
          <w:szCs w:val="21"/>
        </w:rPr>
        <w:t xml:space="preserve"> mm</w:t>
      </w:r>
      <w:r>
        <w:rPr>
          <w:rFonts w:hint="eastAsia" w:ascii="宋体" w:hAnsi="宋体"/>
          <w:color w:val="000000"/>
          <w:szCs w:val="21"/>
        </w:rPr>
        <w:t>；钢筋</w:t>
      </w:r>
      <w:r>
        <w:rPr>
          <w:rFonts w:ascii="宋体" w:hAnsi="宋体"/>
          <w:color w:val="000000"/>
          <w:szCs w:val="21"/>
        </w:rPr>
        <w:t>网片与原墙体表面的净距应为</w:t>
      </w:r>
      <w:r>
        <w:rPr>
          <w:rFonts w:hint="eastAsia" w:ascii="宋体" w:hAnsi="宋体"/>
          <w:color w:val="000000"/>
          <w:szCs w:val="21"/>
        </w:rPr>
        <w:t>5</w:t>
      </w:r>
      <w:r>
        <w:rPr>
          <w:rFonts w:ascii="宋体" w:hAnsi="宋体"/>
          <w:color w:val="000000"/>
          <w:szCs w:val="21"/>
        </w:rPr>
        <w:t xml:space="preserve"> mm</w:t>
      </w:r>
      <w:r>
        <w:rPr>
          <w:rFonts w:hint="eastAsia" w:ascii="宋体" w:hAnsi="宋体"/>
          <w:color w:val="000000"/>
          <w:szCs w:val="21"/>
        </w:rPr>
        <w:t>，</w:t>
      </w:r>
      <w:r>
        <w:rPr>
          <w:rFonts w:ascii="宋体" w:hAnsi="宋体"/>
          <w:color w:val="000000"/>
          <w:szCs w:val="21"/>
        </w:rPr>
        <w:t>且允许偏差为</w:t>
      </w:r>
      <w:r>
        <w:rPr>
          <w:rFonts w:hint="eastAsia" w:ascii="宋体" w:hAnsi="宋体"/>
          <w:color w:val="000000"/>
          <w:szCs w:val="21"/>
        </w:rPr>
        <w:t>+1</w:t>
      </w:r>
      <w:r>
        <w:rPr>
          <w:rFonts w:ascii="宋体" w:hAnsi="宋体"/>
          <w:color w:val="000000"/>
          <w:szCs w:val="21"/>
        </w:rPr>
        <w:t xml:space="preserve"> mm</w:t>
      </w:r>
      <w:r>
        <w:rPr>
          <w:rFonts w:hint="eastAsia" w:ascii="宋体" w:hAnsi="宋体"/>
          <w:color w:val="000000"/>
          <w:szCs w:val="21"/>
        </w:rPr>
        <w:t>，</w:t>
      </w:r>
      <w:r>
        <w:rPr>
          <w:rFonts w:ascii="宋体" w:hAnsi="宋体"/>
          <w:color w:val="000000"/>
          <w:szCs w:val="21"/>
        </w:rPr>
        <w:t>不得有负偏差。</w:t>
      </w:r>
    </w:p>
    <w:p w14:paraId="130BD5AE">
      <w:pPr>
        <w:spacing w:line="400" w:lineRule="exact"/>
        <w:rPr>
          <w:color w:val="000000"/>
          <w:szCs w:val="21"/>
        </w:rPr>
      </w:pPr>
      <w:r>
        <w:rPr>
          <w:rFonts w:hint="eastAsia"/>
          <w:b/>
          <w:color w:val="000000"/>
        </w:rPr>
        <w:t xml:space="preserve">10.5.1  </w:t>
      </w:r>
      <w:r>
        <w:rPr>
          <w:rFonts w:hint="eastAsia"/>
          <w:color w:val="000000"/>
          <w:szCs w:val="21"/>
        </w:rPr>
        <w:t>屋面工程改造必须确保建筑安全性，保温、隔热、防排水功能和防护措施有效。既有建筑由于施工过程的偏差、竣工资料不完整、使用过程私自改动等因素，</w:t>
      </w:r>
      <w:r>
        <w:rPr>
          <w:rFonts w:hint="eastAsia"/>
          <w:bCs/>
          <w:color w:val="000000"/>
          <w:szCs w:val="21"/>
        </w:rPr>
        <w:t>往往</w:t>
      </w:r>
      <w:r>
        <w:rPr>
          <w:rFonts w:hint="eastAsia"/>
          <w:color w:val="000000"/>
          <w:szCs w:val="21"/>
        </w:rPr>
        <w:t>存在结构位置偏差，改造过程中应复核既有承重墙、柱位置，新增结构应支撑在既有承重墙、柱上。既有建筑改造过程中，往往因需要利用原有防水层，存在新、旧防水层连接密封现象；新、旧防水层的连接，应有专项节点设计，新、旧防水与密封材料应满足相容性</w:t>
      </w:r>
      <w:r>
        <w:rPr>
          <w:rFonts w:hint="eastAsia"/>
          <w:bCs/>
          <w:color w:val="000000"/>
          <w:szCs w:val="21"/>
        </w:rPr>
        <w:t>要求</w:t>
      </w:r>
      <w:r>
        <w:rPr>
          <w:rFonts w:hint="eastAsia"/>
          <w:color w:val="000000"/>
          <w:szCs w:val="21"/>
        </w:rPr>
        <w:t>。</w:t>
      </w:r>
    </w:p>
    <w:p w14:paraId="68D9F7ED">
      <w:pPr>
        <w:spacing w:line="400" w:lineRule="exact"/>
        <w:rPr>
          <w:color w:val="000000"/>
          <w:szCs w:val="21"/>
        </w:rPr>
      </w:pPr>
      <w:r>
        <w:rPr>
          <w:rFonts w:hint="eastAsia"/>
          <w:b/>
          <w:color w:val="000000"/>
        </w:rPr>
        <w:t xml:space="preserve">10.5.2  </w:t>
      </w:r>
      <w:r>
        <w:rPr>
          <w:rFonts w:hint="eastAsia"/>
          <w:color w:val="000000"/>
          <w:szCs w:val="21"/>
        </w:rPr>
        <w:t>太阳能系统包括太阳能热水系统和太阳能光伏系统。屋面加装太阳能系统符合国家推动可再生能源利用和降低建筑碳排放的节能环保政策，应用越来越多。屋面加装太阳能系统应确保建筑安全性，保温、隔热、防排水功能和防护措施有效。</w:t>
      </w:r>
    </w:p>
    <w:p w14:paraId="53CF5E21">
      <w:pPr>
        <w:spacing w:line="400" w:lineRule="exact"/>
        <w:rPr>
          <w:b/>
          <w:color w:val="000000"/>
        </w:rPr>
      </w:pPr>
      <w:r>
        <w:rPr>
          <w:rFonts w:hint="eastAsia"/>
          <w:b/>
          <w:color w:val="000000"/>
        </w:rPr>
        <w:t xml:space="preserve">10.6.2  </w:t>
      </w:r>
      <w:r>
        <w:rPr>
          <w:rFonts w:hint="eastAsia"/>
          <w:bCs/>
          <w:color w:val="000000"/>
        </w:rPr>
        <w:t>《建筑装饰装修工程质量验收标准》GB 50210相关要求，既有建筑墙面在用腻子找平或直接涂饰涂料前应清除疏松的旧装修层，并涂刷界面剂。</w:t>
      </w:r>
    </w:p>
    <w:p w14:paraId="3D26B843">
      <w:pPr>
        <w:spacing w:line="400" w:lineRule="exact"/>
        <w:rPr>
          <w:bCs/>
          <w:color w:val="000000"/>
        </w:rPr>
      </w:pPr>
      <w:r>
        <w:rPr>
          <w:rFonts w:hint="eastAsia"/>
          <w:b/>
          <w:color w:val="000000"/>
        </w:rPr>
        <w:t xml:space="preserve">10.6.4  </w:t>
      </w:r>
      <w:r>
        <w:rPr>
          <w:rFonts w:hint="eastAsia"/>
          <w:bCs/>
          <w:color w:val="000000"/>
        </w:rPr>
        <w:t>应符合《既有居住建筑节能改造技术规程》DB11/381规定，在实际工程中，热桥部位常常未能有效保温，应将其部位施工质量列为评审检查项目。</w:t>
      </w:r>
    </w:p>
    <w:p w14:paraId="0ADCC892">
      <w:pPr>
        <w:spacing w:line="400" w:lineRule="exact"/>
        <w:rPr>
          <w:b/>
          <w:color w:val="000000"/>
        </w:rPr>
      </w:pPr>
      <w:r>
        <w:rPr>
          <w:rFonts w:hint="eastAsia"/>
          <w:b/>
          <w:color w:val="000000"/>
        </w:rPr>
        <w:t xml:space="preserve">10.6.5  </w:t>
      </w:r>
      <w:r>
        <w:rPr>
          <w:rFonts w:hint="eastAsia"/>
          <w:bCs/>
          <w:color w:val="000000"/>
        </w:rPr>
        <w:t>对采用以粘结为主的外保温的粘结率及对采用以锚固为主的外保温做法时锚栓数量确定方法两项要求的综合。</w:t>
      </w:r>
    </w:p>
    <w:p w14:paraId="04B6D929">
      <w:pPr>
        <w:spacing w:line="400" w:lineRule="exact"/>
        <w:rPr>
          <w:b/>
          <w:color w:val="000000"/>
        </w:rPr>
      </w:pPr>
      <w:r>
        <w:rPr>
          <w:rFonts w:hint="eastAsia"/>
          <w:b/>
          <w:color w:val="000000"/>
        </w:rPr>
        <w:t>10.6.6</w:t>
      </w:r>
      <w:r>
        <w:rPr>
          <w:rFonts w:hint="eastAsia"/>
          <w:bCs/>
          <w:color w:val="000000"/>
        </w:rPr>
        <w:t xml:space="preserve">  对后置埋件的现场拉拔力检验报告提出了要求，改造工程一般需设置后置埋件，且后置埋件拉拔力影响幕墙与结构的连接，将后置埋件承载力列为评审检查项目。</w:t>
      </w:r>
    </w:p>
    <w:p w14:paraId="51FB86DC">
      <w:pPr>
        <w:spacing w:line="400" w:lineRule="exact"/>
        <w:rPr>
          <w:bCs/>
          <w:color w:val="000000"/>
        </w:rPr>
      </w:pPr>
      <w:r>
        <w:rPr>
          <w:rFonts w:hint="eastAsia"/>
          <w:b/>
          <w:color w:val="000000"/>
        </w:rPr>
        <w:t xml:space="preserve">10.6.7  </w:t>
      </w:r>
      <w:r>
        <w:rPr>
          <w:rFonts w:hint="eastAsia"/>
          <w:bCs/>
          <w:color w:val="000000"/>
        </w:rPr>
        <w:t>要求对严寒及寒冷地区外墙陶瓷饰面砖、石材、瓷板、陶板、纤维水泥板和石材蜂窝板的抗冻性进行复试。</w:t>
      </w:r>
    </w:p>
    <w:p w14:paraId="5AEC3818">
      <w:pPr>
        <w:spacing w:line="400" w:lineRule="exact"/>
        <w:rPr>
          <w:bCs/>
          <w:color w:val="000000"/>
        </w:rPr>
      </w:pPr>
      <w:r>
        <w:rPr>
          <w:rFonts w:hint="eastAsia"/>
          <w:b/>
          <w:color w:val="000000"/>
        </w:rPr>
        <w:t>10.8.1</w:t>
      </w:r>
      <w:r>
        <w:rPr>
          <w:rFonts w:hint="eastAsia"/>
          <w:bCs/>
          <w:color w:val="000000"/>
        </w:rPr>
        <w:t xml:space="preserve">  有特殊功能要求的改造项目，如隔离防护要求的防疫改造工程，增加独立排风排水系统的酒店改造工程等，应根据改造需求提交专项设计方案，涉及特殊运营功能的，如防疫工程隔离工艺标准与施工做法应由相关主管行业给出专项设计与施工交底。 </w:t>
      </w:r>
    </w:p>
    <w:p w14:paraId="40116450">
      <w:pPr>
        <w:spacing w:line="400" w:lineRule="exact"/>
        <w:rPr>
          <w:bCs/>
          <w:color w:val="000000"/>
        </w:rPr>
      </w:pPr>
      <w:r>
        <w:rPr>
          <w:rFonts w:hint="eastAsia"/>
          <w:b/>
          <w:color w:val="000000"/>
        </w:rPr>
        <w:t xml:space="preserve">10.8.3  </w:t>
      </w:r>
      <w:r>
        <w:rPr>
          <w:rFonts w:hint="eastAsia"/>
          <w:bCs/>
          <w:color w:val="000000"/>
        </w:rPr>
        <w:t>实施工程中，建筑在使用期间进行的系统增加与改造，存在与交付状态的差异并可能留有隐患，因此在改造前应进行排查与处理。</w:t>
      </w:r>
    </w:p>
    <w:p w14:paraId="698BD226">
      <w:pPr>
        <w:spacing w:line="400" w:lineRule="exact"/>
        <w:rPr>
          <w:bCs/>
          <w:color w:val="000000"/>
        </w:rPr>
      </w:pPr>
      <w:r>
        <w:rPr>
          <w:rFonts w:hint="eastAsia"/>
          <w:b/>
          <w:color w:val="000000"/>
        </w:rPr>
        <w:t xml:space="preserve">10.8.5  </w:t>
      </w:r>
      <w:r>
        <w:rPr>
          <w:rFonts w:hint="eastAsia"/>
          <w:bCs/>
          <w:color w:val="000000"/>
        </w:rPr>
        <w:t>改造工程根据功能需要新安装计量表，由于现场安装的位置和空间受限，安装时前后的直管段长度达不到要求，前后水流的稳定性直接影响其计量的准确，安装时应</w:t>
      </w:r>
      <w:r>
        <w:rPr>
          <w:rFonts w:hint="eastAsia"/>
          <w:bCs/>
          <w:color w:val="000000"/>
          <w:szCs w:val="21"/>
        </w:rPr>
        <w:t>满足</w:t>
      </w:r>
      <w:r>
        <w:rPr>
          <w:rFonts w:hint="eastAsia"/>
          <w:bCs/>
          <w:color w:val="000000"/>
        </w:rPr>
        <w:t>要求。</w:t>
      </w:r>
    </w:p>
    <w:p w14:paraId="7419460E">
      <w:pPr>
        <w:spacing w:line="400" w:lineRule="exact"/>
        <w:rPr>
          <w:bCs/>
          <w:color w:val="000000"/>
        </w:rPr>
      </w:pPr>
      <w:r>
        <w:rPr>
          <w:rFonts w:hint="eastAsia"/>
          <w:b/>
          <w:color w:val="000000"/>
        </w:rPr>
        <w:t xml:space="preserve">10.8.7  </w:t>
      </w:r>
      <w:r>
        <w:rPr>
          <w:rFonts w:hint="eastAsia"/>
          <w:bCs/>
          <w:color w:val="000000"/>
        </w:rPr>
        <w:t>第1款实际工程中由于个别住户的供暖改造改变了局部热负荷与延阻，导致整体系统供暖的不平衡。</w:t>
      </w:r>
    </w:p>
    <w:p w14:paraId="7DDC977B">
      <w:pPr>
        <w:spacing w:line="400" w:lineRule="exact"/>
        <w:rPr>
          <w:bCs/>
          <w:color w:val="000000"/>
        </w:rPr>
      </w:pPr>
      <w:r>
        <w:rPr>
          <w:rFonts w:hint="eastAsia"/>
          <w:b/>
          <w:color w:val="000000"/>
        </w:rPr>
        <w:t xml:space="preserve">10.8.8  </w:t>
      </w:r>
      <w:r>
        <w:rPr>
          <w:rFonts w:hint="eastAsia"/>
          <w:bCs/>
          <w:color w:val="000000"/>
        </w:rPr>
        <w:t>第1款实际工程中由于个别住户将风道进行了改造，导致系统排风不畅甚至断路。</w:t>
      </w:r>
    </w:p>
    <w:p w14:paraId="4F89B685">
      <w:pPr>
        <w:spacing w:line="400" w:lineRule="exact"/>
        <w:rPr>
          <w:bCs/>
          <w:color w:val="000000"/>
        </w:rPr>
      </w:pPr>
      <w:r>
        <w:rPr>
          <w:rFonts w:hint="eastAsia"/>
          <w:b/>
          <w:color w:val="000000"/>
        </w:rPr>
        <w:t xml:space="preserve">10.8.9  </w:t>
      </w:r>
      <w:r>
        <w:rPr>
          <w:rFonts w:hint="eastAsia"/>
          <w:bCs/>
          <w:color w:val="000000"/>
        </w:rPr>
        <w:t xml:space="preserve">实际工程中，普遍是按户施工，不具备同时检验与试验的条件，因此为保障施工质量应进行以户为单位的检验与试验。 </w:t>
      </w:r>
    </w:p>
    <w:p w14:paraId="1430FCAA">
      <w:pPr>
        <w:spacing w:line="400" w:lineRule="exact"/>
        <w:rPr>
          <w:bCs/>
          <w:color w:val="000000"/>
        </w:rPr>
      </w:pPr>
      <w:r>
        <w:rPr>
          <w:rFonts w:hint="eastAsia"/>
          <w:b/>
          <w:color w:val="000000"/>
        </w:rPr>
        <w:t xml:space="preserve">10.8.10  </w:t>
      </w:r>
      <w:r>
        <w:rPr>
          <w:rFonts w:hint="eastAsia"/>
          <w:bCs/>
          <w:color w:val="000000"/>
        </w:rPr>
        <w:t>工程资料</w:t>
      </w:r>
    </w:p>
    <w:p w14:paraId="79663F25">
      <w:pPr>
        <w:spacing w:line="400" w:lineRule="exact"/>
        <w:ind w:firstLine="422" w:firstLineChars="200"/>
        <w:rPr>
          <w:bCs/>
          <w:color w:val="000000"/>
        </w:rPr>
      </w:pPr>
      <w:r>
        <w:rPr>
          <w:rFonts w:hint="eastAsia"/>
          <w:b/>
          <w:color w:val="000000"/>
        </w:rPr>
        <w:t>1</w:t>
      </w:r>
      <w:r>
        <w:rPr>
          <w:rFonts w:hint="eastAsia"/>
          <w:bCs/>
          <w:color w:val="000000"/>
        </w:rPr>
        <w:t xml:space="preserve">  住宅工程设备系统应具有以户为单位进行的闭水、打压、冲洗等试验的记录，在现场试验后应如实填写资料并留存；</w:t>
      </w:r>
    </w:p>
    <w:p w14:paraId="1115AB12">
      <w:pPr>
        <w:spacing w:line="400" w:lineRule="exact"/>
        <w:ind w:firstLine="422" w:firstLineChars="200"/>
        <w:rPr>
          <w:bCs/>
          <w:color w:val="000000"/>
        </w:rPr>
      </w:pPr>
      <w:r>
        <w:rPr>
          <w:rFonts w:hint="eastAsia"/>
          <w:b/>
          <w:color w:val="000000"/>
        </w:rPr>
        <w:t>2</w:t>
      </w:r>
      <w:r>
        <w:rPr>
          <w:rFonts w:hint="eastAsia"/>
          <w:bCs/>
          <w:color w:val="000000"/>
        </w:rPr>
        <w:t xml:space="preserve">  证明特殊功能需求的试验记录，如现有施工技术资料规程未涵盖的可按相关试验检验项目自行设计，同时所填写内容应符合专项验收部门的要求规定。根据改造需求，存在现有技术资料规程无对应表格或不适用的情况，可依据该功能的专项验收标准内容结合资料规程、规范进行表格设计；</w:t>
      </w:r>
    </w:p>
    <w:p w14:paraId="1F668A0C">
      <w:pPr>
        <w:spacing w:line="400" w:lineRule="exact"/>
        <w:ind w:firstLine="422" w:firstLineChars="200"/>
        <w:rPr>
          <w:bCs/>
          <w:color w:val="000000"/>
        </w:rPr>
      </w:pPr>
      <w:r>
        <w:rPr>
          <w:rFonts w:hint="eastAsia"/>
          <w:b/>
          <w:color w:val="000000"/>
        </w:rPr>
        <w:t xml:space="preserve">3 </w:t>
      </w:r>
      <w:r>
        <w:rPr>
          <w:bCs/>
          <w:color w:val="000000"/>
        </w:rPr>
        <w:t xml:space="preserve"> </w:t>
      </w:r>
      <w:r>
        <w:rPr>
          <w:rFonts w:hint="eastAsia"/>
          <w:bCs/>
          <w:color w:val="000000"/>
        </w:rPr>
        <w:t>改造工程在新、旧系统对接，各单位用户使用等方面存在很多不确定性因素，除应严格执行系统调试工作外，调试记录的内容在今后的运行中也具有指导意义。</w:t>
      </w:r>
    </w:p>
    <w:p w14:paraId="4B147CBD">
      <w:pPr>
        <w:spacing w:line="400" w:lineRule="exact"/>
        <w:rPr>
          <w:bCs/>
          <w:color w:val="000000"/>
        </w:rPr>
      </w:pPr>
      <w:r>
        <w:rPr>
          <w:rFonts w:hint="eastAsia"/>
          <w:b/>
          <w:color w:val="000000"/>
        </w:rPr>
        <w:t>10.9.3</w:t>
      </w:r>
      <w:r>
        <w:rPr>
          <w:bCs/>
          <w:color w:val="000000"/>
        </w:rPr>
        <w:t xml:space="preserve"> </w:t>
      </w:r>
      <w:r>
        <w:rPr>
          <w:rFonts w:hint="eastAsia"/>
          <w:bCs/>
          <w:color w:val="000000"/>
        </w:rPr>
        <w:t xml:space="preserve"> 运行中如果实际负荷小于50%，应更换小容量的变压器，变压器容量过大，会增加基础电费，增加损耗，容量过小则容易跳闸和发热。</w:t>
      </w:r>
    </w:p>
    <w:p w14:paraId="3DD96F11">
      <w:pPr>
        <w:spacing w:line="400" w:lineRule="exact"/>
        <w:rPr>
          <w:bCs/>
          <w:color w:val="000000"/>
        </w:rPr>
      </w:pPr>
      <w:r>
        <w:rPr>
          <w:rFonts w:hint="eastAsia"/>
          <w:b/>
          <w:color w:val="000000"/>
        </w:rPr>
        <w:t xml:space="preserve">10.11  </w:t>
      </w:r>
      <w:r>
        <w:rPr>
          <w:bCs/>
          <w:color w:val="000000"/>
        </w:rPr>
        <w:t>公共停车场应设置无障碍设施，</w:t>
      </w:r>
      <w:r>
        <w:rPr>
          <w:rFonts w:hint="eastAsia"/>
          <w:bCs/>
          <w:color w:val="000000"/>
        </w:rPr>
        <w:t>无障碍</w:t>
      </w:r>
      <w:r>
        <w:rPr>
          <w:bCs/>
          <w:color w:val="000000"/>
        </w:rPr>
        <w:t>车位数量不应少于停车位总数的2%，比例不足一个无障碍车位的至少设置一个无障碍车位，为医疗机构服务的公共停车场的无障碍车位数量不应少于停车位总数的10%。无障碍车位应布置在距停车场无障碍出入口最近的位置，并具备无障碍连接通道。标准无障碍车位应包括无障碍上下车道，车位宽度为普通车位宽度的1.6倍。应以显著的通用标志</w:t>
      </w:r>
      <w:r>
        <w:rPr>
          <w:rFonts w:hint="eastAsia"/>
          <w:bCs/>
          <w:color w:val="000000"/>
        </w:rPr>
        <w:t>指引</w:t>
      </w:r>
      <w:r>
        <w:rPr>
          <w:bCs/>
          <w:color w:val="000000"/>
        </w:rPr>
        <w:t>停车场无障碍出入口、通道、无障碍车位与上下车区</w:t>
      </w:r>
      <w:r>
        <w:rPr>
          <w:rFonts w:hint="eastAsia"/>
          <w:bCs/>
          <w:color w:val="000000"/>
        </w:rPr>
        <w:t>。</w:t>
      </w:r>
    </w:p>
    <w:p w14:paraId="78748F77">
      <w:pPr>
        <w:pStyle w:val="2"/>
        <w:ind w:left="134" w:firstLine="283"/>
      </w:pPr>
      <w:r>
        <w:br w:type="page"/>
      </w:r>
    </w:p>
    <w:p w14:paraId="5792BD89">
      <w:pPr>
        <w:pStyle w:val="3"/>
        <w:rPr>
          <w:rFonts w:ascii="Times New Roman" w:hAnsi="Times New Roman" w:eastAsia="黑体"/>
          <w:sz w:val="28"/>
          <w:szCs w:val="28"/>
          <w:lang w:val="en-US"/>
        </w:rPr>
      </w:pPr>
      <w:r>
        <w:rPr>
          <w:rFonts w:hint="eastAsia" w:ascii="Times New Roman" w:hAnsi="Times New Roman" w:eastAsia="黑体"/>
          <w:sz w:val="28"/>
          <w:szCs w:val="28"/>
          <w:lang w:val="en-US"/>
        </w:rPr>
        <w:t>11  现场检查及评议评价</w:t>
      </w:r>
    </w:p>
    <w:p w14:paraId="70B234BB">
      <w:pPr>
        <w:pStyle w:val="2"/>
        <w:ind w:left="0" w:leftChars="0" w:firstLine="0" w:firstLineChars="0"/>
        <w:rPr>
          <w:rFonts w:ascii="宋体" w:hAnsi="宋体" w:cs="仿宋_GB2312"/>
          <w:b/>
          <w:bCs/>
          <w:color w:val="FF0000"/>
          <w:szCs w:val="21"/>
        </w:rPr>
      </w:pPr>
    </w:p>
    <w:p w14:paraId="7337E6C7">
      <w:pPr>
        <w:pStyle w:val="2"/>
        <w:spacing w:line="400" w:lineRule="exact"/>
        <w:ind w:left="0" w:leftChars="0" w:firstLine="0" w:firstLineChars="0"/>
        <w:rPr>
          <w:bCs/>
          <w:color w:val="000000"/>
        </w:rPr>
      </w:pPr>
      <w:r>
        <w:rPr>
          <w:bCs/>
          <w:color w:val="000000"/>
        </w:rPr>
        <w:t>11.2.3</w:t>
      </w:r>
      <w:r>
        <w:rPr>
          <w:rFonts w:hint="eastAsia"/>
          <w:bCs/>
          <w:color w:val="000000"/>
        </w:rPr>
        <w:t xml:space="preserve"> 第4款中</w:t>
      </w:r>
      <w:r>
        <w:rPr>
          <w:bCs/>
          <w:color w:val="000000"/>
        </w:rPr>
        <w:t>绿色竞赛</w:t>
      </w:r>
      <w:r>
        <w:rPr>
          <w:rFonts w:hint="eastAsia"/>
          <w:bCs/>
          <w:color w:val="000000"/>
        </w:rPr>
        <w:t>是指中国建筑业协会依据《建筑与市政工程绿色施工评价标准》组织的绿色建造竞赛活动，</w:t>
      </w:r>
      <w:r>
        <w:rPr>
          <w:bCs/>
          <w:color w:val="000000"/>
        </w:rPr>
        <w:t>绿色评价</w:t>
      </w:r>
      <w:r>
        <w:rPr>
          <w:rFonts w:hint="eastAsia"/>
          <w:bCs/>
          <w:color w:val="000000"/>
        </w:rPr>
        <w:t>是指中国施工企业协会依据《工程建设项目绿色建造水平评价标准》组织的绿色建造水平评价活动</w:t>
      </w:r>
      <w:r>
        <w:rPr>
          <w:bCs/>
          <w:color w:val="000000"/>
        </w:rPr>
        <w:t>、绿色认证</w:t>
      </w:r>
      <w:r>
        <w:rPr>
          <w:rFonts w:hint="eastAsia"/>
          <w:bCs/>
          <w:color w:val="000000"/>
        </w:rPr>
        <w:t>是绿色建筑认证。</w:t>
      </w:r>
    </w:p>
    <w:sectPr>
      <w:footerReference r:id="rId7" w:type="default"/>
      <w:pgSz w:w="11905" w:h="16837"/>
      <w:pgMar w:top="1440" w:right="1803" w:bottom="1440" w:left="1800" w:header="720"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dobe 黑体 Std R">
    <w:altName w:val="黑体"/>
    <w:panose1 w:val="00000000000000000000"/>
    <w:charset w:val="00"/>
    <w:family w:val="swiss"/>
    <w:pitch w:val="default"/>
    <w:sig w:usb0="00000000" w:usb1="00000000" w:usb2="00000016" w:usb3="00000000" w:csb0="00060007"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5D6F">
    <w:pPr>
      <w:pStyle w:val="1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13030" cy="131445"/>
              <wp:effectExtent l="0" t="0" r="0" b="0"/>
              <wp:wrapSquare wrapText="largest"/>
              <wp:docPr id="2049" name="文本框 1025"/>
              <wp:cNvGraphicFramePr/>
              <a:graphic xmlns:a="http://schemas.openxmlformats.org/drawingml/2006/main">
                <a:graphicData uri="http://schemas.microsoft.com/office/word/2010/wordprocessingShape">
                  <wps:wsp>
                    <wps:cNvSpPr/>
                    <wps:spPr>
                      <a:xfrm>
                        <a:off x="0" y="0"/>
                        <a:ext cx="113030" cy="131445"/>
                      </a:xfrm>
                      <a:prstGeom prst="rect">
                        <a:avLst/>
                      </a:prstGeom>
                      <a:solidFill>
                        <a:srgbClr val="FFFFFF">
                          <a:alpha val="0"/>
                        </a:srgbClr>
                      </a:solidFill>
                    </wps:spPr>
                    <wps:txbx>
                      <w:txbxContent>
                        <w:p w14:paraId="29CD805B">
                          <w:pPr>
                            <w:pStyle w:val="16"/>
                          </w:pPr>
                        </w:p>
                      </w:txbxContent>
                    </wps:txbx>
                    <wps:bodyPr lIns="0" tIns="0" rIns="0" bIns="0" upright="1"/>
                  </wps:wsp>
                </a:graphicData>
              </a:graphic>
            </wp:anchor>
          </w:drawing>
        </mc:Choice>
        <mc:Fallback>
          <w:pict>
            <v:rect id="文本框 1025" o:spid="_x0000_s1026" o:spt="1" style="position:absolute;left:0pt;margin-top:0.05pt;height:10.35pt;width:8.9pt;mso-position-horizontal:center;mso-position-horizontal-relative:margin;mso-wrap-distance-bottom:0pt;mso-wrap-distance-left:0pt;mso-wrap-distance-right:0pt;mso-wrap-distance-top:0pt;z-index:251659264;mso-width-relative:page;mso-height-relative:page;" fillcolor="#FFFFFF" filled="t" stroked="f" coordsize="21600,21600" o:gfxdata="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06aabSAAAAAwEAAA8AAAAAAAAAAQAgAAAAIgAAAGRycy9k&#10;b3ducmV2LnhtbFBLAQIUABQAAAAIAIdO4kC9/4ymzwEAAJsDAAAOAAAAAAAAAAEAIAAAACEBAABk&#10;cnMvZTJvRG9jLnhtbFBLBQYAAAAABgAGAFkBAABiBQAAAAA=&#10;">
              <v:fill on="t" opacity="0f" focussize="0,0"/>
              <v:stroke on="f"/>
              <v:imagedata o:title=""/>
              <o:lock v:ext="edit" aspectratio="f"/>
              <v:textbox inset="0mm,0mm,0mm,0mm">
                <w:txbxContent>
                  <w:p w14:paraId="29CD805B">
                    <w:pPr>
                      <w:pStyle w:val="16"/>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F72DC">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5</w:t>
    </w:r>
    <w:r>
      <w:fldChar w:fldCharType="end"/>
    </w:r>
  </w:p>
  <w:p w14:paraId="196F9824">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2F94A">
    <w:pPr>
      <w:pStyle w:val="16"/>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635</wp:posOffset>
              </wp:positionV>
              <wp:extent cx="113030" cy="131445"/>
              <wp:effectExtent l="0" t="0" r="0" b="0"/>
              <wp:wrapSquare wrapText="largest"/>
              <wp:docPr id="2051" name="文本框 1025"/>
              <wp:cNvGraphicFramePr/>
              <a:graphic xmlns:a="http://schemas.openxmlformats.org/drawingml/2006/main">
                <a:graphicData uri="http://schemas.microsoft.com/office/word/2010/wordprocessingShape">
                  <wps:wsp>
                    <wps:cNvSpPr/>
                    <wps:spPr>
                      <a:xfrm>
                        <a:off x="0" y="0"/>
                        <a:ext cx="113030" cy="131445"/>
                      </a:xfrm>
                      <a:prstGeom prst="rect">
                        <a:avLst/>
                      </a:prstGeom>
                      <a:solidFill>
                        <a:srgbClr val="FFFFFF">
                          <a:alpha val="0"/>
                        </a:srgbClr>
                      </a:solidFill>
                    </wps:spPr>
                    <wps:txbx>
                      <w:txbxContent>
                        <w:p w14:paraId="46FEEFCB">
                          <w:pPr>
                            <w:pStyle w:val="16"/>
                          </w:pPr>
                        </w:p>
                      </w:txbxContent>
                    </wps:txbx>
                    <wps:bodyPr lIns="0" tIns="0" rIns="0" bIns="0" upright="1"/>
                  </wps:wsp>
                </a:graphicData>
              </a:graphic>
            </wp:anchor>
          </w:drawing>
        </mc:Choice>
        <mc:Fallback>
          <w:pict>
            <v:rect id="文本框 1025" o:spid="_x0000_s1026" o:spt="1" style="position:absolute;left:0pt;margin-top:0.05pt;height:10.35pt;width:8.9pt;mso-position-horizontal:center;mso-position-horizontal-relative:margin;mso-wrap-distance-bottom:0pt;mso-wrap-distance-left:0pt;mso-wrap-distance-right:0pt;mso-wrap-distance-top:0pt;z-index:251660288;mso-width-relative:page;mso-height-relative:page;" fillcolor="#FFFFFF" filled="t" stroked="f" coordsize="21600,21600" o:gfxdata="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TppptIAAAADAQAADwAAAAAAAAABACAAAAAiAAAAZHJzL2Rv&#10;d25yZXYueG1sUEsBAhQAFAAAAAgAh07iQP0P8rzOAQAAmwMAAA4AAAAAAAAAAQAgAAAAIQEAAGRy&#10;cy9lMm9Eb2MueG1sUEsFBgAAAAAGAAYAWQEAAGEFAAAAAA==&#10;">
              <v:fill on="t" opacity="0f" focussize="0,0"/>
              <v:stroke on="f"/>
              <v:imagedata o:title=""/>
              <o:lock v:ext="edit" aspectratio="f"/>
              <v:textbox inset="0mm,0mm,0mm,0mm">
                <w:txbxContent>
                  <w:p w14:paraId="46FEEFCB">
                    <w:pPr>
                      <w:pStyle w:val="16"/>
                    </w:pPr>
                  </w:p>
                </w:txbxContent>
              </v:textbox>
              <w10:wrap type="square" side="largest"/>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391B1">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5</w:t>
    </w:r>
    <w:r>
      <w:fldChar w:fldCharType="end"/>
    </w:r>
  </w:p>
  <w:p w14:paraId="7EE8D1D1">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A54B7">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11</w:t>
    </w:r>
    <w:r>
      <w:fldChar w:fldCharType="end"/>
    </w:r>
  </w:p>
  <w:p w14:paraId="105ADC50">
    <w:pPr>
      <w:pStyle w:val="16"/>
    </w:pPr>
    <w:r>
      <mc:AlternateContent>
        <mc:Choice Requires="wps">
          <w:drawing>
            <wp:anchor distT="0" distB="0" distL="0" distR="0" simplePos="0" relativeHeight="251661312" behindDoc="0" locked="0" layoutInCell="1" allowOverlap="1">
              <wp:simplePos x="0" y="0"/>
              <wp:positionH relativeFrom="margin">
                <wp:posOffset>2401570</wp:posOffset>
              </wp:positionH>
              <wp:positionV relativeFrom="paragraph">
                <wp:posOffset>0</wp:posOffset>
              </wp:positionV>
              <wp:extent cx="291465" cy="165100"/>
              <wp:effectExtent l="0" t="0" r="0" b="0"/>
              <wp:wrapSquare wrapText="largest"/>
              <wp:docPr id="2053" name="文本框 1025"/>
              <wp:cNvGraphicFramePr/>
              <a:graphic xmlns:a="http://schemas.openxmlformats.org/drawingml/2006/main">
                <a:graphicData uri="http://schemas.microsoft.com/office/word/2010/wordprocessingShape">
                  <wps:wsp>
                    <wps:cNvSpPr/>
                    <wps:spPr>
                      <a:xfrm>
                        <a:off x="0" y="0"/>
                        <a:ext cx="291465" cy="165100"/>
                      </a:xfrm>
                      <a:prstGeom prst="rect">
                        <a:avLst/>
                      </a:prstGeom>
                      <a:solidFill>
                        <a:srgbClr val="FFFFFF">
                          <a:alpha val="0"/>
                        </a:srgbClr>
                      </a:solidFill>
                    </wps:spPr>
                    <wps:txbx>
                      <w:txbxContent>
                        <w:p w14:paraId="22818836">
                          <w:pPr>
                            <w:pStyle w:val="16"/>
                          </w:pPr>
                        </w:p>
                      </w:txbxContent>
                    </wps:txbx>
                    <wps:bodyPr wrap="square" lIns="0" tIns="0" rIns="0" bIns="0" upright="1">
                      <a:noAutofit/>
                    </wps:bodyPr>
                  </wps:wsp>
                </a:graphicData>
              </a:graphic>
            </wp:anchor>
          </w:drawing>
        </mc:Choice>
        <mc:Fallback>
          <w:pict>
            <v:rect id="文本框 1025" o:spid="_x0000_s1026" o:spt="1" style="position:absolute;left:0pt;margin-left:189.1pt;margin-top:0pt;height:13pt;width:22.95pt;mso-position-horizontal-relative:margin;mso-wrap-distance-bottom:0pt;mso-wrap-distance-left:0pt;mso-wrap-distance-right:0pt;mso-wrap-distance-top:0pt;z-index:251661312;mso-width-relative:page;mso-height-relative:page;" fillcolor="#FFFFFF" filled="t" stroked="f" coordsize="21600,21600" o:gfxdata="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fOES1gAAAAcB&#10;AAAPAAAAAAAAAAEAIAAAACIAAABkcnMvZG93bnJldi54bWxQSwECFAAUAAAACACHTuJA9pUteOQB&#10;AADDAwAADgAAAAAAAAABACAAAAAlAQAAZHJzL2Uyb0RvYy54bWxQSwUGAAAAAAYABgBZAQAAewUA&#10;AAAA&#10;">
              <v:fill on="t" opacity="0f" focussize="0,0"/>
              <v:stroke on="f"/>
              <v:imagedata o:title=""/>
              <o:lock v:ext="edit" aspectratio="f"/>
              <v:textbox inset="0mm,0mm,0mm,0mm">
                <w:txbxContent>
                  <w:p w14:paraId="22818836">
                    <w:pPr>
                      <w:pStyle w:val="16"/>
                    </w:pPr>
                  </w:p>
                </w:txbxContent>
              </v:textbox>
              <w10:wrap type="square" side="largest"/>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B0346"/>
    <w:multiLevelType w:val="multilevel"/>
    <w:tmpl w:val="592B0346"/>
    <w:lvl w:ilvl="0" w:tentative="0">
      <w:start w:val="1"/>
      <w:numFmt w:val="none"/>
      <w:pStyle w:val="3"/>
      <w:lvlText w:val=""/>
      <w:lvlJc w:val="left"/>
      <w:pPr>
        <w:tabs>
          <w:tab w:val="left" w:pos="432"/>
        </w:tabs>
        <w:ind w:left="432" w:hanging="432"/>
      </w:pPr>
    </w:lvl>
    <w:lvl w:ilvl="1" w:tentative="0">
      <w:start w:val="1"/>
      <w:numFmt w:val="none"/>
      <w:pStyle w:val="4"/>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0"/>
  <w:drawingGridVerticalSpacing w:val="0"/>
  <w:doNotUseMarginsForDrawingGridOrigin w:val="1"/>
  <w:drawingGridHorizontalOrigin w:val="0"/>
  <w:drawingGridVerticalOrigin w:val="0"/>
  <w:noPunctuationKerning w:val="1"/>
  <w:characterSpacingControl w:val="compressPunctuation"/>
  <w:compat>
    <w:noLeading/>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OGJkMWZhNWVjODE1ZDMzNGMzNDNkZjIxOWY1NzMxMjkifQ=="/>
  </w:docVars>
  <w:rsids>
    <w:rsidRoot w:val="00AE2788"/>
    <w:rsid w:val="00021E72"/>
    <w:rsid w:val="00047DFA"/>
    <w:rsid w:val="000726F4"/>
    <w:rsid w:val="000800AE"/>
    <w:rsid w:val="000838A7"/>
    <w:rsid w:val="00087DC0"/>
    <w:rsid w:val="0009526F"/>
    <w:rsid w:val="00095AAD"/>
    <w:rsid w:val="000A5FF0"/>
    <w:rsid w:val="000B2018"/>
    <w:rsid w:val="000C3000"/>
    <w:rsid w:val="000D51AB"/>
    <w:rsid w:val="000D71D7"/>
    <w:rsid w:val="000F16BF"/>
    <w:rsid w:val="00135DE8"/>
    <w:rsid w:val="00143CFD"/>
    <w:rsid w:val="00156ADB"/>
    <w:rsid w:val="00167868"/>
    <w:rsid w:val="00177C66"/>
    <w:rsid w:val="001827E4"/>
    <w:rsid w:val="00186B9D"/>
    <w:rsid w:val="00194BF6"/>
    <w:rsid w:val="00197F40"/>
    <w:rsid w:val="001A4E55"/>
    <w:rsid w:val="001B0194"/>
    <w:rsid w:val="001B309D"/>
    <w:rsid w:val="00202EA8"/>
    <w:rsid w:val="00207188"/>
    <w:rsid w:val="0021712F"/>
    <w:rsid w:val="002347C8"/>
    <w:rsid w:val="00252A19"/>
    <w:rsid w:val="002618F9"/>
    <w:rsid w:val="0027346F"/>
    <w:rsid w:val="002871F4"/>
    <w:rsid w:val="002A690E"/>
    <w:rsid w:val="002D221A"/>
    <w:rsid w:val="002E0E13"/>
    <w:rsid w:val="00317529"/>
    <w:rsid w:val="00337C72"/>
    <w:rsid w:val="00350C99"/>
    <w:rsid w:val="00351AA1"/>
    <w:rsid w:val="00354794"/>
    <w:rsid w:val="00373FE1"/>
    <w:rsid w:val="003913A8"/>
    <w:rsid w:val="003C30C0"/>
    <w:rsid w:val="003E6D73"/>
    <w:rsid w:val="0040718C"/>
    <w:rsid w:val="004167EF"/>
    <w:rsid w:val="004174F1"/>
    <w:rsid w:val="00426A47"/>
    <w:rsid w:val="0042723E"/>
    <w:rsid w:val="004868FB"/>
    <w:rsid w:val="00487118"/>
    <w:rsid w:val="004A1F83"/>
    <w:rsid w:val="004C5BDF"/>
    <w:rsid w:val="004E6453"/>
    <w:rsid w:val="004F07C2"/>
    <w:rsid w:val="0054403D"/>
    <w:rsid w:val="00546CA4"/>
    <w:rsid w:val="00560091"/>
    <w:rsid w:val="0056445D"/>
    <w:rsid w:val="00566E1F"/>
    <w:rsid w:val="005709D9"/>
    <w:rsid w:val="00570A88"/>
    <w:rsid w:val="005817B5"/>
    <w:rsid w:val="00581B98"/>
    <w:rsid w:val="005878B8"/>
    <w:rsid w:val="00597B1A"/>
    <w:rsid w:val="005A7A89"/>
    <w:rsid w:val="005B256E"/>
    <w:rsid w:val="005C5208"/>
    <w:rsid w:val="005D448E"/>
    <w:rsid w:val="005D50A2"/>
    <w:rsid w:val="00604263"/>
    <w:rsid w:val="00645320"/>
    <w:rsid w:val="006A3457"/>
    <w:rsid w:val="006A5139"/>
    <w:rsid w:val="006A779E"/>
    <w:rsid w:val="00732AFF"/>
    <w:rsid w:val="007405E8"/>
    <w:rsid w:val="00767CDB"/>
    <w:rsid w:val="00772236"/>
    <w:rsid w:val="007929AC"/>
    <w:rsid w:val="007A6168"/>
    <w:rsid w:val="007B20A2"/>
    <w:rsid w:val="007B24A1"/>
    <w:rsid w:val="007D399D"/>
    <w:rsid w:val="007F79C2"/>
    <w:rsid w:val="0080040B"/>
    <w:rsid w:val="008060B2"/>
    <w:rsid w:val="00806132"/>
    <w:rsid w:val="008522C0"/>
    <w:rsid w:val="00863D64"/>
    <w:rsid w:val="008866A2"/>
    <w:rsid w:val="008913DD"/>
    <w:rsid w:val="008C0F02"/>
    <w:rsid w:val="00915477"/>
    <w:rsid w:val="00921B3C"/>
    <w:rsid w:val="00966E13"/>
    <w:rsid w:val="009731C4"/>
    <w:rsid w:val="00977F18"/>
    <w:rsid w:val="00994524"/>
    <w:rsid w:val="0099554D"/>
    <w:rsid w:val="00995F16"/>
    <w:rsid w:val="009C0A04"/>
    <w:rsid w:val="009C56F6"/>
    <w:rsid w:val="009E2B59"/>
    <w:rsid w:val="009E7B55"/>
    <w:rsid w:val="009F0602"/>
    <w:rsid w:val="009F520A"/>
    <w:rsid w:val="009F6199"/>
    <w:rsid w:val="00A01E42"/>
    <w:rsid w:val="00A14363"/>
    <w:rsid w:val="00A16080"/>
    <w:rsid w:val="00A32EE2"/>
    <w:rsid w:val="00A42D24"/>
    <w:rsid w:val="00A56B54"/>
    <w:rsid w:val="00A56F77"/>
    <w:rsid w:val="00A92971"/>
    <w:rsid w:val="00AA04CB"/>
    <w:rsid w:val="00AA2E07"/>
    <w:rsid w:val="00AA4186"/>
    <w:rsid w:val="00AA6ABC"/>
    <w:rsid w:val="00AB0D23"/>
    <w:rsid w:val="00AC6552"/>
    <w:rsid w:val="00AD4285"/>
    <w:rsid w:val="00AE2788"/>
    <w:rsid w:val="00AF4B5E"/>
    <w:rsid w:val="00AF723D"/>
    <w:rsid w:val="00AF7676"/>
    <w:rsid w:val="00B12349"/>
    <w:rsid w:val="00B268C4"/>
    <w:rsid w:val="00B43B97"/>
    <w:rsid w:val="00B5730F"/>
    <w:rsid w:val="00B75D6F"/>
    <w:rsid w:val="00B775CF"/>
    <w:rsid w:val="00B81BF7"/>
    <w:rsid w:val="00B85241"/>
    <w:rsid w:val="00BB4F33"/>
    <w:rsid w:val="00BC02D2"/>
    <w:rsid w:val="00BD7DB5"/>
    <w:rsid w:val="00C0743A"/>
    <w:rsid w:val="00C2694B"/>
    <w:rsid w:val="00C36949"/>
    <w:rsid w:val="00C41584"/>
    <w:rsid w:val="00C45E5A"/>
    <w:rsid w:val="00C50B50"/>
    <w:rsid w:val="00C670FA"/>
    <w:rsid w:val="00CA2556"/>
    <w:rsid w:val="00CB32A5"/>
    <w:rsid w:val="00CD2129"/>
    <w:rsid w:val="00CE6EC2"/>
    <w:rsid w:val="00CF20A2"/>
    <w:rsid w:val="00CF3BB3"/>
    <w:rsid w:val="00D22EAB"/>
    <w:rsid w:val="00D232F2"/>
    <w:rsid w:val="00D31C17"/>
    <w:rsid w:val="00D32164"/>
    <w:rsid w:val="00D54B84"/>
    <w:rsid w:val="00D61373"/>
    <w:rsid w:val="00D7444C"/>
    <w:rsid w:val="00D8543D"/>
    <w:rsid w:val="00DA1955"/>
    <w:rsid w:val="00E01CE2"/>
    <w:rsid w:val="00E039DE"/>
    <w:rsid w:val="00E11320"/>
    <w:rsid w:val="00E126A4"/>
    <w:rsid w:val="00E1714C"/>
    <w:rsid w:val="00E33DEA"/>
    <w:rsid w:val="00E5792B"/>
    <w:rsid w:val="00E57FEA"/>
    <w:rsid w:val="00E60898"/>
    <w:rsid w:val="00E71E88"/>
    <w:rsid w:val="00E82887"/>
    <w:rsid w:val="00E95210"/>
    <w:rsid w:val="00EA07CB"/>
    <w:rsid w:val="00EA49AF"/>
    <w:rsid w:val="00EF3964"/>
    <w:rsid w:val="00F029E5"/>
    <w:rsid w:val="00F0556E"/>
    <w:rsid w:val="00F15F23"/>
    <w:rsid w:val="00F34000"/>
    <w:rsid w:val="00F60D69"/>
    <w:rsid w:val="00F707E2"/>
    <w:rsid w:val="00F85ABE"/>
    <w:rsid w:val="00F95776"/>
    <w:rsid w:val="00F97F44"/>
    <w:rsid w:val="00FA205B"/>
    <w:rsid w:val="00FC088B"/>
    <w:rsid w:val="00FC15FF"/>
    <w:rsid w:val="00FE1D86"/>
    <w:rsid w:val="03B804CE"/>
    <w:rsid w:val="056C26DE"/>
    <w:rsid w:val="0658168F"/>
    <w:rsid w:val="073F76BA"/>
    <w:rsid w:val="08D6619F"/>
    <w:rsid w:val="0D780CCE"/>
    <w:rsid w:val="0F256A41"/>
    <w:rsid w:val="10DE1520"/>
    <w:rsid w:val="10EF3A62"/>
    <w:rsid w:val="11994B15"/>
    <w:rsid w:val="1433594E"/>
    <w:rsid w:val="15D078F9"/>
    <w:rsid w:val="1A7D4C5D"/>
    <w:rsid w:val="1F4840B3"/>
    <w:rsid w:val="1FC15CDC"/>
    <w:rsid w:val="2088622C"/>
    <w:rsid w:val="20BB2DEE"/>
    <w:rsid w:val="234858AD"/>
    <w:rsid w:val="28F45255"/>
    <w:rsid w:val="2C8117CB"/>
    <w:rsid w:val="2EA3213B"/>
    <w:rsid w:val="2EE57667"/>
    <w:rsid w:val="30F318D6"/>
    <w:rsid w:val="31530F25"/>
    <w:rsid w:val="35315512"/>
    <w:rsid w:val="3772077A"/>
    <w:rsid w:val="388E534E"/>
    <w:rsid w:val="38E224A5"/>
    <w:rsid w:val="396A158D"/>
    <w:rsid w:val="3A13766E"/>
    <w:rsid w:val="42213106"/>
    <w:rsid w:val="4B6C7353"/>
    <w:rsid w:val="4C174808"/>
    <w:rsid w:val="501A1195"/>
    <w:rsid w:val="56846200"/>
    <w:rsid w:val="57863DDF"/>
    <w:rsid w:val="5B634300"/>
    <w:rsid w:val="5CAD3B2A"/>
    <w:rsid w:val="5DB5001B"/>
    <w:rsid w:val="62FF58C9"/>
    <w:rsid w:val="63115BF5"/>
    <w:rsid w:val="6316781D"/>
    <w:rsid w:val="65F01468"/>
    <w:rsid w:val="660B53B0"/>
    <w:rsid w:val="678017BB"/>
    <w:rsid w:val="710870BC"/>
    <w:rsid w:val="71453E6C"/>
    <w:rsid w:val="76E51CAC"/>
    <w:rsid w:val="79827740"/>
    <w:rsid w:val="79D80988"/>
    <w:rsid w:val="7B8C271C"/>
    <w:rsid w:val="7C49574E"/>
    <w:rsid w:val="7FF71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lang w:val="en-US" w:eastAsia="zh-CN" w:bidi="ar-SA"/>
    </w:rPr>
  </w:style>
  <w:style w:type="paragraph" w:styleId="3">
    <w:name w:val="heading 1"/>
    <w:basedOn w:val="1"/>
    <w:next w:val="1"/>
    <w:link w:val="32"/>
    <w:qFormat/>
    <w:uiPriority w:val="0"/>
    <w:pPr>
      <w:numPr>
        <w:ilvl w:val="0"/>
        <w:numId w:val="1"/>
      </w:numPr>
      <w:tabs>
        <w:tab w:val="clear" w:pos="432"/>
      </w:tabs>
      <w:autoSpaceDE w:val="0"/>
      <w:jc w:val="center"/>
      <w:outlineLvl w:val="0"/>
    </w:pPr>
    <w:rPr>
      <w:rFonts w:ascii="Arial" w:hAnsi="Arial"/>
      <w:color w:val="000000"/>
      <w:sz w:val="44"/>
      <w:szCs w:val="44"/>
      <w:lang w:val="zh-CN"/>
    </w:rPr>
  </w:style>
  <w:style w:type="paragraph" w:styleId="4">
    <w:name w:val="heading 2"/>
    <w:basedOn w:val="1"/>
    <w:next w:val="1"/>
    <w:qFormat/>
    <w:uiPriority w:val="0"/>
    <w:pPr>
      <w:numPr>
        <w:ilvl w:val="1"/>
        <w:numId w:val="1"/>
      </w:numPr>
      <w:tabs>
        <w:tab w:val="clear" w:pos="576"/>
      </w:tabs>
      <w:autoSpaceDE w:val="0"/>
      <w:ind w:left="270" w:hanging="270"/>
      <w:jc w:val="left"/>
      <w:outlineLvl w:val="1"/>
    </w:pPr>
    <w:rPr>
      <w:rFonts w:ascii="Arial" w:hAnsi="Arial"/>
      <w:color w:val="000000"/>
      <w:sz w:val="32"/>
      <w:szCs w:val="32"/>
      <w:lang w:val="zh-CN"/>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left="179" w:leftChars="64" w:firstLine="378" w:firstLineChars="135"/>
    </w:pPr>
  </w:style>
  <w:style w:type="paragraph" w:styleId="6">
    <w:name w:val="List 3"/>
    <w:basedOn w:val="1"/>
    <w:qFormat/>
    <w:uiPriority w:val="0"/>
    <w:pPr>
      <w:suppressAutoHyphens w:val="0"/>
      <w:ind w:left="100" w:leftChars="400" w:hanging="200" w:hangingChars="200"/>
    </w:pPr>
    <w:rPr>
      <w:kern w:val="2"/>
      <w:szCs w:val="24"/>
    </w:rPr>
  </w:style>
  <w:style w:type="paragraph" w:styleId="7">
    <w:name w:val="Document Map"/>
    <w:basedOn w:val="1"/>
    <w:qFormat/>
    <w:uiPriority w:val="0"/>
    <w:pPr>
      <w:shd w:val="clear" w:color="auto" w:fill="000080"/>
    </w:p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List 2"/>
    <w:basedOn w:val="1"/>
    <w:qFormat/>
    <w:uiPriority w:val="0"/>
    <w:pPr>
      <w:suppressAutoHyphens w:val="0"/>
      <w:ind w:left="100" w:leftChars="200" w:hanging="200" w:hangingChars="200"/>
    </w:pPr>
    <w:rPr>
      <w:kern w:val="2"/>
      <w:szCs w:val="24"/>
    </w:rPr>
  </w:style>
  <w:style w:type="paragraph" w:styleId="11">
    <w:name w:val="Block Text"/>
    <w:basedOn w:val="1"/>
    <w:qFormat/>
    <w:uiPriority w:val="0"/>
    <w:pPr>
      <w:spacing w:line="540" w:lineRule="exact"/>
      <w:ind w:left="-178" w:leftChars="-85" w:right="-506" w:rightChars="-241" w:firstLine="640" w:firstLineChars="200"/>
    </w:pPr>
    <w:rPr>
      <w:rFonts w:ascii="宋体" w:hAnsi="宋体"/>
      <w:color w:val="008000"/>
      <w:sz w:val="32"/>
      <w:szCs w:val="44"/>
    </w:rPr>
  </w:style>
  <w:style w:type="paragraph" w:styleId="12">
    <w:name w:val="toc 3"/>
    <w:basedOn w:val="1"/>
    <w:next w:val="1"/>
    <w:qFormat/>
    <w:uiPriority w:val="0"/>
    <w:pPr>
      <w:ind w:left="840" w:leftChars="400"/>
    </w:pPr>
  </w:style>
  <w:style w:type="paragraph" w:styleId="13">
    <w:name w:val="Plain Text"/>
    <w:basedOn w:val="1"/>
    <w:qFormat/>
    <w:uiPriority w:val="0"/>
    <w:pPr>
      <w:suppressAutoHyphens w:val="0"/>
    </w:pPr>
    <w:rPr>
      <w:rFonts w:ascii="宋体" w:hAnsi="Courier New"/>
      <w:kern w:val="2"/>
      <w:szCs w:val="21"/>
    </w:rPr>
  </w:style>
  <w:style w:type="paragraph" w:styleId="14">
    <w:name w:val="Date"/>
    <w:basedOn w:val="1"/>
    <w:next w:val="1"/>
    <w:qFormat/>
    <w:uiPriority w:val="0"/>
    <w:pPr>
      <w:suppressAutoHyphens w:val="0"/>
      <w:ind w:left="100" w:leftChars="2500"/>
    </w:pPr>
    <w:rPr>
      <w:kern w:val="2"/>
      <w:szCs w:val="24"/>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suppressLineNumbers/>
      <w:tabs>
        <w:tab w:val="center" w:pos="4818"/>
        <w:tab w:val="right" w:pos="9637"/>
      </w:tabs>
    </w:pPr>
  </w:style>
  <w:style w:type="paragraph" w:styleId="18">
    <w:name w:val="toc 1"/>
    <w:basedOn w:val="1"/>
    <w:next w:val="1"/>
    <w:qFormat/>
    <w:uiPriority w:val="0"/>
  </w:style>
  <w:style w:type="paragraph" w:styleId="19">
    <w:name w:val="Subtitle"/>
    <w:basedOn w:val="20"/>
    <w:next w:val="9"/>
    <w:qFormat/>
    <w:uiPriority w:val="0"/>
    <w:pPr>
      <w:jc w:val="center"/>
    </w:pPr>
    <w:rPr>
      <w:rFonts w:ascii="Times New Roman" w:hAnsi="Times New Roman" w:cs="Times New Roman"/>
      <w:i/>
      <w:iCs/>
    </w:rPr>
  </w:style>
  <w:style w:type="paragraph" w:styleId="20">
    <w:name w:val="Title"/>
    <w:basedOn w:val="1"/>
    <w:next w:val="9"/>
    <w:qFormat/>
    <w:uiPriority w:val="0"/>
    <w:pPr>
      <w:keepNext/>
      <w:spacing w:before="240" w:after="120"/>
    </w:pPr>
    <w:rPr>
      <w:rFonts w:ascii="Arial" w:hAnsi="Arial" w:cs="Tahoma"/>
      <w:sz w:val="28"/>
      <w:szCs w:val="28"/>
    </w:rPr>
  </w:style>
  <w:style w:type="paragraph" w:styleId="21">
    <w:name w:val="List"/>
    <w:basedOn w:val="9"/>
    <w:qFormat/>
    <w:uiPriority w:val="0"/>
    <w:rPr>
      <w:rFonts w:cs="Tahoma"/>
    </w:rPr>
  </w:style>
  <w:style w:type="paragraph" w:styleId="22">
    <w:name w:val="toc 2"/>
    <w:basedOn w:val="1"/>
    <w:next w:val="1"/>
    <w:qFormat/>
    <w:uiPriority w:val="0"/>
    <w:pPr>
      <w:ind w:left="420" w:leftChars="200"/>
    </w:pPr>
  </w:style>
  <w:style w:type="paragraph" w:styleId="23">
    <w:name w:val="Normal (Web)"/>
    <w:basedOn w:val="1"/>
    <w:qFormat/>
    <w:uiPriority w:val="0"/>
    <w:pPr>
      <w:widowControl/>
      <w:suppressAutoHyphens w:val="0"/>
      <w:spacing w:before="100" w:beforeAutospacing="1" w:after="100" w:afterAutospacing="1"/>
      <w:jc w:val="left"/>
    </w:pPr>
    <w:rPr>
      <w:rFonts w:ascii="宋体" w:hAnsi="宋体" w:cs="宋体"/>
      <w:kern w:val="0"/>
      <w:sz w:val="24"/>
      <w:szCs w:val="24"/>
    </w:rPr>
  </w:style>
  <w:style w:type="paragraph" w:styleId="24">
    <w:name w:val="Body Text First Indent"/>
    <w:basedOn w:val="9"/>
    <w:qFormat/>
    <w:uiPriority w:val="0"/>
    <w:pPr>
      <w:suppressAutoHyphens w:val="0"/>
      <w:ind w:firstLine="420" w:firstLineChars="100"/>
    </w:pPr>
    <w:rPr>
      <w:kern w:val="2"/>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imes New Roman" w:hAnsi="Times New Roman" w:eastAsia="宋体" w:cs="Times New Roman"/>
      <w:b/>
      <w:bCs/>
    </w:rPr>
  </w:style>
  <w:style w:type="character" w:styleId="29">
    <w:name w:val="page number"/>
    <w:qFormat/>
    <w:uiPriority w:val="0"/>
    <w:rPr>
      <w:rFonts w:ascii="Times New Roman" w:hAnsi="Times New Roman" w:eastAsia="宋体" w:cs="Times New Roman"/>
    </w:rPr>
  </w:style>
  <w:style w:type="character" w:styleId="30">
    <w:name w:val="Hyperlink"/>
    <w:qFormat/>
    <w:uiPriority w:val="0"/>
    <w:rPr>
      <w:rFonts w:ascii="Times New Roman" w:hAnsi="Times New Roman" w:eastAsia="宋体" w:cs="Times New Roman"/>
      <w:color w:val="0000FF"/>
      <w:u w:val="single"/>
    </w:rPr>
  </w:style>
  <w:style w:type="paragraph" w:customStyle="1" w:styleId="3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character" w:customStyle="1" w:styleId="32">
    <w:name w:val="标题 1 字符"/>
    <w:link w:val="3"/>
    <w:qFormat/>
    <w:uiPriority w:val="0"/>
    <w:rPr>
      <w:rFonts w:ascii="Arial" w:hAnsi="Arial" w:eastAsia="宋体" w:cs="Times New Roman"/>
      <w:color w:val="000000"/>
      <w:kern w:val="1"/>
      <w:sz w:val="44"/>
      <w:szCs w:val="44"/>
      <w:lang w:val="zh-CN"/>
    </w:rPr>
  </w:style>
  <w:style w:type="paragraph" w:customStyle="1" w:styleId="33">
    <w:name w:val="正01"/>
    <w:basedOn w:val="1"/>
    <w:qFormat/>
    <w:uiPriority w:val="0"/>
    <w:pPr>
      <w:spacing w:line="360" w:lineRule="auto"/>
    </w:pPr>
    <w:rPr>
      <w:color w:val="4F81BD"/>
      <w:sz w:val="24"/>
      <w:szCs w:val="24"/>
    </w:rPr>
  </w:style>
  <w:style w:type="character" w:customStyle="1" w:styleId="34">
    <w:name w:val="font21"/>
    <w:qFormat/>
    <w:uiPriority w:val="0"/>
    <w:rPr>
      <w:rFonts w:hint="eastAsia" w:ascii="宋体" w:hAnsi="宋体" w:eastAsia="宋体" w:cs="宋体"/>
      <w:color w:val="000000"/>
      <w:sz w:val="22"/>
      <w:szCs w:val="22"/>
      <w:u w:val="none"/>
    </w:rPr>
  </w:style>
  <w:style w:type="character" w:customStyle="1" w:styleId="35">
    <w:name w:val="font01"/>
    <w:qFormat/>
    <w:uiPriority w:val="0"/>
    <w:rPr>
      <w:rFonts w:hint="eastAsia" w:ascii="宋体" w:hAnsi="宋体" w:eastAsia="宋体" w:cs="宋体"/>
      <w:color w:val="000000"/>
      <w:sz w:val="22"/>
      <w:szCs w:val="22"/>
      <w:u w:val="none"/>
    </w:rPr>
  </w:style>
  <w:style w:type="character" w:customStyle="1" w:styleId="36">
    <w:name w:val="font31"/>
    <w:qFormat/>
    <w:uiPriority w:val="0"/>
    <w:rPr>
      <w:rFonts w:hint="eastAsia" w:ascii="宋体" w:hAnsi="宋体" w:eastAsia="宋体" w:cs="宋体"/>
      <w:color w:val="000000"/>
      <w:sz w:val="22"/>
      <w:szCs w:val="22"/>
      <w:u w:val="none"/>
    </w:rPr>
  </w:style>
  <w:style w:type="character" w:customStyle="1" w:styleId="37">
    <w:name w:val="font11"/>
    <w:qFormat/>
    <w:uiPriority w:val="0"/>
    <w:rPr>
      <w:rFonts w:hint="eastAsia" w:ascii="宋体" w:hAnsi="宋体" w:eastAsia="宋体" w:cs="宋体"/>
      <w:color w:val="000000"/>
      <w:sz w:val="22"/>
      <w:szCs w:val="22"/>
      <w:u w:val="none"/>
    </w:rPr>
  </w:style>
  <w:style w:type="paragraph" w:customStyle="1" w:styleId="38">
    <w:name w:val="正4表"/>
    <w:basedOn w:val="1"/>
    <w:qFormat/>
    <w:uiPriority w:val="0"/>
    <w:rPr>
      <w:szCs w:val="21"/>
    </w:rPr>
  </w:style>
  <w:style w:type="character" w:customStyle="1" w:styleId="39">
    <w:name w:val="font81"/>
    <w:qFormat/>
    <w:uiPriority w:val="0"/>
    <w:rPr>
      <w:rFonts w:hint="eastAsia" w:ascii="宋体" w:hAnsi="宋体" w:eastAsia="宋体" w:cs="宋体"/>
      <w:color w:val="000000"/>
      <w:sz w:val="24"/>
      <w:szCs w:val="24"/>
      <w:u w:val="none"/>
    </w:rPr>
  </w:style>
  <w:style w:type="character" w:customStyle="1" w:styleId="40">
    <w:name w:val="font51"/>
    <w:qFormat/>
    <w:uiPriority w:val="0"/>
    <w:rPr>
      <w:rFonts w:hint="eastAsia" w:ascii="宋体" w:hAnsi="宋体" w:eastAsia="宋体" w:cs="宋体"/>
      <w:color w:val="000000"/>
      <w:sz w:val="24"/>
      <w:szCs w:val="24"/>
      <w:u w:val="none"/>
      <w:vertAlign w:val="superscript"/>
    </w:rPr>
  </w:style>
  <w:style w:type="character" w:customStyle="1" w:styleId="41">
    <w:name w:val="发布"/>
    <w:qFormat/>
    <w:uiPriority w:val="0"/>
    <w:rPr>
      <w:rFonts w:ascii="黑体" w:hAnsi="Times New Roman" w:eastAsia="黑体" w:cs="Times New Roman"/>
      <w:spacing w:val="22"/>
      <w:w w:val="100"/>
      <w:position w:val="3"/>
      <w:sz w:val="28"/>
    </w:rPr>
  </w:style>
  <w:style w:type="character" w:customStyle="1" w:styleId="42">
    <w:name w:val="WW-Absatz-Standardschriftart"/>
    <w:qFormat/>
    <w:uiPriority w:val="0"/>
    <w:rPr>
      <w:rFonts w:ascii="Times New Roman" w:hAnsi="Times New Roman" w:eastAsia="宋体" w:cs="Times New Roman"/>
    </w:rPr>
  </w:style>
  <w:style w:type="character" w:customStyle="1" w:styleId="43">
    <w:name w:val="Absatz-Standardschriftart"/>
    <w:qFormat/>
    <w:uiPriority w:val="0"/>
    <w:rPr>
      <w:rFonts w:ascii="Times New Roman" w:hAnsi="Times New Roman" w:eastAsia="宋体" w:cs="Times New Roman"/>
    </w:rPr>
  </w:style>
  <w:style w:type="character" w:customStyle="1" w:styleId="44">
    <w:name w:val="WW-默认段落字体"/>
    <w:qFormat/>
    <w:uiPriority w:val="0"/>
    <w:rPr>
      <w:rFonts w:ascii="Times New Roman" w:hAnsi="Times New Roman" w:eastAsia="宋体" w:cs="Times New Roman"/>
    </w:rPr>
  </w:style>
  <w:style w:type="character" w:customStyle="1" w:styleId="45">
    <w:name w:val="WW-Absatz-Standardschriftart1"/>
    <w:qFormat/>
    <w:uiPriority w:val="0"/>
    <w:rPr>
      <w:rFonts w:ascii="Times New Roman" w:hAnsi="Times New Roman" w:eastAsia="宋体" w:cs="Times New Roman"/>
    </w:rPr>
  </w:style>
  <w:style w:type="paragraph" w:customStyle="1" w:styleId="4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7">
    <w:name w:val="标签"/>
    <w:basedOn w:val="1"/>
    <w:qFormat/>
    <w:uiPriority w:val="0"/>
    <w:pPr>
      <w:suppressLineNumbers/>
      <w:spacing w:before="120" w:after="120"/>
    </w:pPr>
    <w:rPr>
      <w:rFonts w:cs="Tahoma"/>
      <w:i/>
      <w:iCs/>
      <w:sz w:val="24"/>
      <w:szCs w:val="24"/>
    </w:rPr>
  </w:style>
  <w:style w:type="paragraph" w:customStyle="1" w:styleId="4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49">
    <w:name w:val="目录"/>
    <w:basedOn w:val="1"/>
    <w:qFormat/>
    <w:uiPriority w:val="0"/>
    <w:pPr>
      <w:suppressLineNumbers/>
    </w:pPr>
    <w:rPr>
      <w:rFonts w:cs="Tahoma"/>
    </w:rPr>
  </w:style>
  <w:style w:type="paragraph" w:customStyle="1" w:styleId="50">
    <w:name w:val="表格内容"/>
    <w:basedOn w:val="1"/>
    <w:qFormat/>
    <w:uiPriority w:val="0"/>
    <w:pPr>
      <w:suppressLineNumbers/>
    </w:pPr>
  </w:style>
  <w:style w:type="paragraph" w:customStyle="1" w:styleId="51">
    <w:name w:val="表格标题"/>
    <w:basedOn w:val="50"/>
    <w:qFormat/>
    <w:uiPriority w:val="0"/>
    <w:pPr>
      <w:jc w:val="center"/>
    </w:pPr>
    <w:rPr>
      <w:b/>
      <w:bCs/>
    </w:rPr>
  </w:style>
  <w:style w:type="paragraph" w:customStyle="1" w:styleId="5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修订1"/>
    <w:qFormat/>
    <w:uiPriority w:val="0"/>
    <w:rPr>
      <w:rFonts w:ascii="Times New Roman" w:hAnsi="Times New Roman" w:eastAsia="宋体" w:cs="Times New Roman"/>
      <w:kern w:val="1"/>
      <w:sz w:val="21"/>
      <w:lang w:val="en-US" w:eastAsia="zh-CN" w:bidi="ar-SA"/>
    </w:rPr>
  </w:style>
  <w:style w:type="paragraph" w:customStyle="1" w:styleId="5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59">
    <w:name w:val="Char Char Char Char Char Char Char"/>
    <w:basedOn w:val="7"/>
    <w:qFormat/>
    <w:uiPriority w:val="0"/>
    <w:pPr>
      <w:suppressAutoHyphens w:val="0"/>
      <w:adjustRightInd w:val="0"/>
      <w:spacing w:line="436" w:lineRule="exact"/>
      <w:ind w:left="357"/>
      <w:jc w:val="left"/>
      <w:outlineLvl w:val="3"/>
    </w:pPr>
    <w:rPr>
      <w:rFonts w:ascii="Tahoma" w:hAnsi="Tahoma"/>
      <w:b/>
      <w:kern w:val="2"/>
      <w:sz w:val="24"/>
      <w:szCs w:val="24"/>
    </w:rPr>
  </w:style>
  <w:style w:type="paragraph" w:customStyle="1" w:styleId="6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1">
    <w:name w:val="框内容"/>
    <w:basedOn w:val="9"/>
    <w:qFormat/>
    <w:uiPriority w:val="0"/>
  </w:style>
  <w:style w:type="paragraph" w:customStyle="1" w:styleId="6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3">
    <w:name w:val="Char Char Char Char Char Char Char1"/>
    <w:basedOn w:val="1"/>
    <w:qFormat/>
    <w:uiPriority w:val="0"/>
    <w:pPr>
      <w:suppressAutoHyphens w:val="0"/>
      <w:adjustRightInd w:val="0"/>
      <w:spacing w:line="360" w:lineRule="auto"/>
    </w:pPr>
    <w:rPr>
      <w:kern w:val="2"/>
      <w:szCs w:val="24"/>
    </w:rPr>
  </w:style>
  <w:style w:type="paragraph" w:customStyle="1" w:styleId="6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5">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9">
    <w:name w:val="实施日期"/>
    <w:basedOn w:val="48"/>
    <w:qFormat/>
    <w:uiPriority w:val="0"/>
    <w:pPr>
      <w:framePr w:hSpace="0" w:xAlign="right"/>
      <w:jc w:val="right"/>
    </w:pPr>
    <w:rPr>
      <w:rFonts w:eastAsia="宋体"/>
    </w:rPr>
  </w:style>
  <w:style w:type="paragraph" w:customStyle="1" w:styleId="70">
    <w:name w:val="封面正文"/>
    <w:qFormat/>
    <w:uiPriority w:val="0"/>
    <w:pPr>
      <w:jc w:val="both"/>
    </w:pPr>
    <w:rPr>
      <w:rFonts w:ascii="Times New Roman" w:hAnsi="Times New Roman" w:eastAsia="宋体" w:cs="Times New Roman"/>
      <w:lang w:val="en-US" w:eastAsia="zh-CN" w:bidi="ar-SA"/>
    </w:rPr>
  </w:style>
  <w:style w:type="table" w:customStyle="1" w:styleId="71">
    <w:name w:val="表格20220812"/>
    <w:basedOn w:val="25"/>
    <w:qFormat/>
    <w:uiPriority w:val="0"/>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Times New Roman" w:hAnsi="Times New Roman" w:eastAsia="Adobe 黑体 Std R"/>
        <w:b w:val="0"/>
        <w:i w:val="0"/>
        <w:sz w:val="21"/>
      </w:r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128</Pages>
  <Words>3102</Words>
  <Characters>7035</Characters>
  <Lines>840</Lines>
  <Paragraphs>236</Paragraphs>
  <TotalTime>25</TotalTime>
  <ScaleCrop>false</ScaleCrop>
  <LinksUpToDate>false</LinksUpToDate>
  <CharactersWithSpaces>7903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2023-03-14T07:05:00Z</dcterms:created>
  <dc:creator>X</dc:creator>
  <cp:lastModifiedBy> 祺</cp:lastModifiedBy>
  <cp:lastPrinted>2023-07-10T13:45:00Z</cp:lastPrinted>
  <dcterms:modified xsi:type="dcterms:W3CDTF">2025-05-14T03:07:33Z</dcterms:modified>
  <dc:title>建筑长城杯工程质量评审标准</dc:title>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62C89C15E06E4E12A051D2D604FE5936_13</vt:lpwstr>
  </property>
  <property fmtid="{D5CDD505-2E9C-101B-9397-08002B2CF9AE}" pid="4" name="KSOTemplateDocerSaveRecord">
    <vt:lpwstr>eyJoZGlkIjoiMjA2Njg2MDViYjg2YmYyZWIyNDQ3YjJjNmU5NDM4ZjgiLCJ1c2VySWQiOiI0MzU3NTE4NDAifQ==</vt:lpwstr>
  </property>
</Properties>
</file>